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3" w:lineRule="auto"/>
        <w:ind w:firstLine="240" w:firstLineChars="1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证券代码：601860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证券简称：紫金银行       公告编号：2026-034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ascii="黑体" w:hAnsi="黑体" w:eastAsia="黑体"/>
          <w:b/>
          <w:color w:val="FF0000"/>
          <w:sz w:val="36"/>
          <w:szCs w:val="36"/>
        </w:rPr>
      </w:pPr>
      <w:bookmarkStart w:id="0" w:name="_Hlk60848199"/>
      <w:r>
        <w:rPr>
          <w:rFonts w:ascii="黑体" w:hAnsi="黑体" w:eastAsia="黑体"/>
          <w:b/>
          <w:color w:val="FF0000"/>
          <w:sz w:val="36"/>
          <w:szCs w:val="36"/>
        </w:rPr>
        <w:t>江苏紫金农村商业银行股份有限公司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0" w:line="240" w:lineRule="auto"/>
        <w:jc w:val="center"/>
        <w:textAlignment w:val="auto"/>
        <w:outlineLvl w:val="9"/>
        <w:rPr>
          <w:rFonts w:hint="eastAsia" w:ascii="黑体" w:hAnsi="黑体" w:eastAsia="黑体" w:cs="Arial"/>
          <w:b/>
          <w:bCs w:val="0"/>
          <w:color w:val="FF0000"/>
          <w:spacing w:val="0"/>
          <w:sz w:val="36"/>
          <w:szCs w:val="36"/>
          <w:highlight w:val="none"/>
          <w:lang w:val="en-US" w:eastAsia="zh-CN"/>
        </w:rPr>
      </w:pPr>
      <w:r>
        <w:rPr>
          <w:rFonts w:ascii="黑体" w:hAnsi="黑体" w:eastAsia="黑体" w:cs="Arial"/>
          <w:b/>
          <w:bCs w:val="0"/>
          <w:color w:val="FF0000"/>
          <w:spacing w:val="0"/>
          <w:sz w:val="36"/>
          <w:szCs w:val="36"/>
          <w:highlight w:val="none"/>
          <w:lang w:eastAsia="zh-CN"/>
        </w:rPr>
        <w:t>关于</w:t>
      </w:r>
      <w:r>
        <w:rPr>
          <w:rFonts w:hint="eastAsia" w:ascii="黑体" w:hAnsi="黑体" w:eastAsia="黑体" w:cs="Arial"/>
          <w:b/>
          <w:bCs w:val="0"/>
          <w:color w:val="FF0000"/>
          <w:spacing w:val="0"/>
          <w:sz w:val="36"/>
          <w:szCs w:val="36"/>
          <w:highlight w:val="none"/>
          <w:lang w:eastAsia="zh-CN"/>
        </w:rPr>
        <w:t>股东</w:t>
      </w:r>
      <w:r>
        <w:rPr>
          <w:rFonts w:hint="eastAsia" w:ascii="黑体" w:hAnsi="黑体" w:eastAsia="黑体" w:cs="Arial"/>
          <w:b/>
          <w:bCs w:val="0"/>
          <w:color w:val="FF0000"/>
          <w:spacing w:val="0"/>
          <w:sz w:val="36"/>
          <w:szCs w:val="36"/>
          <w:highlight w:val="none"/>
          <w:lang w:val="en-US" w:eastAsia="zh-CN"/>
        </w:rPr>
        <w:t>权益变动的进展公告</w:t>
      </w:r>
    </w:p>
    <w:tbl>
      <w:tblPr>
        <w:tblStyle w:val="7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8413" w:type="dxa"/>
            <w:vAlign w:val="center"/>
          </w:tcPr>
          <w:p>
            <w:pPr>
              <w:tabs>
                <w:tab w:val="left" w:pos="252"/>
              </w:tabs>
              <w:spacing w:line="360" w:lineRule="auto"/>
              <w:ind w:firstLine="480" w:firstLineChars="200"/>
              <w:rPr>
                <w:rFonts w:hint="eastAsia" w:ascii="宋体" w:hAnsi="宋体"/>
                <w:b/>
                <w:bCs/>
                <w:snapToGrid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本公司董事会及全体董事保证本公告内容不存在任何虚假记载、误导性陈述或者重大遗漏，并对其内容的真实性、准确性和完整性承担法律责任。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50" w:after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一、股东权益变动情况概述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江苏紫金农村商业银行股份有限公司（以下简称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“公司”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于2026年8月20日披露了《关于股东权益变动的提示性公告》及《详式权益变动报告书》，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因国有资产整合重组，</w:t>
      </w:r>
      <w:r>
        <w:rPr>
          <w:rFonts w:hint="eastAsia" w:ascii="宋体" w:hAnsi="宋体" w:eastAsia="宋体" w:cs="宋体"/>
          <w:color w:val="000000"/>
          <w:spacing w:val="-4"/>
          <w:sz w:val="24"/>
          <w:szCs w:val="24"/>
          <w:lang w:eastAsia="zh-CN"/>
        </w:rPr>
        <w:t>南京市人民政府国有资产监督管理委员会（以下简称“南京市国资委”）拟将其持有的南京东南国资投资集团有限责任公司（以下简称“东南集团”）100%股权，作为资本金注入至南京紫金投资集团有限责任公司（以下简称“紫金集团”）母公司南京市国有资产投资管理控股（集团）有限责任公司（以下简称“南京市国资集团”）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本次权益变动完成后，东南集团将成为南京市国资集团的全资子公司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南京市国资集团合计控制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的股权比例由8.96%增至11.51%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紫金集团持股比例未发生变动，仍为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公司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第一大股东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  <w:t>二、相关事项进展情况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 w:right="0" w:firstLine="468" w:firstLineChars="200"/>
        <w:jc w:val="both"/>
        <w:textAlignment w:val="baseline"/>
        <w:rPr>
          <w:rFonts w:hint="eastAsia" w:cs="宋体"/>
          <w:color w:val="000000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近日，南京市国资集团</w:t>
      </w:r>
      <w:r>
        <w:rPr>
          <w:rFonts w:hint="eastAsia" w:cs="宋体"/>
          <w:spacing w:val="-3"/>
          <w:sz w:val="24"/>
          <w:szCs w:val="24"/>
          <w:lang w:eastAsia="zh-CN"/>
        </w:rPr>
        <w:t>已就上述事项完成工商变更登记手续，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并取得了换发的营业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执照</w:t>
      </w:r>
      <w:r>
        <w:rPr>
          <w:rFonts w:hint="eastAsia" w:cs="宋体"/>
          <w:spacing w:val="-1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南京市国资集团对其名称和注册资本进行了变更，其名称由“</w:t>
      </w:r>
      <w:r>
        <w:rPr>
          <w:rFonts w:hint="eastAsia" w:ascii="宋体" w:hAnsi="宋体" w:eastAsia="宋体" w:cs="宋体"/>
          <w:color w:val="000000"/>
          <w:spacing w:val="-4"/>
          <w:sz w:val="24"/>
          <w:szCs w:val="24"/>
          <w:lang w:eastAsia="zh-CN"/>
        </w:rPr>
        <w:t>南京市国有资产投资管理控股（集团）有限责任公司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”变更为“南京市投资控股有限公司”，注册资本由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544,191.66万元变更为6,000,000万元，</w:t>
      </w:r>
      <w:r>
        <w:rPr>
          <w:rFonts w:hint="eastAsia" w:cs="宋体"/>
          <w:spacing w:val="-3"/>
          <w:sz w:val="24"/>
          <w:szCs w:val="24"/>
          <w:lang w:val="en-US" w:eastAsia="zh-CN"/>
        </w:rPr>
        <w:t>股权结构变更为：</w:t>
      </w:r>
      <w:r>
        <w:rPr>
          <w:rFonts w:hint="eastAsia" w:ascii="宋体" w:hAnsi="宋体" w:eastAsia="宋体" w:cs="宋体"/>
          <w:color w:val="000000"/>
          <w:spacing w:val="-4"/>
          <w:sz w:val="24"/>
          <w:szCs w:val="24"/>
          <w:lang w:eastAsia="zh-CN"/>
        </w:rPr>
        <w:t>南京市国资委</w:t>
      </w:r>
      <w:r>
        <w:rPr>
          <w:rFonts w:hint="eastAsia" w:cs="宋体"/>
          <w:color w:val="000000"/>
          <w:spacing w:val="-4"/>
          <w:sz w:val="24"/>
          <w:szCs w:val="24"/>
          <w:lang w:eastAsia="zh-CN"/>
        </w:rPr>
        <w:t>持股</w:t>
      </w:r>
      <w:r>
        <w:rPr>
          <w:rFonts w:hint="eastAsia" w:cs="宋体"/>
          <w:color w:val="000000"/>
          <w:spacing w:val="-4"/>
          <w:sz w:val="24"/>
          <w:szCs w:val="24"/>
          <w:lang w:val="en-US" w:eastAsia="zh-CN"/>
        </w:rPr>
        <w:t>98.28%，江苏省财政厅持股1.72%。</w:t>
      </w:r>
      <w:bookmarkStart w:id="1" w:name="_GoBack"/>
      <w:bookmarkEnd w:id="1"/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 w:right="0" w:firstLine="468" w:firstLineChars="200"/>
        <w:jc w:val="both"/>
        <w:textAlignment w:val="baseline"/>
        <w:rPr>
          <w:rFonts w:ascii="Times New Roman" w:hAnsi="Times New Roman" w:cs="Times New Roman"/>
          <w:spacing w:val="-3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上述工商变更事项不涉及公司控股股东及实际控制人的变更，</w:t>
      </w:r>
      <w:r>
        <w:rPr>
          <w:rFonts w:hint="eastAsia" w:ascii="Times New Roman" w:hAnsi="Times New Roman" w:cs="Times New Roman"/>
          <w:spacing w:val="-3"/>
          <w:lang w:eastAsia="zh-CN"/>
        </w:rPr>
        <w:t>不影响</w:t>
      </w:r>
      <w:r>
        <w:rPr>
          <w:rFonts w:ascii="Times New Roman" w:hAnsi="Times New Roman" w:cs="Times New Roman"/>
          <w:spacing w:val="-3"/>
          <w:lang w:eastAsia="zh-CN"/>
        </w:rPr>
        <w:t>公司</w:t>
      </w:r>
      <w:r>
        <w:rPr>
          <w:rFonts w:hint="eastAsia" w:ascii="Times New Roman" w:hAnsi="Times New Roman" w:cs="Times New Roman"/>
          <w:spacing w:val="-3"/>
          <w:lang w:eastAsia="zh-CN"/>
        </w:rPr>
        <w:t>的</w:t>
      </w:r>
      <w:r>
        <w:rPr>
          <w:rFonts w:ascii="Times New Roman" w:hAnsi="Times New Roman" w:cs="Times New Roman"/>
          <w:spacing w:val="-3"/>
          <w:lang w:eastAsia="zh-CN"/>
        </w:rPr>
        <w:t>治理及经营。</w:t>
      </w:r>
    </w:p>
    <w:p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 w:right="0" w:firstLine="470" w:firstLineChars="200"/>
        <w:jc w:val="both"/>
        <w:textAlignment w:val="baseline"/>
        <w:rPr>
          <w:rFonts w:hint="eastAsia" w:ascii="Times New Roman" w:hAnsi="Times New Roman" w:cs="Times New Roman"/>
          <w:b/>
          <w:bCs/>
          <w:spacing w:val="-3"/>
          <w:lang w:eastAsia="zh-CN"/>
        </w:rPr>
      </w:pPr>
      <w:r>
        <w:rPr>
          <w:rFonts w:hint="eastAsia" w:ascii="Times New Roman" w:hAnsi="Times New Roman" w:cs="Times New Roman"/>
          <w:b/>
          <w:bCs/>
          <w:spacing w:val="-3"/>
          <w:lang w:eastAsia="zh-CN"/>
        </w:rPr>
        <w:t>三、其他说明及风险提示</w:t>
      </w:r>
    </w:p>
    <w:p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 w:right="0" w:firstLine="468" w:firstLineChars="200"/>
        <w:jc w:val="both"/>
        <w:textAlignment w:val="baseline"/>
        <w:rPr>
          <w:rFonts w:hint="eastAsia" w:ascii="Times New Roman" w:hAnsi="Times New Roman" w:cs="Times New Roman"/>
          <w:spacing w:val="-3"/>
          <w:lang w:eastAsia="zh-CN"/>
        </w:rPr>
      </w:pPr>
      <w:r>
        <w:rPr>
          <w:rFonts w:hint="eastAsia" w:ascii="Times New Roman" w:hAnsi="Times New Roman" w:cs="Times New Roman"/>
          <w:spacing w:val="-3"/>
          <w:lang w:eastAsia="zh-CN"/>
        </w:rPr>
        <w:t>东南集团股权变更相关工商登记手续尚在办理中，公司将密切关注相关事项进展情况，及时履行信息披露义务。敬请广大投资者注意投资风险。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line="360" w:lineRule="auto"/>
        <w:ind w:left="0" w:right="0" w:firstLine="468" w:firstLineChars="200"/>
        <w:jc w:val="both"/>
        <w:textAlignment w:val="baseline"/>
        <w:rPr>
          <w:rFonts w:hint="eastAsia" w:ascii="宋体" w:hAnsi="宋体"/>
          <w:spacing w:val="-3"/>
        </w:rPr>
      </w:pPr>
      <w:r>
        <w:rPr>
          <w:rFonts w:hint="eastAsia" w:ascii="宋体" w:hAnsi="宋体"/>
          <w:spacing w:val="-3"/>
        </w:rPr>
        <w:t>特此公告。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line="360" w:lineRule="auto"/>
        <w:ind w:left="0" w:right="0" w:firstLine="468" w:firstLineChars="200"/>
        <w:jc w:val="right"/>
        <w:textAlignment w:val="baseline"/>
        <w:rPr>
          <w:rFonts w:hint="eastAsia" w:ascii="宋体" w:hAnsi="宋体"/>
          <w:spacing w:val="-3"/>
        </w:rPr>
      </w:pPr>
      <w:r>
        <w:rPr>
          <w:rFonts w:hint="eastAsia" w:ascii="宋体" w:hAnsi="宋体"/>
          <w:spacing w:val="-3"/>
        </w:rPr>
        <w:t>江苏紫金农村商业银行股份有限公司董事会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 w:right="0" w:firstLine="468" w:firstLineChars="200"/>
        <w:jc w:val="right"/>
        <w:textAlignment w:val="baseline"/>
        <w:rPr>
          <w:rFonts w:ascii="Times New Roman" w:hAnsi="Times New Roman" w:cs="Times New Roman"/>
          <w:lang w:eastAsia="zh-CN"/>
        </w:rPr>
      </w:pPr>
      <w:r>
        <w:rPr>
          <w:rFonts w:hint="eastAsia" w:ascii="宋体" w:hAnsi="宋体"/>
          <w:spacing w:val="-3"/>
        </w:rPr>
        <w:t>2026年</w:t>
      </w:r>
      <w:r>
        <w:rPr>
          <w:rFonts w:hint="eastAsia" w:ascii="宋体" w:hAnsi="宋体"/>
          <w:spacing w:val="-3"/>
          <w:lang w:val="en-US" w:eastAsia="zh-CN"/>
        </w:rPr>
        <w:t>9</w:t>
      </w:r>
      <w:r>
        <w:rPr>
          <w:rFonts w:hint="eastAsia" w:ascii="宋体" w:hAnsi="宋体"/>
          <w:spacing w:val="-3"/>
        </w:rPr>
        <w:t>月</w:t>
      </w:r>
      <w:r>
        <w:rPr>
          <w:rFonts w:hint="eastAsia" w:ascii="宋体" w:hAnsi="宋体"/>
          <w:spacing w:val="-3"/>
          <w:lang w:val="en-US" w:eastAsia="zh-CN"/>
        </w:rPr>
        <w:t>1</w:t>
      </w:r>
      <w:r>
        <w:rPr>
          <w:rFonts w:hint="eastAsia" w:ascii="宋体" w:hAnsi="宋体"/>
          <w:spacing w:val="-3"/>
        </w:rPr>
        <w:t>日</w:t>
      </w:r>
    </w:p>
    <w:sectPr>
      <w:pgSz w:w="11906" w:h="16839"/>
      <w:pgMar w:top="1431" w:right="1717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EA4175"/>
    <w:rsid w:val="000B19CA"/>
    <w:rsid w:val="00125F01"/>
    <w:rsid w:val="00132A67"/>
    <w:rsid w:val="00186B95"/>
    <w:rsid w:val="00200937"/>
    <w:rsid w:val="00264AD6"/>
    <w:rsid w:val="002955EE"/>
    <w:rsid w:val="002A03B3"/>
    <w:rsid w:val="00361EE0"/>
    <w:rsid w:val="004626F8"/>
    <w:rsid w:val="0060430D"/>
    <w:rsid w:val="00613602"/>
    <w:rsid w:val="00673048"/>
    <w:rsid w:val="00684ADA"/>
    <w:rsid w:val="00685AE3"/>
    <w:rsid w:val="00816A7D"/>
    <w:rsid w:val="008B2289"/>
    <w:rsid w:val="00991F1A"/>
    <w:rsid w:val="009D1638"/>
    <w:rsid w:val="00A37F05"/>
    <w:rsid w:val="00A405F7"/>
    <w:rsid w:val="00BC588A"/>
    <w:rsid w:val="00C06588"/>
    <w:rsid w:val="00C61955"/>
    <w:rsid w:val="00D05853"/>
    <w:rsid w:val="00D44C9D"/>
    <w:rsid w:val="00E50E5B"/>
    <w:rsid w:val="00EA4175"/>
    <w:rsid w:val="00F60AF1"/>
    <w:rsid w:val="00FD64C1"/>
    <w:rsid w:val="033311CF"/>
    <w:rsid w:val="09CA2D09"/>
    <w:rsid w:val="0F927F1A"/>
    <w:rsid w:val="11EA0AD9"/>
    <w:rsid w:val="184503DD"/>
    <w:rsid w:val="224E1ACA"/>
    <w:rsid w:val="257F3613"/>
    <w:rsid w:val="26384FC0"/>
    <w:rsid w:val="28850088"/>
    <w:rsid w:val="28A50933"/>
    <w:rsid w:val="28C27EED"/>
    <w:rsid w:val="29032ED5"/>
    <w:rsid w:val="2A5B478B"/>
    <w:rsid w:val="2C364F95"/>
    <w:rsid w:val="2D98772B"/>
    <w:rsid w:val="3401149C"/>
    <w:rsid w:val="39363CD4"/>
    <w:rsid w:val="39594D23"/>
    <w:rsid w:val="3BC33E98"/>
    <w:rsid w:val="3ED94C35"/>
    <w:rsid w:val="3F570D47"/>
    <w:rsid w:val="47CB5A57"/>
    <w:rsid w:val="501920F6"/>
    <w:rsid w:val="527E0EE4"/>
    <w:rsid w:val="52EB6F5B"/>
    <w:rsid w:val="52EC52DF"/>
    <w:rsid w:val="56B37C91"/>
    <w:rsid w:val="5B0C02A2"/>
    <w:rsid w:val="6F997223"/>
    <w:rsid w:val="72C84E5C"/>
    <w:rsid w:val="795D662A"/>
    <w:rsid w:val="7CD249D8"/>
    <w:rsid w:val="7CD3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Revision"/>
    <w:hidden/>
    <w:semiHidden/>
    <w:qFormat/>
    <w:uiPriority w:val="99"/>
    <w:pPr>
      <w:spacing w:after="0" w:line="240" w:lineRule="auto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customStyle="1" w:styleId="16">
    <w:name w:val="批注文字 字符"/>
    <w:basedOn w:val="9"/>
    <w:link w:val="2"/>
    <w:qFormat/>
    <w:uiPriority w:val="99"/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108</Words>
  <Characters>616</Characters>
  <Lines>5</Lines>
  <Paragraphs>1</Paragraphs>
  <TotalTime>0</TotalTime>
  <ScaleCrop>false</ScaleCrop>
  <LinksUpToDate>false</LinksUpToDate>
  <CharactersWithSpaces>723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2026-08-19T15:37:00Z</dcterms:created>
  <dc:creator>陈伟</dc:creator>
  <cp:lastModifiedBy>葛伶燕</cp:lastModifiedBy>
  <cp:lastPrinted>2026-09-01T08:47:00Z</cp:lastPrinted>
  <dcterms:modified xsi:type="dcterms:W3CDTF">2026-09-01T09:24:03Z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2026-08-25T16:53:10Z</vt:filetime>
  </property>
  <property fmtid="{D5CDD505-2E9C-101B-9397-08002B2CF9AE}" pid="4" name="KSOProductBuildVer">
    <vt:lpwstr>2052-11.8.2.11813</vt:lpwstr>
  </property>
  <property fmtid="{D5CDD505-2E9C-101B-9397-08002B2CF9AE}" pid="5" name="ICV">
    <vt:lpwstr>DDAF9FE8FFA144B49AEC7D8E8BCA6A9C</vt:lpwstr>
  </property>
</Properties>
</file>