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sz w:val="24"/>
          <w:lang w:val="en-US" w:eastAsia="zh-CN"/>
        </w:rPr>
      </w:pPr>
      <w:bookmarkStart w:id="0" w:name="_Hlk186463065"/>
      <w:bookmarkStart w:id="1" w:name="_Hlk186464335"/>
      <w:r>
        <w:rPr>
          <w:rFonts w:hint="eastAsia"/>
          <w:sz w:val="24"/>
        </w:rPr>
        <w:t>证券代码：6</w:t>
      </w:r>
      <w:r>
        <w:rPr>
          <w:sz w:val="24"/>
        </w:rPr>
        <w:t xml:space="preserve">01860     </w:t>
      </w:r>
      <w:r>
        <w:rPr>
          <w:rFonts w:hint="eastAsia"/>
          <w:sz w:val="24"/>
        </w:rPr>
        <w:t xml:space="preserve">  证券简称：紫金银行 </w:t>
      </w:r>
      <w:r>
        <w:rPr>
          <w:sz w:val="24"/>
        </w:rPr>
        <w:t xml:space="preserve">         </w:t>
      </w:r>
      <w:r>
        <w:rPr>
          <w:rFonts w:hint="eastAsia"/>
          <w:sz w:val="24"/>
        </w:rPr>
        <w:t>公告编号：2</w:t>
      </w:r>
      <w:r>
        <w:rPr>
          <w:sz w:val="24"/>
        </w:rPr>
        <w:t>0</w:t>
      </w:r>
      <w:r>
        <w:rPr>
          <w:rFonts w:hint="eastAsia"/>
          <w:sz w:val="24"/>
        </w:rPr>
        <w:t>2</w:t>
      </w:r>
      <w:r>
        <w:rPr>
          <w:rFonts w:hint="eastAsia"/>
          <w:sz w:val="24"/>
          <w:lang w:val="en-US" w:eastAsia="zh-CN"/>
        </w:rPr>
        <w:t>6</w:t>
      </w:r>
      <w:r>
        <w:rPr>
          <w:rFonts w:hint="eastAsia"/>
          <w:sz w:val="24"/>
        </w:rPr>
        <w:t>-0</w:t>
      </w:r>
      <w:r>
        <w:rPr>
          <w:rFonts w:hint="eastAsia"/>
          <w:sz w:val="24"/>
          <w:lang w:val="en-US" w:eastAsia="zh-CN"/>
        </w:rPr>
        <w:t>30</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ascii="黑体" w:hAnsi="黑体" w:eastAsia="黑体"/>
          <w:b/>
          <w:color w:val="FF0000"/>
          <w:sz w:val="44"/>
          <w:szCs w:val="44"/>
        </w:rPr>
      </w:pPr>
      <w:bookmarkStart w:id="2" w:name="_Hlk60848199"/>
      <w:r>
        <w:rPr>
          <w:rFonts w:ascii="黑体" w:hAnsi="黑体" w:eastAsia="黑体"/>
          <w:b/>
          <w:color w:val="FF0000"/>
          <w:sz w:val="44"/>
          <w:szCs w:val="44"/>
        </w:rPr>
        <w:t>江苏紫金农村商业银行股份有限公司</w:t>
      </w:r>
      <w:bookmarkEnd w:id="2"/>
    </w:p>
    <w:p>
      <w:pPr>
        <w:keepNext w:val="0"/>
        <w:keepLines w:val="0"/>
        <w:pageBreakBefore w:val="0"/>
        <w:widowControl/>
        <w:kinsoku/>
        <w:wordWrap/>
        <w:overflowPunct/>
        <w:topLinePunct w:val="0"/>
        <w:autoSpaceDE/>
        <w:autoSpaceDN/>
        <w:bidi w:val="0"/>
        <w:adjustRightInd/>
        <w:snapToGrid/>
        <w:spacing w:after="157" w:afterLines="50" w:line="240" w:lineRule="auto"/>
        <w:jc w:val="center"/>
        <w:textAlignment w:val="auto"/>
        <w:rPr>
          <w:rFonts w:hint="eastAsia" w:ascii="黑体" w:hAnsi="黑体" w:eastAsia="黑体"/>
          <w:b/>
          <w:color w:val="FF0000"/>
          <w:sz w:val="44"/>
          <w:szCs w:val="44"/>
        </w:rPr>
      </w:pPr>
      <w:r>
        <w:rPr>
          <w:rFonts w:hint="eastAsia" w:ascii="黑体" w:hAnsi="黑体" w:eastAsia="黑体"/>
          <w:b/>
          <w:color w:val="FF0000"/>
          <w:sz w:val="44"/>
          <w:szCs w:val="44"/>
        </w:rPr>
        <w:t>关于股东权益变动的提示性公告</w:t>
      </w:r>
    </w:p>
    <w:bookmarkEnd w:id="0"/>
    <w:tbl>
      <w:tblPr>
        <w:tblStyle w:val="18"/>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5" w:hRule="atLeast"/>
          <w:jc w:val="center"/>
        </w:trPr>
        <w:tc>
          <w:tcPr>
            <w:tcW w:w="8413" w:type="dxa"/>
            <w:vAlign w:val="center"/>
          </w:tcPr>
          <w:p>
            <w:pPr>
              <w:tabs>
                <w:tab w:val="left" w:pos="252"/>
              </w:tabs>
              <w:spacing w:line="360" w:lineRule="auto"/>
              <w:ind w:firstLine="600" w:firstLineChars="200"/>
              <w:rPr>
                <w:rFonts w:hint="eastAsia" w:ascii="宋体" w:hAnsi="宋体"/>
                <w:b/>
                <w:bCs/>
                <w:snapToGrid w:val="0"/>
                <w:sz w:val="24"/>
              </w:rPr>
            </w:pPr>
            <w:r>
              <w:rPr>
                <w:rFonts w:hint="eastAsia" w:ascii="仿宋_GB2312" w:hAnsi="仿宋_GB2312" w:eastAsia="仿宋_GB2312" w:cs="仿宋_GB2312"/>
                <w:kern w:val="0"/>
                <w:sz w:val="30"/>
                <w:szCs w:val="30"/>
              </w:rPr>
              <w:t>本公司董事会及全体董事保证本公告内容不存在任何虚假记载、误导性陈述或者重大遗漏，并对其内容的真实性、准确性和完整性承担法律责任。</w:t>
            </w:r>
          </w:p>
        </w:tc>
      </w:tr>
      <w:bookmarkEnd w:id="1"/>
    </w:tbl>
    <w:p>
      <w:pPr>
        <w:adjustRightInd w:val="0"/>
        <w:snapToGrid w:val="0"/>
        <w:spacing w:line="360" w:lineRule="auto"/>
        <w:ind w:firstLine="482" w:firstLineChars="200"/>
        <w:rPr>
          <w:rFonts w:hint="eastAsia" w:ascii="宋体" w:hAnsi="宋体"/>
          <w:b/>
          <w:bCs/>
          <w:color w:val="000000"/>
          <w:kern w:val="0"/>
          <w:sz w:val="24"/>
        </w:rPr>
      </w:pPr>
    </w:p>
    <w:p>
      <w:pPr>
        <w:adjustRightInd w:val="0"/>
        <w:snapToGrid w:val="0"/>
        <w:spacing w:line="360" w:lineRule="auto"/>
        <w:ind w:firstLine="482" w:firstLineChars="200"/>
        <w:rPr>
          <w:rFonts w:hint="eastAsia" w:ascii="宋体" w:hAnsi="宋体"/>
          <w:b/>
          <w:bCs/>
          <w:color w:val="000000"/>
          <w:kern w:val="0"/>
          <w:sz w:val="24"/>
        </w:rPr>
      </w:pPr>
      <w:r>
        <w:rPr>
          <w:rFonts w:hint="eastAsia" w:ascii="宋体" w:hAnsi="宋体"/>
          <w:b/>
          <w:bCs/>
          <w:color w:val="000000"/>
          <w:kern w:val="0"/>
          <w:sz w:val="24"/>
        </w:rPr>
        <w:t>重要内容提示：</w:t>
      </w:r>
    </w:p>
    <w:p>
      <w:pPr>
        <w:keepNext w:val="0"/>
        <w:keepLines w:val="0"/>
        <w:pageBreakBefore w:val="0"/>
        <w:widowControl/>
        <w:numPr>
          <w:ilvl w:val="1"/>
          <w:numId w:val="3"/>
        </w:numPr>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本次权益变动不触及要约收购</w:t>
      </w:r>
      <w:r>
        <w:rPr>
          <w:rFonts w:hint="eastAsia" w:ascii="宋体" w:hAnsi="宋体" w:eastAsia="宋体" w:cs="宋体"/>
          <w:color w:val="000000"/>
          <w:sz w:val="24"/>
          <w:szCs w:val="24"/>
          <w:lang w:eastAsia="zh-CN"/>
        </w:rPr>
        <w:t>，未使公司第一大股东发生变化，未使公司无</w:t>
      </w:r>
      <w:r>
        <w:rPr>
          <w:rFonts w:hint="eastAsia" w:ascii="宋体" w:hAnsi="宋体" w:eastAsia="宋体" w:cs="宋体"/>
          <w:color w:val="000000"/>
          <w:sz w:val="24"/>
          <w:szCs w:val="24"/>
        </w:rPr>
        <w:t>控股股东及实际控制人</w:t>
      </w:r>
      <w:r>
        <w:rPr>
          <w:rFonts w:hint="eastAsia" w:ascii="宋体" w:hAnsi="宋体" w:eastAsia="宋体" w:cs="宋体"/>
          <w:color w:val="000000"/>
          <w:sz w:val="24"/>
          <w:szCs w:val="24"/>
          <w:lang w:eastAsia="zh-CN"/>
        </w:rPr>
        <w:t>现状</w:t>
      </w:r>
      <w:r>
        <w:rPr>
          <w:rFonts w:hint="eastAsia" w:ascii="宋体" w:hAnsi="宋体" w:eastAsia="宋体" w:cs="宋体"/>
          <w:color w:val="000000"/>
          <w:sz w:val="24"/>
          <w:szCs w:val="24"/>
        </w:rPr>
        <w:t>发生变</w:t>
      </w:r>
      <w:r>
        <w:rPr>
          <w:rFonts w:hint="eastAsia" w:ascii="宋体" w:hAnsi="宋体" w:eastAsia="宋体" w:cs="宋体"/>
          <w:color w:val="000000"/>
          <w:sz w:val="24"/>
          <w:szCs w:val="24"/>
          <w:lang w:val="en-US" w:eastAsia="zh-CN"/>
        </w:rPr>
        <w:t>化</w:t>
      </w:r>
      <w:r>
        <w:rPr>
          <w:rFonts w:hint="eastAsia" w:ascii="宋体" w:hAnsi="宋体" w:cs="宋体"/>
          <w:color w:val="000000"/>
          <w:sz w:val="24"/>
          <w:szCs w:val="24"/>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000000"/>
          <w:sz w:val="24"/>
          <w:szCs w:val="24"/>
          <w:highlight w:val="none"/>
          <w:lang w:eastAsia="zh-CN"/>
        </w:rPr>
      </w:pPr>
      <w:r>
        <w:rPr>
          <w:rFonts w:hint="eastAsia" w:ascii="宋体" w:hAnsi="宋体" w:eastAsia="宋体" w:cs="宋体"/>
          <w:color w:val="000000"/>
          <w:sz w:val="24"/>
          <w:szCs w:val="24"/>
          <w:lang w:eastAsia="zh-CN"/>
        </w:rPr>
        <w:t>近日，</w:t>
      </w:r>
      <w:r>
        <w:rPr>
          <w:rFonts w:hint="eastAsia" w:ascii="宋体" w:hAnsi="宋体" w:eastAsia="宋体" w:cs="宋体"/>
          <w:color w:val="000000"/>
          <w:sz w:val="24"/>
          <w:szCs w:val="24"/>
        </w:rPr>
        <w:t>江苏紫金农村商业银行股份有限公司（以下简称</w:t>
      </w:r>
      <w:r>
        <w:rPr>
          <w:rFonts w:hint="eastAsia" w:ascii="宋体" w:hAnsi="宋体" w:eastAsia="宋体" w:cs="宋体"/>
          <w:color w:val="000000"/>
          <w:sz w:val="24"/>
          <w:szCs w:val="24"/>
          <w:lang w:eastAsia="zh-CN"/>
        </w:rPr>
        <w:t>“公司”、</w:t>
      </w:r>
      <w:r>
        <w:rPr>
          <w:rFonts w:hint="eastAsia" w:ascii="宋体" w:hAnsi="宋体" w:eastAsia="宋体" w:cs="宋体"/>
          <w:color w:val="000000"/>
          <w:sz w:val="24"/>
          <w:szCs w:val="24"/>
        </w:rPr>
        <w:t>“紫金银行”）</w:t>
      </w:r>
      <w:r>
        <w:rPr>
          <w:rFonts w:hint="eastAsia" w:ascii="宋体" w:hAnsi="宋体" w:eastAsia="宋体" w:cs="宋体"/>
          <w:color w:val="000000"/>
          <w:sz w:val="24"/>
          <w:szCs w:val="24"/>
          <w:lang w:eastAsia="zh-CN"/>
        </w:rPr>
        <w:t>收到公司第一大股东</w:t>
      </w:r>
      <w:r>
        <w:rPr>
          <w:rFonts w:hint="eastAsia" w:ascii="宋体" w:hAnsi="宋体" w:eastAsia="宋体" w:cs="宋体"/>
          <w:color w:val="000000"/>
          <w:sz w:val="24"/>
          <w:szCs w:val="24"/>
        </w:rPr>
        <w:t>南京紫金投资集团有限责任公司（以下简称“紫金集团”）</w:t>
      </w:r>
      <w:r>
        <w:rPr>
          <w:rFonts w:hint="eastAsia" w:ascii="宋体" w:hAnsi="宋体" w:eastAsia="宋体" w:cs="宋体"/>
          <w:color w:val="000000"/>
          <w:sz w:val="24"/>
          <w:szCs w:val="24"/>
          <w:lang w:eastAsia="zh-CN"/>
        </w:rPr>
        <w:t>发来的通知。因国有资产整合重组，</w:t>
      </w:r>
      <w:r>
        <w:rPr>
          <w:rFonts w:hint="eastAsia" w:ascii="宋体" w:hAnsi="宋体" w:eastAsia="宋体" w:cs="宋体"/>
          <w:color w:val="000000"/>
          <w:sz w:val="24"/>
          <w:szCs w:val="24"/>
        </w:rPr>
        <w:t>南京市人民政府国有资产监督管理委员会（以下简称“南京市国资委”）</w:t>
      </w:r>
      <w:r>
        <w:rPr>
          <w:rFonts w:hint="eastAsia" w:ascii="宋体" w:hAnsi="宋体" w:cs="宋体"/>
          <w:color w:val="000000"/>
          <w:sz w:val="24"/>
          <w:szCs w:val="24"/>
          <w:lang w:eastAsia="zh-CN"/>
        </w:rPr>
        <w:t>拟</w:t>
      </w:r>
      <w:r>
        <w:rPr>
          <w:rFonts w:hint="eastAsia" w:ascii="宋体" w:hAnsi="宋体" w:eastAsia="宋体" w:cs="宋体"/>
          <w:color w:val="000000"/>
          <w:sz w:val="24"/>
          <w:szCs w:val="24"/>
        </w:rPr>
        <w:t>将</w:t>
      </w:r>
      <w:r>
        <w:rPr>
          <w:rFonts w:hint="eastAsia" w:ascii="宋体" w:hAnsi="宋体" w:eastAsia="宋体" w:cs="宋体"/>
          <w:color w:val="000000"/>
          <w:sz w:val="24"/>
          <w:szCs w:val="24"/>
          <w:lang w:eastAsia="zh-CN"/>
        </w:rPr>
        <w:t>其</w:t>
      </w:r>
      <w:r>
        <w:rPr>
          <w:rFonts w:hint="eastAsia" w:ascii="宋体" w:hAnsi="宋体" w:eastAsia="宋体" w:cs="宋体"/>
          <w:color w:val="000000"/>
          <w:sz w:val="24"/>
          <w:szCs w:val="24"/>
        </w:rPr>
        <w:t>持有的南京东南国资投资集团有限责任公司（以下简称“东南集团”）100%股权，</w:t>
      </w:r>
      <w:r>
        <w:rPr>
          <w:rFonts w:hint="eastAsia" w:ascii="宋体" w:hAnsi="宋体" w:eastAsia="宋体" w:cs="宋体"/>
          <w:color w:val="000000"/>
          <w:sz w:val="24"/>
          <w:szCs w:val="24"/>
          <w:lang w:eastAsia="zh-CN"/>
        </w:rPr>
        <w:t>作为资本金注入至</w:t>
      </w:r>
      <w:r>
        <w:rPr>
          <w:rFonts w:hint="eastAsia" w:ascii="宋体" w:hAnsi="宋体" w:eastAsia="宋体" w:cs="宋体"/>
          <w:color w:val="000000"/>
          <w:sz w:val="24"/>
          <w:szCs w:val="24"/>
          <w:highlight w:val="none"/>
          <w:lang w:eastAsia="zh-CN"/>
        </w:rPr>
        <w:t>紫金集团母公司</w:t>
      </w:r>
      <w:r>
        <w:rPr>
          <w:rFonts w:hint="eastAsia" w:ascii="宋体" w:hAnsi="宋体" w:eastAsia="宋体" w:cs="宋体"/>
          <w:color w:val="000000"/>
          <w:sz w:val="24"/>
          <w:szCs w:val="24"/>
          <w:highlight w:val="none"/>
        </w:rPr>
        <w:t>南京市国有资产投资管理控股（集团）有限责任公司（以下简称“南京市国资集团”）</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本次权益变动完成后，东南集团将成为南京市国资集团的全资子公司</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南京市国资集团合计控制紫金银行的股权比例由8.96%增至11.51%</w:t>
      </w:r>
      <w:r>
        <w:rPr>
          <w:rFonts w:hint="eastAsia" w:ascii="宋体" w:hAnsi="宋体" w:cs="宋体"/>
          <w:color w:val="000000"/>
          <w:sz w:val="24"/>
          <w:szCs w:val="24"/>
          <w:highlight w:val="none"/>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000000"/>
          <w:kern w:val="0"/>
          <w:sz w:val="24"/>
        </w:rPr>
      </w:pPr>
      <w:r>
        <w:rPr>
          <w:rFonts w:hint="eastAsia" w:ascii="宋体" w:hAnsi="宋体" w:eastAsia="宋体" w:cs="宋体"/>
          <w:color w:val="000000"/>
          <w:sz w:val="24"/>
          <w:szCs w:val="24"/>
          <w:highlight w:val="none"/>
        </w:rPr>
        <w:t>本次权益变动完成后，</w:t>
      </w:r>
      <w:r>
        <w:rPr>
          <w:color w:val="000000"/>
          <w:kern w:val="0"/>
          <w:sz w:val="24"/>
          <w:highlight w:val="none"/>
        </w:rPr>
        <w:t>紫金集团持股比例未发生变动，仍为</w:t>
      </w:r>
      <w:r>
        <w:rPr>
          <w:rFonts w:hint="eastAsia"/>
          <w:color w:val="000000"/>
          <w:kern w:val="0"/>
          <w:sz w:val="24"/>
          <w:highlight w:val="none"/>
          <w:lang w:eastAsia="zh-CN"/>
        </w:rPr>
        <w:t>公司</w:t>
      </w:r>
      <w:r>
        <w:rPr>
          <w:color w:val="000000"/>
          <w:kern w:val="0"/>
          <w:sz w:val="24"/>
          <w:highlight w:val="none"/>
        </w:rPr>
        <w:t>第一大股东</w:t>
      </w:r>
      <w:r>
        <w:rPr>
          <w:rFonts w:hint="eastAsia"/>
          <w:color w:val="000000"/>
          <w:kern w:val="0"/>
          <w:sz w:val="24"/>
          <w:highlight w:val="none"/>
          <w:lang w:eastAsia="zh-CN"/>
        </w:rPr>
        <w:t>。</w:t>
      </w:r>
      <w:r>
        <w:rPr>
          <w:color w:val="000000"/>
          <w:kern w:val="0"/>
          <w:sz w:val="24"/>
          <w:highlight w:val="none"/>
        </w:rPr>
        <w:t>本次权益变动不会对公司的正常经营和持续发展造成不利影响，不存在损害公</w:t>
      </w:r>
      <w:r>
        <w:rPr>
          <w:color w:val="000000"/>
          <w:kern w:val="0"/>
          <w:sz w:val="24"/>
        </w:rPr>
        <w:t>司和中小股东利益的情形。</w:t>
      </w:r>
    </w:p>
    <w:p>
      <w:pPr>
        <w:adjustRightInd w:val="0"/>
        <w:snapToGrid w:val="0"/>
        <w:spacing w:line="360" w:lineRule="auto"/>
        <w:ind w:firstLine="482" w:firstLineChars="200"/>
        <w:rPr>
          <w:b/>
          <w:bCs/>
          <w:color w:val="000000"/>
          <w:kern w:val="0"/>
          <w:sz w:val="24"/>
        </w:rPr>
      </w:pPr>
      <w:r>
        <w:rPr>
          <w:b/>
          <w:bCs/>
          <w:color w:val="000000"/>
          <w:kern w:val="0"/>
          <w:sz w:val="24"/>
        </w:rPr>
        <w:t>一、本次</w:t>
      </w:r>
      <w:r>
        <w:rPr>
          <w:rFonts w:hint="eastAsia"/>
          <w:b/>
          <w:bCs/>
          <w:color w:val="000000"/>
          <w:kern w:val="0"/>
          <w:sz w:val="24"/>
          <w:lang w:eastAsia="zh-CN"/>
        </w:rPr>
        <w:t>权益</w:t>
      </w:r>
      <w:r>
        <w:rPr>
          <w:b/>
          <w:bCs/>
          <w:color w:val="000000"/>
          <w:kern w:val="0"/>
          <w:sz w:val="24"/>
        </w:rPr>
        <w:t>变动的基本情况</w:t>
      </w:r>
    </w:p>
    <w:p>
      <w:pPr>
        <w:spacing w:after="156" w:afterLines="50" w:line="360" w:lineRule="auto"/>
        <w:ind w:firstLine="480" w:firstLineChars="200"/>
        <w:rPr>
          <w:color w:val="000000"/>
          <w:kern w:val="0"/>
          <w:sz w:val="24"/>
        </w:rPr>
      </w:pPr>
      <w:r>
        <w:rPr>
          <w:color w:val="000000"/>
          <w:kern w:val="0"/>
          <w:sz w:val="24"/>
        </w:rPr>
        <w:t>南京市国资委</w:t>
      </w:r>
      <w:r>
        <w:rPr>
          <w:rFonts w:hint="eastAsia"/>
          <w:color w:val="000000"/>
          <w:kern w:val="0"/>
          <w:sz w:val="24"/>
          <w:lang w:eastAsia="zh-CN"/>
        </w:rPr>
        <w:t>拟</w:t>
      </w:r>
      <w:r>
        <w:rPr>
          <w:color w:val="000000"/>
          <w:kern w:val="0"/>
          <w:sz w:val="24"/>
        </w:rPr>
        <w:t>将其持有的东南集团100%股权</w:t>
      </w:r>
      <w:r>
        <w:rPr>
          <w:rFonts w:hint="eastAsia"/>
          <w:color w:val="000000"/>
          <w:kern w:val="0"/>
          <w:sz w:val="24"/>
          <w:lang w:eastAsia="zh-CN"/>
        </w:rPr>
        <w:t>，作为资本金注入至</w:t>
      </w:r>
      <w:r>
        <w:rPr>
          <w:color w:val="000000"/>
          <w:kern w:val="0"/>
          <w:sz w:val="24"/>
        </w:rPr>
        <w:t>南京市国资集团</w:t>
      </w:r>
      <w:r>
        <w:rPr>
          <w:rFonts w:hint="eastAsia"/>
          <w:color w:val="000000"/>
          <w:kern w:val="0"/>
          <w:sz w:val="24"/>
          <w:lang w:eastAsia="zh-CN"/>
        </w:rPr>
        <w:t>。</w:t>
      </w:r>
      <w:r>
        <w:rPr>
          <w:color w:val="000000"/>
          <w:kern w:val="0"/>
          <w:sz w:val="24"/>
          <w:highlight w:val="none"/>
        </w:rPr>
        <w:t>本次权益变动</w:t>
      </w:r>
      <w:r>
        <w:rPr>
          <w:rFonts w:hint="eastAsia"/>
          <w:color w:val="000000"/>
          <w:kern w:val="0"/>
          <w:sz w:val="24"/>
          <w:highlight w:val="none"/>
          <w:lang w:eastAsia="zh-CN"/>
        </w:rPr>
        <w:t>前</w:t>
      </w:r>
      <w:r>
        <w:rPr>
          <w:color w:val="000000"/>
          <w:kern w:val="0"/>
          <w:sz w:val="24"/>
          <w:highlight w:val="none"/>
        </w:rPr>
        <w:t>，南京市国资集团通过全资子公司紫金集团控制紫金银行8.96%股权，东南集团</w:t>
      </w:r>
      <w:r>
        <w:rPr>
          <w:rFonts w:hint="eastAsia"/>
          <w:color w:val="000000"/>
          <w:kern w:val="0"/>
          <w:sz w:val="24"/>
          <w:highlight w:val="none"/>
          <w:lang w:eastAsia="zh-CN"/>
        </w:rPr>
        <w:t>通过</w:t>
      </w:r>
      <w:r>
        <w:rPr>
          <w:color w:val="000000"/>
          <w:kern w:val="0"/>
          <w:sz w:val="24"/>
          <w:highlight w:val="none"/>
        </w:rPr>
        <w:t>控股子公司南京市河西新城区国有资产经营控股（集团）有限责任公司</w:t>
      </w:r>
      <w:r>
        <w:rPr>
          <w:rFonts w:hint="eastAsia"/>
          <w:color w:val="000000"/>
          <w:kern w:val="0"/>
          <w:sz w:val="24"/>
          <w:highlight w:val="none"/>
        </w:rPr>
        <w:t>（以下简称“</w:t>
      </w:r>
      <w:r>
        <w:rPr>
          <w:color w:val="000000"/>
          <w:kern w:val="0"/>
          <w:sz w:val="24"/>
          <w:highlight w:val="none"/>
        </w:rPr>
        <w:t>河西国资控股</w:t>
      </w:r>
      <w:r>
        <w:rPr>
          <w:rFonts w:hint="eastAsia"/>
          <w:color w:val="000000"/>
          <w:kern w:val="0"/>
          <w:sz w:val="24"/>
          <w:highlight w:val="none"/>
        </w:rPr>
        <w:t>”）</w:t>
      </w:r>
      <w:r>
        <w:rPr>
          <w:color w:val="000000"/>
          <w:kern w:val="0"/>
          <w:sz w:val="24"/>
          <w:highlight w:val="none"/>
        </w:rPr>
        <w:t>控制紫金银行2.55%股权</w:t>
      </w:r>
      <w:r>
        <w:rPr>
          <w:rFonts w:hint="eastAsia"/>
          <w:color w:val="000000"/>
          <w:kern w:val="0"/>
          <w:sz w:val="24"/>
          <w:highlight w:val="none"/>
          <w:lang w:eastAsia="zh-CN"/>
        </w:rPr>
        <w:t>。</w:t>
      </w:r>
      <w:r>
        <w:rPr>
          <w:rFonts w:hint="eastAsia"/>
          <w:color w:val="000000"/>
          <w:kern w:val="0"/>
          <w:sz w:val="24"/>
        </w:rPr>
        <w:t>股权控制关系如下图所示：</w:t>
      </w:r>
    </w:p>
    <w:p>
      <w:pPr>
        <w:spacing w:line="360" w:lineRule="auto"/>
        <w:ind w:firstLine="480" w:firstLineChars="200"/>
        <w:rPr>
          <w:rFonts w:hint="eastAsia" w:eastAsia="宋体"/>
          <w:color w:val="000000"/>
          <w:kern w:val="0"/>
          <w:sz w:val="24"/>
          <w:highlight w:val="yellow"/>
          <w:lang w:eastAsia="zh-CN"/>
        </w:rPr>
      </w:pPr>
    </w:p>
    <w:p>
      <w:pPr>
        <w:spacing w:after="156" w:afterLines="50" w:line="360" w:lineRule="auto"/>
        <w:jc w:val="center"/>
        <w:rPr>
          <w:color w:val="000000"/>
          <w:kern w:val="0"/>
          <w:sz w:val="24"/>
        </w:rPr>
      </w:pPr>
      <w:r>
        <w:rPr>
          <w:color w:val="000000"/>
          <w:kern w:val="0"/>
          <w:sz w:val="24"/>
        </w:rPr>
        <w:drawing>
          <wp:inline distT="0" distB="0" distL="0" distR="0">
            <wp:extent cx="2136775" cy="3013710"/>
            <wp:effectExtent l="0" t="0" r="15875" b="15240"/>
            <wp:docPr id="1180985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85326" name="图片 1"/>
                    <pic:cNvPicPr>
                      <a:picLocks noChangeAspect="1"/>
                    </pic:cNvPicPr>
                  </pic:nvPicPr>
                  <pic:blipFill>
                    <a:blip r:embed="rId6"/>
                    <a:stretch>
                      <a:fillRect/>
                    </a:stretch>
                  </pic:blipFill>
                  <pic:spPr>
                    <a:xfrm>
                      <a:off x="0" y="0"/>
                      <a:ext cx="2136775" cy="3013710"/>
                    </a:xfrm>
                    <a:prstGeom prst="rect">
                      <a:avLst/>
                    </a:prstGeom>
                  </pic:spPr>
                </pic:pic>
              </a:graphicData>
            </a:graphic>
          </wp:inline>
        </w:drawing>
      </w:r>
    </w:p>
    <w:p>
      <w:pPr>
        <w:widowControl/>
        <w:numPr>
          <w:ilvl w:val="0"/>
          <w:numId w:val="0"/>
        </w:numPr>
        <w:adjustRightInd w:val="0"/>
        <w:snapToGrid w:val="0"/>
        <w:spacing w:after="0" w:afterLines="-2147483648" w:line="360" w:lineRule="auto"/>
        <w:ind w:firstLine="480" w:firstLineChars="200"/>
        <w:jc w:val="left"/>
        <w:rPr>
          <w:color w:val="000000"/>
          <w:kern w:val="0"/>
          <w:sz w:val="24"/>
        </w:rPr>
      </w:pPr>
      <w:r>
        <w:rPr>
          <w:rFonts w:hint="eastAsia"/>
          <w:color w:val="000000"/>
          <w:kern w:val="0"/>
          <w:sz w:val="24"/>
        </w:rPr>
        <w:t>本次权益变动完成后，</w:t>
      </w:r>
      <w:r>
        <w:rPr>
          <w:rFonts w:hint="eastAsia"/>
          <w:color w:val="000000"/>
          <w:kern w:val="0"/>
          <w:sz w:val="24"/>
          <w:lang w:eastAsia="zh-CN"/>
        </w:rPr>
        <w:t>紫金集团和</w:t>
      </w:r>
      <w:r>
        <w:rPr>
          <w:color w:val="000000"/>
          <w:kern w:val="0"/>
          <w:sz w:val="24"/>
          <w:highlight w:val="none"/>
        </w:rPr>
        <w:t>河西国资控股</w:t>
      </w:r>
      <w:r>
        <w:rPr>
          <w:rFonts w:hint="eastAsia"/>
          <w:color w:val="000000"/>
          <w:kern w:val="0"/>
          <w:sz w:val="24"/>
          <w:lang w:eastAsia="zh-CN"/>
        </w:rPr>
        <w:t>直接持有的公司股权比例未发生变化，</w:t>
      </w:r>
      <w:r>
        <w:rPr>
          <w:rFonts w:hint="eastAsia" w:ascii="宋体" w:hAnsi="宋体" w:eastAsia="宋体" w:cs="宋体"/>
          <w:color w:val="000000"/>
          <w:sz w:val="24"/>
          <w:szCs w:val="24"/>
          <w:highlight w:val="none"/>
        </w:rPr>
        <w:t>东南集团将成为南京市国资集团的全资子公司</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南京市国资集团合计控制紫金银行的股权比例由8.96%增至11.51%</w:t>
      </w:r>
      <w:r>
        <w:rPr>
          <w:rFonts w:hint="eastAsia" w:ascii="宋体" w:hAnsi="宋体" w:cs="宋体"/>
          <w:color w:val="000000"/>
          <w:sz w:val="24"/>
          <w:szCs w:val="24"/>
          <w:highlight w:val="none"/>
          <w:lang w:eastAsia="zh-CN"/>
        </w:rPr>
        <w:t>，其中</w:t>
      </w:r>
      <w:r>
        <w:rPr>
          <w:rFonts w:hint="eastAsia" w:ascii="宋体" w:hAnsi="宋体" w:cs="宋体"/>
          <w:color w:val="000000"/>
          <w:sz w:val="24"/>
          <w:highlight w:val="none"/>
        </w:rPr>
        <w:t>通过全资子公司紫金集团控制紫金银行8.96%股权，通过全资子公司东南集团之控股子公司河西国资控股控制紫金银行2.55%股权</w:t>
      </w:r>
      <w:r>
        <w:rPr>
          <w:rFonts w:hint="eastAsia" w:ascii="宋体" w:hAnsi="宋体" w:cs="宋体"/>
          <w:color w:val="000000"/>
          <w:sz w:val="24"/>
          <w:highlight w:val="none"/>
          <w:lang w:eastAsia="zh-CN"/>
        </w:rPr>
        <w:t>。</w:t>
      </w:r>
      <w:r>
        <w:rPr>
          <w:rFonts w:hint="eastAsia"/>
          <w:color w:val="000000"/>
          <w:kern w:val="0"/>
          <w:sz w:val="24"/>
        </w:rPr>
        <w:t>股权控制关系如下图所示：</w:t>
      </w:r>
    </w:p>
    <w:p>
      <w:pPr>
        <w:spacing w:line="360" w:lineRule="auto"/>
        <w:ind w:firstLine="420" w:firstLineChars="200"/>
        <w:jc w:val="center"/>
        <w:rPr>
          <w:color w:val="000000"/>
          <w:kern w:val="0"/>
          <w:sz w:val="24"/>
        </w:rPr>
      </w:pPr>
      <w:r>
        <w:rPr>
          <w:rFonts w:hint="eastAsia" w:eastAsia="宋体"/>
          <w:szCs w:val="24"/>
          <w:lang w:eastAsia="zh-CN"/>
        </w:rPr>
        <w:drawing>
          <wp:inline distT="0" distB="0" distL="114300" distR="114300">
            <wp:extent cx="2765425" cy="3552190"/>
            <wp:effectExtent l="0" t="0" r="15875" b="10160"/>
            <wp:docPr id="1" name="图片 1" descr="aaa07fa5a636a46df0a03fb13cb2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aa07fa5a636a46df0a03fb13cb26e0"/>
                    <pic:cNvPicPr>
                      <a:picLocks noChangeAspect="1"/>
                    </pic:cNvPicPr>
                  </pic:nvPicPr>
                  <pic:blipFill>
                    <a:blip r:embed="rId7"/>
                    <a:stretch>
                      <a:fillRect/>
                    </a:stretch>
                  </pic:blipFill>
                  <pic:spPr>
                    <a:xfrm>
                      <a:off x="0" y="0"/>
                      <a:ext cx="2765425" cy="3552190"/>
                    </a:xfrm>
                    <a:prstGeom prst="rect">
                      <a:avLst/>
                    </a:prstGeom>
                  </pic:spPr>
                </pic:pic>
              </a:graphicData>
            </a:graphic>
          </wp:inline>
        </w:drawing>
      </w:r>
    </w:p>
    <w:p>
      <w:pPr>
        <w:spacing w:line="360" w:lineRule="auto"/>
        <w:ind w:firstLine="480" w:firstLineChars="200"/>
        <w:jc w:val="center"/>
        <w:rPr>
          <w:color w:val="000000"/>
          <w:kern w:val="0"/>
          <w:sz w:val="24"/>
        </w:rPr>
      </w:pPr>
    </w:p>
    <w:p>
      <w:pPr>
        <w:adjustRightInd w:val="0"/>
        <w:snapToGrid w:val="0"/>
        <w:spacing w:line="360" w:lineRule="auto"/>
        <w:ind w:firstLine="480" w:firstLineChars="200"/>
        <w:rPr>
          <w:color w:val="000000"/>
          <w:kern w:val="0"/>
          <w:sz w:val="24"/>
        </w:rPr>
      </w:pPr>
      <w:r>
        <w:rPr>
          <w:color w:val="000000"/>
          <w:kern w:val="0"/>
          <w:sz w:val="24"/>
        </w:rPr>
        <w:t>本次权益变动中，南京市国资委以其持有的东南集团100%股权向南京市国资集团增资，因此本次权益变动不涉及资金来源相关事项。</w:t>
      </w:r>
    </w:p>
    <w:p>
      <w:pPr>
        <w:spacing w:line="360" w:lineRule="auto"/>
        <w:ind w:firstLine="482" w:firstLineChars="200"/>
        <w:rPr>
          <w:b/>
          <w:bCs/>
          <w:color w:val="000000"/>
          <w:kern w:val="0"/>
          <w:sz w:val="24"/>
        </w:rPr>
      </w:pPr>
      <w:r>
        <w:rPr>
          <w:b/>
          <w:bCs/>
          <w:color w:val="000000"/>
          <w:kern w:val="0"/>
          <w:sz w:val="24"/>
        </w:rPr>
        <w:t>二、</w:t>
      </w:r>
      <w:r>
        <w:rPr>
          <w:rFonts w:hint="eastAsia"/>
          <w:b/>
          <w:bCs/>
          <w:color w:val="000000"/>
          <w:kern w:val="0"/>
          <w:sz w:val="24"/>
        </w:rPr>
        <w:t>信息披露义务人</w:t>
      </w:r>
      <w:r>
        <w:rPr>
          <w:b/>
          <w:bCs/>
          <w:color w:val="000000"/>
          <w:kern w:val="0"/>
          <w:sz w:val="24"/>
        </w:rPr>
        <w:t>的基本情况</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435"/>
        <w:gridCol w:w="64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公司名称</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南京市国有资产投资管理控股（集团）有限责任公司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注册资本</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544,191.66万元人民币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统一社会信用代码</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913201007423563481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注册地址</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南京市雨花台区玉兰路8号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法定代表人</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李滨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企业类型</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经营范围</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授权资产的营运与监管、资本运营、资产委托经营、产权经营、项目评估分析、风险投资、实业投资、项目开发、物业管理、不良资产处置、债权清收、财务顾问及其他按法律规定可以从事的和市政府委托的相关经营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9" w:type="pct"/>
            <w:vAlign w:val="center"/>
          </w:tcPr>
          <w:p>
            <w:pPr>
              <w:rPr>
                <w:rFonts w:hint="eastAsia" w:ascii="宋体" w:hAnsi="宋体" w:eastAsia="宋体" w:cs="宋体"/>
                <w:szCs w:val="21"/>
              </w:rPr>
            </w:pPr>
            <w:r>
              <w:rPr>
                <w:rFonts w:hint="eastAsia" w:ascii="宋体" w:hAnsi="宋体" w:eastAsia="宋体" w:cs="宋体"/>
                <w:szCs w:val="21"/>
              </w:rPr>
              <w:t>经营期限</w:t>
            </w:r>
          </w:p>
        </w:tc>
        <w:tc>
          <w:tcPr>
            <w:tcW w:w="3631" w:type="pct"/>
            <w:vAlign w:val="center"/>
          </w:tcPr>
          <w:p>
            <w:pPr>
              <w:rPr>
                <w:rFonts w:hint="eastAsia" w:ascii="宋体" w:hAnsi="宋体" w:eastAsia="宋体" w:cs="宋体"/>
                <w:szCs w:val="21"/>
              </w:rPr>
            </w:pPr>
            <w:r>
              <w:rPr>
                <w:rFonts w:hint="eastAsia" w:ascii="宋体" w:hAnsi="宋体" w:eastAsia="宋体" w:cs="宋体"/>
                <w:szCs w:val="21"/>
              </w:rPr>
              <w:t>2002-09-03至无固定期限</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b/>
          <w:bCs/>
          <w:color w:val="000000"/>
          <w:kern w:val="0"/>
          <w:sz w:val="24"/>
        </w:rPr>
      </w:pPr>
      <w:r>
        <w:rPr>
          <w:b/>
          <w:bCs/>
          <w:color w:val="000000"/>
          <w:kern w:val="0"/>
          <w:sz w:val="24"/>
        </w:rPr>
        <w:t>三、所涉</w:t>
      </w:r>
      <w:r>
        <w:rPr>
          <w:rFonts w:hint="eastAsia"/>
          <w:b/>
          <w:bCs/>
          <w:color w:val="000000"/>
          <w:kern w:val="0"/>
          <w:sz w:val="24"/>
          <w:lang w:eastAsia="zh-CN"/>
        </w:rPr>
        <w:t>及</w:t>
      </w:r>
      <w:r>
        <w:rPr>
          <w:b/>
          <w:bCs/>
          <w:color w:val="000000"/>
          <w:kern w:val="0"/>
          <w:sz w:val="24"/>
        </w:rPr>
        <w:t>后续事项</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本次权益变动不触及要约收购</w:t>
      </w:r>
      <w:r>
        <w:rPr>
          <w:rFonts w:hint="eastAsia" w:ascii="宋体" w:hAnsi="宋体" w:eastAsia="宋体" w:cs="宋体"/>
          <w:color w:val="000000"/>
          <w:sz w:val="24"/>
          <w:szCs w:val="24"/>
          <w:lang w:eastAsia="zh-CN"/>
        </w:rPr>
        <w:t>，未</w:t>
      </w:r>
      <w:r>
        <w:rPr>
          <w:rFonts w:hint="eastAsia" w:ascii="宋体" w:hAnsi="宋体" w:eastAsia="宋体" w:cs="宋体"/>
          <w:color w:val="000000"/>
          <w:sz w:val="24"/>
          <w:szCs w:val="24"/>
          <w:highlight w:val="none"/>
          <w:lang w:eastAsia="zh-CN"/>
        </w:rPr>
        <w:t>使公司第一大股东发生变化，</w:t>
      </w:r>
      <w:r>
        <w:rPr>
          <w:color w:val="000000"/>
          <w:kern w:val="0"/>
          <w:sz w:val="24"/>
          <w:highlight w:val="none"/>
        </w:rPr>
        <w:t>紫金集团持股比例未发生变动，仍为</w:t>
      </w:r>
      <w:r>
        <w:rPr>
          <w:rFonts w:hint="eastAsia"/>
          <w:color w:val="000000"/>
          <w:kern w:val="0"/>
          <w:sz w:val="24"/>
          <w:highlight w:val="none"/>
          <w:lang w:eastAsia="zh-CN"/>
        </w:rPr>
        <w:t>公司</w:t>
      </w:r>
      <w:r>
        <w:rPr>
          <w:color w:val="000000"/>
          <w:kern w:val="0"/>
          <w:sz w:val="24"/>
          <w:highlight w:val="none"/>
        </w:rPr>
        <w:t>第一大股东，</w:t>
      </w:r>
      <w:r>
        <w:rPr>
          <w:rFonts w:hint="eastAsia" w:ascii="宋体" w:hAnsi="宋体" w:eastAsia="宋体" w:cs="宋体"/>
          <w:color w:val="000000"/>
          <w:sz w:val="24"/>
          <w:szCs w:val="24"/>
          <w:highlight w:val="none"/>
          <w:lang w:eastAsia="zh-CN"/>
        </w:rPr>
        <w:t>未使公司无</w:t>
      </w:r>
      <w:r>
        <w:rPr>
          <w:rFonts w:hint="eastAsia" w:ascii="宋体" w:hAnsi="宋体" w:eastAsia="宋体" w:cs="宋体"/>
          <w:color w:val="000000"/>
          <w:sz w:val="24"/>
          <w:szCs w:val="24"/>
          <w:highlight w:val="none"/>
        </w:rPr>
        <w:t>控股股东及实际控制人</w:t>
      </w:r>
      <w:r>
        <w:rPr>
          <w:rFonts w:hint="eastAsia" w:ascii="宋体" w:hAnsi="宋体" w:eastAsia="宋体" w:cs="宋体"/>
          <w:color w:val="000000"/>
          <w:sz w:val="24"/>
          <w:szCs w:val="24"/>
          <w:highlight w:val="none"/>
          <w:lang w:eastAsia="zh-CN"/>
        </w:rPr>
        <w:t>现状</w:t>
      </w:r>
      <w:r>
        <w:rPr>
          <w:rFonts w:hint="eastAsia" w:ascii="宋体" w:hAnsi="宋体" w:eastAsia="宋体" w:cs="宋体"/>
          <w:color w:val="000000"/>
          <w:sz w:val="24"/>
          <w:szCs w:val="24"/>
          <w:highlight w:val="none"/>
        </w:rPr>
        <w:t>发生变</w:t>
      </w:r>
      <w:r>
        <w:rPr>
          <w:rFonts w:hint="eastAsia" w:ascii="宋体" w:hAnsi="宋体" w:eastAsia="宋体" w:cs="宋体"/>
          <w:color w:val="000000"/>
          <w:sz w:val="24"/>
          <w:szCs w:val="24"/>
          <w:highlight w:val="none"/>
          <w:lang w:val="en-US" w:eastAsia="zh-CN"/>
        </w:rPr>
        <w:t>化。</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color w:val="000000"/>
          <w:kern w:val="0"/>
          <w:sz w:val="24"/>
          <w:highlight w:val="none"/>
        </w:rPr>
      </w:pPr>
      <w:r>
        <w:rPr>
          <w:color w:val="000000"/>
          <w:kern w:val="0"/>
          <w:sz w:val="24"/>
          <w:highlight w:val="none"/>
        </w:rPr>
        <w:t>本次</w:t>
      </w:r>
      <w:r>
        <w:rPr>
          <w:rFonts w:hint="eastAsia"/>
          <w:color w:val="000000"/>
          <w:kern w:val="0"/>
          <w:sz w:val="24"/>
          <w:highlight w:val="none"/>
        </w:rPr>
        <w:t>权益变动</w:t>
      </w:r>
      <w:r>
        <w:rPr>
          <w:color w:val="000000"/>
          <w:kern w:val="0"/>
          <w:sz w:val="24"/>
          <w:highlight w:val="none"/>
        </w:rPr>
        <w:t>的详细内容，详见公司在</w:t>
      </w:r>
      <w:r>
        <w:rPr>
          <w:rFonts w:hint="eastAsia"/>
          <w:color w:val="000000"/>
          <w:kern w:val="0"/>
          <w:sz w:val="24"/>
          <w:highlight w:val="none"/>
          <w:lang w:eastAsia="zh-CN"/>
        </w:rPr>
        <w:t>上海证券交易所网站</w:t>
      </w:r>
      <w:r>
        <w:rPr>
          <w:rFonts w:hint="eastAsia" w:ascii="宋体" w:hAnsi="宋体" w:cs="宋体"/>
          <w:color w:val="000000"/>
          <w:kern w:val="0"/>
          <w:sz w:val="24"/>
          <w:szCs w:val="24"/>
          <w:highlight w:val="none"/>
          <w:lang w:val="en-US" w:eastAsia="zh-CN" w:bidi="ar-SA"/>
        </w:rPr>
        <w:t>（www.sse.com.cn）</w:t>
      </w:r>
      <w:r>
        <w:rPr>
          <w:color w:val="000000"/>
          <w:kern w:val="0"/>
          <w:sz w:val="24"/>
          <w:highlight w:val="none"/>
        </w:rPr>
        <w:t>披露的《</w:t>
      </w:r>
      <w:r>
        <w:rPr>
          <w:rFonts w:hint="eastAsia"/>
          <w:color w:val="000000"/>
          <w:kern w:val="0"/>
          <w:sz w:val="24"/>
          <w:highlight w:val="none"/>
        </w:rPr>
        <w:t>江苏紫金农村商业银行股份有限公司详式权益变动报告书</w:t>
      </w:r>
      <w:r>
        <w:rPr>
          <w:color w:val="000000"/>
          <w:kern w:val="0"/>
          <w:sz w:val="24"/>
          <w:highlight w:val="none"/>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000000"/>
          <w:kern w:val="0"/>
          <w:sz w:val="24"/>
        </w:rPr>
      </w:pPr>
      <w:r>
        <w:rPr>
          <w:color w:val="000000"/>
          <w:kern w:val="0"/>
          <w:sz w:val="24"/>
          <w:highlight w:val="none"/>
        </w:rPr>
        <w:t>本次权益变动不会对公司的正常经营和持续发展造成不利影响，不存在损害公</w:t>
      </w:r>
      <w:r>
        <w:rPr>
          <w:color w:val="000000"/>
          <w:kern w:val="0"/>
          <w:sz w:val="24"/>
        </w:rPr>
        <w:t>司和中小股东利益的情形。</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color w:val="000000"/>
          <w:kern w:val="0"/>
          <w:sz w:val="24"/>
        </w:rPr>
      </w:pPr>
      <w:r>
        <w:rPr>
          <w:color w:val="000000"/>
          <w:kern w:val="0"/>
          <w:sz w:val="24"/>
        </w:rPr>
        <w:t>公司将根据该事项后续进展情况及时履行信息披露义务。敬请广大投资者注意投资风险。</w:t>
      </w:r>
    </w:p>
    <w:p>
      <w:pPr>
        <w:spacing w:line="360" w:lineRule="auto"/>
        <w:ind w:firstLine="468" w:firstLineChars="200"/>
        <w:rPr>
          <w:rFonts w:hint="eastAsia" w:ascii="宋体" w:hAnsi="宋体"/>
          <w:b/>
          <w:bCs/>
          <w:spacing w:val="-3"/>
          <w:sz w:val="24"/>
        </w:rPr>
      </w:pPr>
      <w:bookmarkStart w:id="3" w:name="_GoBack"/>
      <w:bookmarkEnd w:id="3"/>
      <w:r>
        <w:rPr>
          <w:rFonts w:ascii="宋体" w:hAnsi="宋体"/>
          <w:b w:val="0"/>
          <w:bCs w:val="0"/>
          <w:color w:val="000000"/>
          <w:spacing w:val="-3"/>
          <w:kern w:val="0"/>
          <w:sz w:val="24"/>
        </w:rPr>
        <w:t>特此公告</w:t>
      </w:r>
      <w:r>
        <w:rPr>
          <w:rFonts w:ascii="宋体" w:hAnsi="宋体"/>
          <w:b w:val="0"/>
          <w:bCs w:val="0"/>
          <w:spacing w:val="-3"/>
          <w:sz w:val="24"/>
        </w:rPr>
        <w:t>。</w:t>
      </w:r>
    </w:p>
    <w:p>
      <w:pPr>
        <w:spacing w:line="360" w:lineRule="auto"/>
        <w:ind w:firstLine="470" w:firstLineChars="200"/>
        <w:rPr>
          <w:rFonts w:hint="eastAsia" w:ascii="宋体" w:hAnsi="宋体"/>
          <w:b/>
          <w:bCs/>
          <w:color w:val="000000"/>
          <w:spacing w:val="-3"/>
          <w:kern w:val="0"/>
          <w:sz w:val="24"/>
        </w:rPr>
      </w:pPr>
    </w:p>
    <w:p>
      <w:pPr>
        <w:pStyle w:val="6"/>
        <w:spacing w:line="360" w:lineRule="auto"/>
        <w:ind w:firstLine="472" w:firstLineChars="200"/>
        <w:jc w:val="right"/>
        <w:rPr>
          <w:rFonts w:eastAsia="宋体"/>
          <w:spacing w:val="-2"/>
          <w:sz w:val="24"/>
          <w:szCs w:val="24"/>
        </w:rPr>
      </w:pPr>
      <w:r>
        <w:rPr>
          <w:rFonts w:eastAsia="宋体"/>
          <w:spacing w:val="-2"/>
          <w:sz w:val="24"/>
          <w:szCs w:val="24"/>
        </w:rPr>
        <w:t>江苏紫金农村商业银行股份有限公司董事会</w:t>
      </w:r>
    </w:p>
    <w:p>
      <w:pPr>
        <w:pStyle w:val="6"/>
        <w:spacing w:line="360" w:lineRule="auto"/>
        <w:ind w:firstLine="440" w:firstLineChars="200"/>
        <w:jc w:val="right"/>
        <w:rPr>
          <w:rFonts w:hint="eastAsia" w:ascii="宋体" w:hAnsi="宋体" w:eastAsia="宋体" w:cs="宋体"/>
          <w:color w:val="000000"/>
          <w:kern w:val="0"/>
          <w:sz w:val="24"/>
        </w:rPr>
      </w:pPr>
      <w:r>
        <w:rPr>
          <w:rFonts w:hint="eastAsia" w:ascii="宋体" w:hAnsi="宋体" w:eastAsia="宋体" w:cs="宋体"/>
          <w:spacing w:val="-10"/>
          <w:sz w:val="24"/>
          <w:szCs w:val="24"/>
        </w:rPr>
        <w:t>2026年8月</w:t>
      </w:r>
      <w:r>
        <w:rPr>
          <w:rFonts w:hint="eastAsia" w:ascii="宋体" w:hAnsi="宋体" w:eastAsia="宋体" w:cs="宋体"/>
          <w:spacing w:val="-10"/>
          <w:sz w:val="24"/>
          <w:szCs w:val="24"/>
          <w:lang w:val="en-US" w:eastAsia="zh-CN"/>
        </w:rPr>
        <w:t>20</w:t>
      </w:r>
      <w:r>
        <w:rPr>
          <w:rFonts w:hint="eastAsia" w:ascii="宋体" w:hAnsi="宋体" w:eastAsia="宋体" w:cs="宋体"/>
          <w:spacing w:val="-10"/>
          <w:sz w:val="24"/>
          <w:szCs w:val="24"/>
        </w:rPr>
        <w:t>日</w:t>
      </w:r>
    </w:p>
    <w:sectPr>
      <w:footerReference r:id="rId3" w:type="default"/>
      <w:footerReference r:id="rId4" w:type="even"/>
      <w:pgSz w:w="11906" w:h="16838"/>
      <w:pgMar w:top="1588" w:right="1416" w:bottom="1588" w:left="181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Garamond">
    <w:panose1 w:val="02020404030301010803"/>
    <w:charset w:val="00"/>
    <w:family w:val="roman"/>
    <w:pitch w:val="default"/>
    <w:sig w:usb0="00000287" w:usb1="00000000" w:usb2="00000000" w:usb3="00000000" w:csb0="0000009F" w:csb1="DFD70000"/>
  </w:font>
  <w:font w:name="仿宋_GB2312">
    <w:panose1 w:val="02010609030101010101"/>
    <w:charset w:val="86"/>
    <w:family w:val="modern"/>
    <w:pitch w:val="default"/>
    <w:sig w:usb0="00000001" w:usb1="080E0000" w:usb2="00000000" w:usb3="00000000" w:csb0="00040000" w:csb1="00000000"/>
  </w:font>
  <w:font w:name="ˎ̥">
    <w:altName w:val="宋体"/>
    <w:panose1 w:val="00000000000000000000"/>
    <w:charset w:val="01"/>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0111279"/>
    </w:sdtPr>
    <w:sdtContent>
      <w:p>
        <w:pPr>
          <w:pStyle w:val="11"/>
          <w:jc w:val="center"/>
        </w:pPr>
        <w:r>
          <w:fldChar w:fldCharType="begin"/>
        </w:r>
        <w:r>
          <w:instrText xml:space="preserve">PAGE   \* MERGEFORMAT</w:instrText>
        </w:r>
        <w:r>
          <w:fldChar w:fldCharType="separate"/>
        </w:r>
        <w:r>
          <w:rPr>
            <w:lang w:val="zh-CN"/>
          </w:rPr>
          <w:t>3</w:t>
        </w:r>
        <w:r>
          <w:fldChar w:fldCharType="end"/>
        </w:r>
      </w:p>
    </w:sdtContent>
  </w:sdt>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B00438"/>
    <w:multiLevelType w:val="multilevel"/>
    <w:tmpl w:val="1EB00438"/>
    <w:lvl w:ilvl="0" w:tentative="0">
      <w:start w:val="1"/>
      <w:numFmt w:val="chineseCountingThousand"/>
      <w:suff w:val="nothing"/>
      <w:lvlText w:val="第%1章 "/>
      <w:lvlJc w:val="center"/>
      <w:pPr>
        <w:ind w:left="0" w:firstLine="0"/>
      </w:pPr>
      <w:rPr>
        <w:rFonts w:hint="eastAsia" w:eastAsia="黑体"/>
        <w:b/>
        <w:i w:val="0"/>
        <w:sz w:val="30"/>
      </w:rPr>
    </w:lvl>
    <w:lvl w:ilvl="1" w:tentative="0">
      <w:start w:val="1"/>
      <w:numFmt w:val="chineseCountingThousand"/>
      <w:lvlRestart w:val="0"/>
      <w:pStyle w:val="13"/>
      <w:lvlText w:val="第%2条 "/>
      <w:lvlJc w:val="left"/>
      <w:pPr>
        <w:tabs>
          <w:tab w:val="left" w:pos="1140"/>
        </w:tabs>
        <w:ind w:left="0" w:firstLine="420"/>
      </w:pPr>
      <w:rPr>
        <w:rFonts w:hint="eastAsia" w:eastAsia="宋体"/>
        <w:b/>
        <w:i w:val="0"/>
        <w:sz w:val="24"/>
      </w:rPr>
    </w:lvl>
    <w:lvl w:ilvl="2" w:tentative="0">
      <w:start w:val="1"/>
      <w:numFmt w:val="chineseCountingThousand"/>
      <w:lvlText w:val="（%3）"/>
      <w:lvlJc w:val="left"/>
      <w:pPr>
        <w:tabs>
          <w:tab w:val="left" w:pos="2700"/>
        </w:tabs>
        <w:ind w:left="1200" w:firstLine="420"/>
      </w:pPr>
      <w:rPr>
        <w:rFonts w:hint="eastAsia"/>
      </w:rPr>
    </w:lvl>
    <w:lvl w:ilvl="3" w:tentative="0">
      <w:start w:val="1"/>
      <w:numFmt w:val="decimal"/>
      <w:suff w:val="space"/>
      <w:lvlText w:val="%4. "/>
      <w:lvlJc w:val="left"/>
      <w:pPr>
        <w:ind w:left="0" w:firstLine="420"/>
      </w:pPr>
      <w:rPr>
        <w:rFonts w:hint="eastAsia"/>
      </w:rPr>
    </w:lvl>
    <w:lvl w:ilvl="4" w:tentative="0">
      <w:start w:val="1"/>
      <w:numFmt w:val="decimal"/>
      <w:lvlText w:val="（%5）"/>
      <w:lvlJc w:val="left"/>
      <w:pPr>
        <w:tabs>
          <w:tab w:val="left" w:pos="1500"/>
        </w:tabs>
        <w:ind w:left="0" w:firstLine="420"/>
      </w:pPr>
      <w:rPr>
        <w:rFonts w:hint="eastAsia"/>
      </w:rPr>
    </w:lvl>
    <w:lvl w:ilvl="5" w:tentative="0">
      <w:start w:val="1"/>
      <w:numFmt w:val="lowerLetter"/>
      <w:suff w:val="space"/>
      <w:lvlText w:val="%6. "/>
      <w:lvlJc w:val="left"/>
      <w:pPr>
        <w:ind w:left="0" w:firstLine="420"/>
      </w:pPr>
      <w:rPr>
        <w:rFonts w:hint="eastAsia"/>
      </w:rPr>
    </w:lvl>
    <w:lvl w:ilvl="6" w:tentative="0">
      <w:start w:val="1"/>
      <w:numFmt w:val="lowerLetter"/>
      <w:lvlText w:val="（%7）"/>
      <w:lvlJc w:val="left"/>
      <w:pPr>
        <w:tabs>
          <w:tab w:val="left" w:pos="1500"/>
        </w:tabs>
        <w:ind w:left="0" w:firstLine="420"/>
      </w:pPr>
      <w:rPr>
        <w:rFonts w:hint="eastAsia"/>
      </w:rPr>
    </w:lvl>
    <w:lvl w:ilvl="7" w:tentative="0">
      <w:start w:val="1"/>
      <w:numFmt w:val="lowerRoman"/>
      <w:suff w:val="space"/>
      <w:lvlText w:val="%8. "/>
      <w:lvlJc w:val="left"/>
      <w:pPr>
        <w:ind w:left="0" w:firstLine="420"/>
      </w:pPr>
      <w:rPr>
        <w:rFonts w:hint="eastAsia"/>
      </w:rPr>
    </w:lvl>
    <w:lvl w:ilvl="8" w:tentative="0">
      <w:start w:val="1"/>
      <w:numFmt w:val="lowerRoman"/>
      <w:lvlText w:val="（%9）"/>
      <w:lvlJc w:val="left"/>
      <w:pPr>
        <w:tabs>
          <w:tab w:val="left" w:pos="1860"/>
        </w:tabs>
        <w:ind w:left="0" w:firstLine="420"/>
      </w:pPr>
      <w:rPr>
        <w:rFonts w:hint="eastAsia"/>
      </w:rPr>
    </w:lvl>
  </w:abstractNum>
  <w:abstractNum w:abstractNumId="1">
    <w:nsid w:val="39385A0C"/>
    <w:multiLevelType w:val="multilevel"/>
    <w:tmpl w:val="39385A0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7B375039"/>
    <w:multiLevelType w:val="multilevel"/>
    <w:tmpl w:val="7B375039"/>
    <w:lvl w:ilvl="0" w:tentative="0">
      <w:start w:val="1"/>
      <w:numFmt w:val="japaneseCounting"/>
      <w:pStyle w:val="40"/>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YzUzMWQ4OWI0YzBkYjYzMDRhZTY5ZjZkYmFmYTgifQ=="/>
  </w:docVars>
  <w:rsids>
    <w:rsidRoot w:val="00320A08"/>
    <w:rsid w:val="0000058F"/>
    <w:rsid w:val="0000063F"/>
    <w:rsid w:val="00001868"/>
    <w:rsid w:val="000022EA"/>
    <w:rsid w:val="000027A4"/>
    <w:rsid w:val="00006340"/>
    <w:rsid w:val="00007553"/>
    <w:rsid w:val="00010003"/>
    <w:rsid w:val="00012A4B"/>
    <w:rsid w:val="00013841"/>
    <w:rsid w:val="0001453D"/>
    <w:rsid w:val="00014614"/>
    <w:rsid w:val="00014A80"/>
    <w:rsid w:val="00021191"/>
    <w:rsid w:val="00021956"/>
    <w:rsid w:val="0002279F"/>
    <w:rsid w:val="000238C0"/>
    <w:rsid w:val="000248EE"/>
    <w:rsid w:val="0002590E"/>
    <w:rsid w:val="0002648E"/>
    <w:rsid w:val="000277DA"/>
    <w:rsid w:val="00030035"/>
    <w:rsid w:val="0003015A"/>
    <w:rsid w:val="00032833"/>
    <w:rsid w:val="00032918"/>
    <w:rsid w:val="00032A75"/>
    <w:rsid w:val="00032E6B"/>
    <w:rsid w:val="00033072"/>
    <w:rsid w:val="0003407B"/>
    <w:rsid w:val="0003415C"/>
    <w:rsid w:val="000354FD"/>
    <w:rsid w:val="0003681E"/>
    <w:rsid w:val="00037962"/>
    <w:rsid w:val="00037C0D"/>
    <w:rsid w:val="00040200"/>
    <w:rsid w:val="00040FA8"/>
    <w:rsid w:val="00042441"/>
    <w:rsid w:val="000429ED"/>
    <w:rsid w:val="0004353C"/>
    <w:rsid w:val="00043B03"/>
    <w:rsid w:val="00043C2F"/>
    <w:rsid w:val="00043DE4"/>
    <w:rsid w:val="0004477B"/>
    <w:rsid w:val="00046298"/>
    <w:rsid w:val="000465E0"/>
    <w:rsid w:val="00051CB1"/>
    <w:rsid w:val="0005274C"/>
    <w:rsid w:val="0005382E"/>
    <w:rsid w:val="00053854"/>
    <w:rsid w:val="000553C9"/>
    <w:rsid w:val="000557AD"/>
    <w:rsid w:val="000571FF"/>
    <w:rsid w:val="00057664"/>
    <w:rsid w:val="00061C07"/>
    <w:rsid w:val="000627BC"/>
    <w:rsid w:val="0006310C"/>
    <w:rsid w:val="00064B3A"/>
    <w:rsid w:val="00065650"/>
    <w:rsid w:val="000664EB"/>
    <w:rsid w:val="00066612"/>
    <w:rsid w:val="00070AB7"/>
    <w:rsid w:val="00070CD9"/>
    <w:rsid w:val="00070EA1"/>
    <w:rsid w:val="0007327F"/>
    <w:rsid w:val="00073331"/>
    <w:rsid w:val="00074C5F"/>
    <w:rsid w:val="0007635F"/>
    <w:rsid w:val="000764FA"/>
    <w:rsid w:val="000765A2"/>
    <w:rsid w:val="000769B3"/>
    <w:rsid w:val="000775F3"/>
    <w:rsid w:val="00081C39"/>
    <w:rsid w:val="0008327A"/>
    <w:rsid w:val="0008330E"/>
    <w:rsid w:val="00083A62"/>
    <w:rsid w:val="000859D7"/>
    <w:rsid w:val="00085D6F"/>
    <w:rsid w:val="00086DAC"/>
    <w:rsid w:val="00091011"/>
    <w:rsid w:val="0009102F"/>
    <w:rsid w:val="000921A9"/>
    <w:rsid w:val="00092BED"/>
    <w:rsid w:val="00093718"/>
    <w:rsid w:val="0009410B"/>
    <w:rsid w:val="00096AAE"/>
    <w:rsid w:val="000977F6"/>
    <w:rsid w:val="0009792E"/>
    <w:rsid w:val="000A075C"/>
    <w:rsid w:val="000A09EA"/>
    <w:rsid w:val="000A1B35"/>
    <w:rsid w:val="000A2209"/>
    <w:rsid w:val="000A2D76"/>
    <w:rsid w:val="000A65FB"/>
    <w:rsid w:val="000B052E"/>
    <w:rsid w:val="000B20D4"/>
    <w:rsid w:val="000B2BDD"/>
    <w:rsid w:val="000B2D16"/>
    <w:rsid w:val="000B2F7A"/>
    <w:rsid w:val="000B4517"/>
    <w:rsid w:val="000B52A8"/>
    <w:rsid w:val="000B5A4B"/>
    <w:rsid w:val="000B6287"/>
    <w:rsid w:val="000C0072"/>
    <w:rsid w:val="000C1352"/>
    <w:rsid w:val="000C184D"/>
    <w:rsid w:val="000C1C2F"/>
    <w:rsid w:val="000C4066"/>
    <w:rsid w:val="000C43E8"/>
    <w:rsid w:val="000C4822"/>
    <w:rsid w:val="000C5CDB"/>
    <w:rsid w:val="000C6E87"/>
    <w:rsid w:val="000D0043"/>
    <w:rsid w:val="000D0088"/>
    <w:rsid w:val="000D10F3"/>
    <w:rsid w:val="000D1BB3"/>
    <w:rsid w:val="000D20CC"/>
    <w:rsid w:val="000D2C05"/>
    <w:rsid w:val="000D3319"/>
    <w:rsid w:val="000D461C"/>
    <w:rsid w:val="000D6200"/>
    <w:rsid w:val="000E0259"/>
    <w:rsid w:val="000E113F"/>
    <w:rsid w:val="000E26FB"/>
    <w:rsid w:val="000E314C"/>
    <w:rsid w:val="000E3592"/>
    <w:rsid w:val="000E3745"/>
    <w:rsid w:val="000E4DBB"/>
    <w:rsid w:val="000E5844"/>
    <w:rsid w:val="000E58DE"/>
    <w:rsid w:val="000E71F5"/>
    <w:rsid w:val="000F05DC"/>
    <w:rsid w:val="000F0B85"/>
    <w:rsid w:val="000F0EFA"/>
    <w:rsid w:val="000F12D6"/>
    <w:rsid w:val="000F13F7"/>
    <w:rsid w:val="000F155C"/>
    <w:rsid w:val="000F2559"/>
    <w:rsid w:val="000F36F8"/>
    <w:rsid w:val="000F4226"/>
    <w:rsid w:val="000F42C2"/>
    <w:rsid w:val="000F672F"/>
    <w:rsid w:val="000F67DB"/>
    <w:rsid w:val="00100CC4"/>
    <w:rsid w:val="00101294"/>
    <w:rsid w:val="0010146E"/>
    <w:rsid w:val="00101CDF"/>
    <w:rsid w:val="00102B6F"/>
    <w:rsid w:val="00102D53"/>
    <w:rsid w:val="00103043"/>
    <w:rsid w:val="001040E5"/>
    <w:rsid w:val="001048B9"/>
    <w:rsid w:val="001050C6"/>
    <w:rsid w:val="00106C62"/>
    <w:rsid w:val="00107AD5"/>
    <w:rsid w:val="00107B7E"/>
    <w:rsid w:val="001116FE"/>
    <w:rsid w:val="001121DC"/>
    <w:rsid w:val="0011260F"/>
    <w:rsid w:val="0011406A"/>
    <w:rsid w:val="001150EC"/>
    <w:rsid w:val="001167FB"/>
    <w:rsid w:val="001209BF"/>
    <w:rsid w:val="00121BA4"/>
    <w:rsid w:val="00122377"/>
    <w:rsid w:val="00122752"/>
    <w:rsid w:val="001249EB"/>
    <w:rsid w:val="00125BBC"/>
    <w:rsid w:val="00125EFE"/>
    <w:rsid w:val="00126242"/>
    <w:rsid w:val="001263B5"/>
    <w:rsid w:val="00127C24"/>
    <w:rsid w:val="001309C2"/>
    <w:rsid w:val="00130BF8"/>
    <w:rsid w:val="00130D32"/>
    <w:rsid w:val="001332C2"/>
    <w:rsid w:val="00133CE4"/>
    <w:rsid w:val="00135C7C"/>
    <w:rsid w:val="00135CC8"/>
    <w:rsid w:val="00136CD0"/>
    <w:rsid w:val="00136FC4"/>
    <w:rsid w:val="0013730E"/>
    <w:rsid w:val="001374D2"/>
    <w:rsid w:val="001375A4"/>
    <w:rsid w:val="00137C21"/>
    <w:rsid w:val="0014166A"/>
    <w:rsid w:val="00143FF0"/>
    <w:rsid w:val="0014513E"/>
    <w:rsid w:val="00147208"/>
    <w:rsid w:val="00147421"/>
    <w:rsid w:val="001500A9"/>
    <w:rsid w:val="00150292"/>
    <w:rsid w:val="00152D20"/>
    <w:rsid w:val="0015391C"/>
    <w:rsid w:val="0015671F"/>
    <w:rsid w:val="00157988"/>
    <w:rsid w:val="00161E36"/>
    <w:rsid w:val="0016382E"/>
    <w:rsid w:val="00163D08"/>
    <w:rsid w:val="00165757"/>
    <w:rsid w:val="00171FA6"/>
    <w:rsid w:val="0017309B"/>
    <w:rsid w:val="00174C07"/>
    <w:rsid w:val="00174D7C"/>
    <w:rsid w:val="001750EC"/>
    <w:rsid w:val="00175F72"/>
    <w:rsid w:val="0017674B"/>
    <w:rsid w:val="0017691D"/>
    <w:rsid w:val="00176BE9"/>
    <w:rsid w:val="00176E39"/>
    <w:rsid w:val="00177AAB"/>
    <w:rsid w:val="00177CCF"/>
    <w:rsid w:val="00177CFB"/>
    <w:rsid w:val="00177FE1"/>
    <w:rsid w:val="00180075"/>
    <w:rsid w:val="00180954"/>
    <w:rsid w:val="00180AA3"/>
    <w:rsid w:val="00181DAB"/>
    <w:rsid w:val="0018235B"/>
    <w:rsid w:val="00182C8E"/>
    <w:rsid w:val="00183003"/>
    <w:rsid w:val="0018340D"/>
    <w:rsid w:val="00183E6F"/>
    <w:rsid w:val="00185A19"/>
    <w:rsid w:val="0019021D"/>
    <w:rsid w:val="0019233C"/>
    <w:rsid w:val="001923DD"/>
    <w:rsid w:val="00192E4D"/>
    <w:rsid w:val="00195A7C"/>
    <w:rsid w:val="00195EF9"/>
    <w:rsid w:val="00196D46"/>
    <w:rsid w:val="001A0E63"/>
    <w:rsid w:val="001A111A"/>
    <w:rsid w:val="001A14CC"/>
    <w:rsid w:val="001A1CE8"/>
    <w:rsid w:val="001A2D4C"/>
    <w:rsid w:val="001A3786"/>
    <w:rsid w:val="001A3E83"/>
    <w:rsid w:val="001A5801"/>
    <w:rsid w:val="001A61F4"/>
    <w:rsid w:val="001A6671"/>
    <w:rsid w:val="001A6F17"/>
    <w:rsid w:val="001A7A80"/>
    <w:rsid w:val="001B03B3"/>
    <w:rsid w:val="001B1988"/>
    <w:rsid w:val="001B34A5"/>
    <w:rsid w:val="001B3B33"/>
    <w:rsid w:val="001B3B9A"/>
    <w:rsid w:val="001B3D2F"/>
    <w:rsid w:val="001B4C3A"/>
    <w:rsid w:val="001B5AB6"/>
    <w:rsid w:val="001B65CB"/>
    <w:rsid w:val="001B6706"/>
    <w:rsid w:val="001C0749"/>
    <w:rsid w:val="001C0D66"/>
    <w:rsid w:val="001C36E1"/>
    <w:rsid w:val="001C3E87"/>
    <w:rsid w:val="001C3ECB"/>
    <w:rsid w:val="001C4A12"/>
    <w:rsid w:val="001C5F23"/>
    <w:rsid w:val="001D2752"/>
    <w:rsid w:val="001D512D"/>
    <w:rsid w:val="001E1A72"/>
    <w:rsid w:val="001E3E51"/>
    <w:rsid w:val="001E3FEA"/>
    <w:rsid w:val="001E41F6"/>
    <w:rsid w:val="001E4351"/>
    <w:rsid w:val="001E48BA"/>
    <w:rsid w:val="001E4E1A"/>
    <w:rsid w:val="001E5230"/>
    <w:rsid w:val="001E579B"/>
    <w:rsid w:val="001E628F"/>
    <w:rsid w:val="001F041D"/>
    <w:rsid w:val="001F0507"/>
    <w:rsid w:val="001F1B53"/>
    <w:rsid w:val="001F217E"/>
    <w:rsid w:val="001F2C8D"/>
    <w:rsid w:val="001F3209"/>
    <w:rsid w:val="001F543F"/>
    <w:rsid w:val="001F5D84"/>
    <w:rsid w:val="001F67E6"/>
    <w:rsid w:val="001F78F2"/>
    <w:rsid w:val="00200B3C"/>
    <w:rsid w:val="00200C03"/>
    <w:rsid w:val="00201021"/>
    <w:rsid w:val="00201AE8"/>
    <w:rsid w:val="00201E4A"/>
    <w:rsid w:val="00202177"/>
    <w:rsid w:val="00202BD0"/>
    <w:rsid w:val="00203914"/>
    <w:rsid w:val="00204F95"/>
    <w:rsid w:val="002050BB"/>
    <w:rsid w:val="0020614F"/>
    <w:rsid w:val="00206274"/>
    <w:rsid w:val="00206D3E"/>
    <w:rsid w:val="00207EEB"/>
    <w:rsid w:val="00210DF6"/>
    <w:rsid w:val="00211E6A"/>
    <w:rsid w:val="00214AD0"/>
    <w:rsid w:val="00216DC9"/>
    <w:rsid w:val="0021743B"/>
    <w:rsid w:val="002219B8"/>
    <w:rsid w:val="00222ECD"/>
    <w:rsid w:val="002230C9"/>
    <w:rsid w:val="0022366D"/>
    <w:rsid w:val="00223D59"/>
    <w:rsid w:val="00225F19"/>
    <w:rsid w:val="00226160"/>
    <w:rsid w:val="00226930"/>
    <w:rsid w:val="00226F28"/>
    <w:rsid w:val="00232041"/>
    <w:rsid w:val="0023261D"/>
    <w:rsid w:val="002326E3"/>
    <w:rsid w:val="00235219"/>
    <w:rsid w:val="002355D5"/>
    <w:rsid w:val="00236356"/>
    <w:rsid w:val="002369EB"/>
    <w:rsid w:val="00236B79"/>
    <w:rsid w:val="0023796B"/>
    <w:rsid w:val="00240DFC"/>
    <w:rsid w:val="00241073"/>
    <w:rsid w:val="00241556"/>
    <w:rsid w:val="00242888"/>
    <w:rsid w:val="00242FB2"/>
    <w:rsid w:val="00243A5C"/>
    <w:rsid w:val="002443F7"/>
    <w:rsid w:val="002451A1"/>
    <w:rsid w:val="00245E52"/>
    <w:rsid w:val="00246A00"/>
    <w:rsid w:val="002500EE"/>
    <w:rsid w:val="00250736"/>
    <w:rsid w:val="00250D5A"/>
    <w:rsid w:val="002519F5"/>
    <w:rsid w:val="00253113"/>
    <w:rsid w:val="00253FDC"/>
    <w:rsid w:val="0025578F"/>
    <w:rsid w:val="002575EB"/>
    <w:rsid w:val="0026063C"/>
    <w:rsid w:val="002606EC"/>
    <w:rsid w:val="00260941"/>
    <w:rsid w:val="002625C1"/>
    <w:rsid w:val="00263892"/>
    <w:rsid w:val="0026390E"/>
    <w:rsid w:val="002643D9"/>
    <w:rsid w:val="00264A02"/>
    <w:rsid w:val="00265B0B"/>
    <w:rsid w:val="00265B6E"/>
    <w:rsid w:val="0026718B"/>
    <w:rsid w:val="00270172"/>
    <w:rsid w:val="00270298"/>
    <w:rsid w:val="002713A9"/>
    <w:rsid w:val="002717CD"/>
    <w:rsid w:val="0027569C"/>
    <w:rsid w:val="00275CF1"/>
    <w:rsid w:val="00276959"/>
    <w:rsid w:val="00276BD4"/>
    <w:rsid w:val="00276C44"/>
    <w:rsid w:val="00280104"/>
    <w:rsid w:val="002854EB"/>
    <w:rsid w:val="00285D08"/>
    <w:rsid w:val="00286F52"/>
    <w:rsid w:val="0028708C"/>
    <w:rsid w:val="00290E99"/>
    <w:rsid w:val="00291D7B"/>
    <w:rsid w:val="00292156"/>
    <w:rsid w:val="00293830"/>
    <w:rsid w:val="0029594C"/>
    <w:rsid w:val="00297328"/>
    <w:rsid w:val="00297661"/>
    <w:rsid w:val="002A4AD0"/>
    <w:rsid w:val="002A566B"/>
    <w:rsid w:val="002A711D"/>
    <w:rsid w:val="002A73BF"/>
    <w:rsid w:val="002A7754"/>
    <w:rsid w:val="002B1A67"/>
    <w:rsid w:val="002B2911"/>
    <w:rsid w:val="002B2D9C"/>
    <w:rsid w:val="002B3525"/>
    <w:rsid w:val="002C027F"/>
    <w:rsid w:val="002C0B0F"/>
    <w:rsid w:val="002C242F"/>
    <w:rsid w:val="002C3635"/>
    <w:rsid w:val="002C40AF"/>
    <w:rsid w:val="002C4E56"/>
    <w:rsid w:val="002C7090"/>
    <w:rsid w:val="002C71F7"/>
    <w:rsid w:val="002C7657"/>
    <w:rsid w:val="002C7F42"/>
    <w:rsid w:val="002D082F"/>
    <w:rsid w:val="002D1C1A"/>
    <w:rsid w:val="002D3CEE"/>
    <w:rsid w:val="002D55B8"/>
    <w:rsid w:val="002D73EE"/>
    <w:rsid w:val="002D74A3"/>
    <w:rsid w:val="002D7A2A"/>
    <w:rsid w:val="002E1256"/>
    <w:rsid w:val="002E1ED8"/>
    <w:rsid w:val="002E3254"/>
    <w:rsid w:val="002E647D"/>
    <w:rsid w:val="002E7023"/>
    <w:rsid w:val="002E70ED"/>
    <w:rsid w:val="002E7147"/>
    <w:rsid w:val="002F2687"/>
    <w:rsid w:val="002F2C46"/>
    <w:rsid w:val="002F2EF8"/>
    <w:rsid w:val="002F2F09"/>
    <w:rsid w:val="002F31D1"/>
    <w:rsid w:val="002F3261"/>
    <w:rsid w:val="002F6D00"/>
    <w:rsid w:val="00301252"/>
    <w:rsid w:val="00301D26"/>
    <w:rsid w:val="00303F46"/>
    <w:rsid w:val="00304F10"/>
    <w:rsid w:val="00306AD6"/>
    <w:rsid w:val="0030707D"/>
    <w:rsid w:val="0030745C"/>
    <w:rsid w:val="00307E1B"/>
    <w:rsid w:val="00307F4A"/>
    <w:rsid w:val="00310124"/>
    <w:rsid w:val="0031292A"/>
    <w:rsid w:val="00314497"/>
    <w:rsid w:val="00317770"/>
    <w:rsid w:val="00320363"/>
    <w:rsid w:val="00320A08"/>
    <w:rsid w:val="00320E78"/>
    <w:rsid w:val="00321277"/>
    <w:rsid w:val="003238C4"/>
    <w:rsid w:val="00324BA1"/>
    <w:rsid w:val="00326259"/>
    <w:rsid w:val="0032699E"/>
    <w:rsid w:val="003278E6"/>
    <w:rsid w:val="0033029F"/>
    <w:rsid w:val="00332F5A"/>
    <w:rsid w:val="00333145"/>
    <w:rsid w:val="0033357E"/>
    <w:rsid w:val="0033422A"/>
    <w:rsid w:val="003357A9"/>
    <w:rsid w:val="00335B6C"/>
    <w:rsid w:val="00336D53"/>
    <w:rsid w:val="003379AE"/>
    <w:rsid w:val="00337D09"/>
    <w:rsid w:val="00341E60"/>
    <w:rsid w:val="00342A3C"/>
    <w:rsid w:val="00343835"/>
    <w:rsid w:val="003438BB"/>
    <w:rsid w:val="00344530"/>
    <w:rsid w:val="003474AC"/>
    <w:rsid w:val="00347BFA"/>
    <w:rsid w:val="0035070C"/>
    <w:rsid w:val="00351E4E"/>
    <w:rsid w:val="00353B42"/>
    <w:rsid w:val="00354D1D"/>
    <w:rsid w:val="00357233"/>
    <w:rsid w:val="00357CA4"/>
    <w:rsid w:val="0036097C"/>
    <w:rsid w:val="00360B82"/>
    <w:rsid w:val="00360F7D"/>
    <w:rsid w:val="0036182B"/>
    <w:rsid w:val="00363DEB"/>
    <w:rsid w:val="00363F78"/>
    <w:rsid w:val="00364680"/>
    <w:rsid w:val="00364836"/>
    <w:rsid w:val="003660B0"/>
    <w:rsid w:val="0036728D"/>
    <w:rsid w:val="00367595"/>
    <w:rsid w:val="00367FB2"/>
    <w:rsid w:val="003706FA"/>
    <w:rsid w:val="00370D6B"/>
    <w:rsid w:val="00371972"/>
    <w:rsid w:val="003724E3"/>
    <w:rsid w:val="00373BDD"/>
    <w:rsid w:val="0037478A"/>
    <w:rsid w:val="00374F18"/>
    <w:rsid w:val="0038187B"/>
    <w:rsid w:val="003826F2"/>
    <w:rsid w:val="003829BC"/>
    <w:rsid w:val="00384211"/>
    <w:rsid w:val="00384978"/>
    <w:rsid w:val="00390634"/>
    <w:rsid w:val="00390738"/>
    <w:rsid w:val="00390B9A"/>
    <w:rsid w:val="00390D15"/>
    <w:rsid w:val="00394252"/>
    <w:rsid w:val="0039594B"/>
    <w:rsid w:val="00395C3D"/>
    <w:rsid w:val="00396E11"/>
    <w:rsid w:val="003A1AAA"/>
    <w:rsid w:val="003A25C2"/>
    <w:rsid w:val="003A2E4F"/>
    <w:rsid w:val="003A2E66"/>
    <w:rsid w:val="003A369B"/>
    <w:rsid w:val="003A369C"/>
    <w:rsid w:val="003A3787"/>
    <w:rsid w:val="003A3F29"/>
    <w:rsid w:val="003A4A15"/>
    <w:rsid w:val="003A4F39"/>
    <w:rsid w:val="003A6651"/>
    <w:rsid w:val="003A670D"/>
    <w:rsid w:val="003A6D8C"/>
    <w:rsid w:val="003A6EDA"/>
    <w:rsid w:val="003A7906"/>
    <w:rsid w:val="003A7A31"/>
    <w:rsid w:val="003B313B"/>
    <w:rsid w:val="003B49BF"/>
    <w:rsid w:val="003B5677"/>
    <w:rsid w:val="003B6968"/>
    <w:rsid w:val="003B7C61"/>
    <w:rsid w:val="003B7D16"/>
    <w:rsid w:val="003C1160"/>
    <w:rsid w:val="003C1286"/>
    <w:rsid w:val="003C1F9A"/>
    <w:rsid w:val="003C222B"/>
    <w:rsid w:val="003C28FB"/>
    <w:rsid w:val="003C3028"/>
    <w:rsid w:val="003C4237"/>
    <w:rsid w:val="003C6630"/>
    <w:rsid w:val="003C6E9C"/>
    <w:rsid w:val="003C7268"/>
    <w:rsid w:val="003D10AA"/>
    <w:rsid w:val="003D10E6"/>
    <w:rsid w:val="003D1995"/>
    <w:rsid w:val="003D2341"/>
    <w:rsid w:val="003D29EC"/>
    <w:rsid w:val="003D2A83"/>
    <w:rsid w:val="003D3CD8"/>
    <w:rsid w:val="003D42F8"/>
    <w:rsid w:val="003D5EC2"/>
    <w:rsid w:val="003D6334"/>
    <w:rsid w:val="003D68AE"/>
    <w:rsid w:val="003D6BED"/>
    <w:rsid w:val="003D6C19"/>
    <w:rsid w:val="003E035A"/>
    <w:rsid w:val="003E0AD9"/>
    <w:rsid w:val="003E182C"/>
    <w:rsid w:val="003E3036"/>
    <w:rsid w:val="003E30E9"/>
    <w:rsid w:val="003E4ED3"/>
    <w:rsid w:val="003E50D9"/>
    <w:rsid w:val="003E645E"/>
    <w:rsid w:val="003E6918"/>
    <w:rsid w:val="003E7964"/>
    <w:rsid w:val="003E7D7A"/>
    <w:rsid w:val="003E7E4D"/>
    <w:rsid w:val="003F12C6"/>
    <w:rsid w:val="003F2481"/>
    <w:rsid w:val="003F2EE4"/>
    <w:rsid w:val="003F342C"/>
    <w:rsid w:val="003F4EE6"/>
    <w:rsid w:val="003F54FA"/>
    <w:rsid w:val="003F7687"/>
    <w:rsid w:val="00402FDE"/>
    <w:rsid w:val="0040323F"/>
    <w:rsid w:val="00403FC5"/>
    <w:rsid w:val="00405015"/>
    <w:rsid w:val="004051FB"/>
    <w:rsid w:val="004058C3"/>
    <w:rsid w:val="004061C6"/>
    <w:rsid w:val="004071FB"/>
    <w:rsid w:val="004105BC"/>
    <w:rsid w:val="00411B98"/>
    <w:rsid w:val="00412626"/>
    <w:rsid w:val="004129EF"/>
    <w:rsid w:val="00412C0B"/>
    <w:rsid w:val="0041455C"/>
    <w:rsid w:val="00420AFE"/>
    <w:rsid w:val="004212DB"/>
    <w:rsid w:val="00423C8B"/>
    <w:rsid w:val="00423DD7"/>
    <w:rsid w:val="00424F04"/>
    <w:rsid w:val="0042537E"/>
    <w:rsid w:val="00426023"/>
    <w:rsid w:val="0042721B"/>
    <w:rsid w:val="00430AC2"/>
    <w:rsid w:val="00431994"/>
    <w:rsid w:val="00431CC4"/>
    <w:rsid w:val="00433085"/>
    <w:rsid w:val="00433967"/>
    <w:rsid w:val="004339D2"/>
    <w:rsid w:val="004349F9"/>
    <w:rsid w:val="004350D8"/>
    <w:rsid w:val="00436A23"/>
    <w:rsid w:val="00436F4C"/>
    <w:rsid w:val="004408BE"/>
    <w:rsid w:val="00442F74"/>
    <w:rsid w:val="004436A0"/>
    <w:rsid w:val="00445DC8"/>
    <w:rsid w:val="00445F3D"/>
    <w:rsid w:val="00446619"/>
    <w:rsid w:val="00446C25"/>
    <w:rsid w:val="00447C55"/>
    <w:rsid w:val="00447E23"/>
    <w:rsid w:val="0045378B"/>
    <w:rsid w:val="00453917"/>
    <w:rsid w:val="00454DCD"/>
    <w:rsid w:val="004600CB"/>
    <w:rsid w:val="0046123C"/>
    <w:rsid w:val="0046187A"/>
    <w:rsid w:val="0046242E"/>
    <w:rsid w:val="00463C56"/>
    <w:rsid w:val="00464D59"/>
    <w:rsid w:val="004658BD"/>
    <w:rsid w:val="00465B19"/>
    <w:rsid w:val="0046708F"/>
    <w:rsid w:val="00472C03"/>
    <w:rsid w:val="00472FDA"/>
    <w:rsid w:val="00474031"/>
    <w:rsid w:val="00474036"/>
    <w:rsid w:val="0047566E"/>
    <w:rsid w:val="00476417"/>
    <w:rsid w:val="004766CC"/>
    <w:rsid w:val="00480F76"/>
    <w:rsid w:val="00481CA6"/>
    <w:rsid w:val="00481EA3"/>
    <w:rsid w:val="00483146"/>
    <w:rsid w:val="004848B2"/>
    <w:rsid w:val="00486397"/>
    <w:rsid w:val="00487842"/>
    <w:rsid w:val="00487E6D"/>
    <w:rsid w:val="00487EB3"/>
    <w:rsid w:val="004906AC"/>
    <w:rsid w:val="00490898"/>
    <w:rsid w:val="00491703"/>
    <w:rsid w:val="00491E02"/>
    <w:rsid w:val="00493CAD"/>
    <w:rsid w:val="00494F23"/>
    <w:rsid w:val="00494F5F"/>
    <w:rsid w:val="00495C98"/>
    <w:rsid w:val="004A2631"/>
    <w:rsid w:val="004A279E"/>
    <w:rsid w:val="004A38F3"/>
    <w:rsid w:val="004A72E2"/>
    <w:rsid w:val="004B0A4E"/>
    <w:rsid w:val="004B0D0B"/>
    <w:rsid w:val="004B1946"/>
    <w:rsid w:val="004B1CED"/>
    <w:rsid w:val="004B250C"/>
    <w:rsid w:val="004B2AF2"/>
    <w:rsid w:val="004B347C"/>
    <w:rsid w:val="004B3601"/>
    <w:rsid w:val="004B4408"/>
    <w:rsid w:val="004B4ACD"/>
    <w:rsid w:val="004B5097"/>
    <w:rsid w:val="004B5241"/>
    <w:rsid w:val="004B5D85"/>
    <w:rsid w:val="004B6062"/>
    <w:rsid w:val="004B6084"/>
    <w:rsid w:val="004C06ED"/>
    <w:rsid w:val="004C1058"/>
    <w:rsid w:val="004C1C0F"/>
    <w:rsid w:val="004C4F17"/>
    <w:rsid w:val="004C543E"/>
    <w:rsid w:val="004C5A6F"/>
    <w:rsid w:val="004C6778"/>
    <w:rsid w:val="004C6DD0"/>
    <w:rsid w:val="004D0071"/>
    <w:rsid w:val="004D2ACD"/>
    <w:rsid w:val="004D3BC8"/>
    <w:rsid w:val="004D489B"/>
    <w:rsid w:val="004D5D0A"/>
    <w:rsid w:val="004D6703"/>
    <w:rsid w:val="004D6CE1"/>
    <w:rsid w:val="004E084A"/>
    <w:rsid w:val="004E105C"/>
    <w:rsid w:val="004E28AC"/>
    <w:rsid w:val="004E4174"/>
    <w:rsid w:val="004E6225"/>
    <w:rsid w:val="004E710E"/>
    <w:rsid w:val="004E73B5"/>
    <w:rsid w:val="004E7782"/>
    <w:rsid w:val="004F0F11"/>
    <w:rsid w:val="004F41AE"/>
    <w:rsid w:val="004F59BE"/>
    <w:rsid w:val="004F68AD"/>
    <w:rsid w:val="004F7977"/>
    <w:rsid w:val="00500657"/>
    <w:rsid w:val="00501AF8"/>
    <w:rsid w:val="005068A4"/>
    <w:rsid w:val="0051000B"/>
    <w:rsid w:val="005104F2"/>
    <w:rsid w:val="00511E80"/>
    <w:rsid w:val="005126CA"/>
    <w:rsid w:val="0051428C"/>
    <w:rsid w:val="00514747"/>
    <w:rsid w:val="00514B7F"/>
    <w:rsid w:val="00514EDF"/>
    <w:rsid w:val="005178E5"/>
    <w:rsid w:val="00521B34"/>
    <w:rsid w:val="00522559"/>
    <w:rsid w:val="00522D5A"/>
    <w:rsid w:val="00522E2A"/>
    <w:rsid w:val="00523ADD"/>
    <w:rsid w:val="00524559"/>
    <w:rsid w:val="00524B03"/>
    <w:rsid w:val="005251C2"/>
    <w:rsid w:val="0052550A"/>
    <w:rsid w:val="00525D89"/>
    <w:rsid w:val="00525F63"/>
    <w:rsid w:val="005271DA"/>
    <w:rsid w:val="00527933"/>
    <w:rsid w:val="005311F1"/>
    <w:rsid w:val="0053139A"/>
    <w:rsid w:val="00531E6F"/>
    <w:rsid w:val="005323D9"/>
    <w:rsid w:val="00532FA7"/>
    <w:rsid w:val="00536A05"/>
    <w:rsid w:val="00537619"/>
    <w:rsid w:val="005403E5"/>
    <w:rsid w:val="005418DA"/>
    <w:rsid w:val="00543DDF"/>
    <w:rsid w:val="005454B8"/>
    <w:rsid w:val="005468AB"/>
    <w:rsid w:val="00546E45"/>
    <w:rsid w:val="005523E6"/>
    <w:rsid w:val="00552C94"/>
    <w:rsid w:val="00553BE0"/>
    <w:rsid w:val="005545DE"/>
    <w:rsid w:val="005563DA"/>
    <w:rsid w:val="00556FB3"/>
    <w:rsid w:val="00561018"/>
    <w:rsid w:val="00562610"/>
    <w:rsid w:val="0056264C"/>
    <w:rsid w:val="00564A7B"/>
    <w:rsid w:val="00564EED"/>
    <w:rsid w:val="0056764A"/>
    <w:rsid w:val="005678F8"/>
    <w:rsid w:val="0057169C"/>
    <w:rsid w:val="00572414"/>
    <w:rsid w:val="00572683"/>
    <w:rsid w:val="00572D59"/>
    <w:rsid w:val="0057312C"/>
    <w:rsid w:val="005803B4"/>
    <w:rsid w:val="0058057C"/>
    <w:rsid w:val="005817DC"/>
    <w:rsid w:val="00587331"/>
    <w:rsid w:val="005910C9"/>
    <w:rsid w:val="0059151A"/>
    <w:rsid w:val="005915C2"/>
    <w:rsid w:val="0059198A"/>
    <w:rsid w:val="00592780"/>
    <w:rsid w:val="00592924"/>
    <w:rsid w:val="00593453"/>
    <w:rsid w:val="00595A5B"/>
    <w:rsid w:val="00595E00"/>
    <w:rsid w:val="00596422"/>
    <w:rsid w:val="00596478"/>
    <w:rsid w:val="005972C9"/>
    <w:rsid w:val="00597E0F"/>
    <w:rsid w:val="005A0511"/>
    <w:rsid w:val="005A06B1"/>
    <w:rsid w:val="005A0F2F"/>
    <w:rsid w:val="005A1186"/>
    <w:rsid w:val="005A19C4"/>
    <w:rsid w:val="005A1E55"/>
    <w:rsid w:val="005A1EE1"/>
    <w:rsid w:val="005A236F"/>
    <w:rsid w:val="005A2418"/>
    <w:rsid w:val="005A2643"/>
    <w:rsid w:val="005A30A6"/>
    <w:rsid w:val="005A3870"/>
    <w:rsid w:val="005A4D32"/>
    <w:rsid w:val="005A4DAC"/>
    <w:rsid w:val="005A67D7"/>
    <w:rsid w:val="005A6B57"/>
    <w:rsid w:val="005A6F4F"/>
    <w:rsid w:val="005A7374"/>
    <w:rsid w:val="005B0718"/>
    <w:rsid w:val="005B10D8"/>
    <w:rsid w:val="005B29D0"/>
    <w:rsid w:val="005B319A"/>
    <w:rsid w:val="005B4033"/>
    <w:rsid w:val="005B4EF7"/>
    <w:rsid w:val="005B4F99"/>
    <w:rsid w:val="005B613C"/>
    <w:rsid w:val="005B7C26"/>
    <w:rsid w:val="005C2104"/>
    <w:rsid w:val="005C2A5C"/>
    <w:rsid w:val="005C2F2C"/>
    <w:rsid w:val="005C3097"/>
    <w:rsid w:val="005C3236"/>
    <w:rsid w:val="005C633E"/>
    <w:rsid w:val="005C66B3"/>
    <w:rsid w:val="005C7425"/>
    <w:rsid w:val="005C74BC"/>
    <w:rsid w:val="005D07AD"/>
    <w:rsid w:val="005D09F1"/>
    <w:rsid w:val="005D20D2"/>
    <w:rsid w:val="005D22CE"/>
    <w:rsid w:val="005D4CE1"/>
    <w:rsid w:val="005D5230"/>
    <w:rsid w:val="005D5F0D"/>
    <w:rsid w:val="005D7363"/>
    <w:rsid w:val="005D7E3B"/>
    <w:rsid w:val="005E0758"/>
    <w:rsid w:val="005E1497"/>
    <w:rsid w:val="005E2A0B"/>
    <w:rsid w:val="005E306D"/>
    <w:rsid w:val="005E3A25"/>
    <w:rsid w:val="005E3A8F"/>
    <w:rsid w:val="005E3DBC"/>
    <w:rsid w:val="005E3F79"/>
    <w:rsid w:val="005E3FC4"/>
    <w:rsid w:val="005E52BB"/>
    <w:rsid w:val="005E5578"/>
    <w:rsid w:val="005E7131"/>
    <w:rsid w:val="005F0CD3"/>
    <w:rsid w:val="005F133F"/>
    <w:rsid w:val="005F2D77"/>
    <w:rsid w:val="005F560C"/>
    <w:rsid w:val="005F68F5"/>
    <w:rsid w:val="0060036A"/>
    <w:rsid w:val="00600729"/>
    <w:rsid w:val="00600EE9"/>
    <w:rsid w:val="00601114"/>
    <w:rsid w:val="006011A8"/>
    <w:rsid w:val="006015F9"/>
    <w:rsid w:val="0060240E"/>
    <w:rsid w:val="00602932"/>
    <w:rsid w:val="006050E5"/>
    <w:rsid w:val="00605F2D"/>
    <w:rsid w:val="006100ED"/>
    <w:rsid w:val="006113F4"/>
    <w:rsid w:val="00611D58"/>
    <w:rsid w:val="00611E7D"/>
    <w:rsid w:val="00613271"/>
    <w:rsid w:val="006136EB"/>
    <w:rsid w:val="00613DC5"/>
    <w:rsid w:val="00614388"/>
    <w:rsid w:val="006161A1"/>
    <w:rsid w:val="00616284"/>
    <w:rsid w:val="00616F45"/>
    <w:rsid w:val="00617353"/>
    <w:rsid w:val="00617FA5"/>
    <w:rsid w:val="00621644"/>
    <w:rsid w:val="00621962"/>
    <w:rsid w:val="00622AE3"/>
    <w:rsid w:val="00624E36"/>
    <w:rsid w:val="006265DA"/>
    <w:rsid w:val="006300CD"/>
    <w:rsid w:val="00630653"/>
    <w:rsid w:val="00632055"/>
    <w:rsid w:val="00633BCD"/>
    <w:rsid w:val="00634175"/>
    <w:rsid w:val="00635BE5"/>
    <w:rsid w:val="00636056"/>
    <w:rsid w:val="006362D2"/>
    <w:rsid w:val="006364E0"/>
    <w:rsid w:val="00637350"/>
    <w:rsid w:val="00637A8C"/>
    <w:rsid w:val="00640A8C"/>
    <w:rsid w:val="00640CAB"/>
    <w:rsid w:val="00641B47"/>
    <w:rsid w:val="006429B9"/>
    <w:rsid w:val="006431FE"/>
    <w:rsid w:val="00643B8D"/>
    <w:rsid w:val="00643C34"/>
    <w:rsid w:val="00647C9D"/>
    <w:rsid w:val="00650CDC"/>
    <w:rsid w:val="006510BA"/>
    <w:rsid w:val="00651855"/>
    <w:rsid w:val="00653859"/>
    <w:rsid w:val="0065468E"/>
    <w:rsid w:val="0065635A"/>
    <w:rsid w:val="00656AA2"/>
    <w:rsid w:val="00660FD1"/>
    <w:rsid w:val="00661801"/>
    <w:rsid w:val="006632EF"/>
    <w:rsid w:val="0066458B"/>
    <w:rsid w:val="00665A63"/>
    <w:rsid w:val="00666B75"/>
    <w:rsid w:val="00666E4A"/>
    <w:rsid w:val="00666E5E"/>
    <w:rsid w:val="0066721E"/>
    <w:rsid w:val="00672ED0"/>
    <w:rsid w:val="00672FF0"/>
    <w:rsid w:val="006770B5"/>
    <w:rsid w:val="0068119B"/>
    <w:rsid w:val="006811EF"/>
    <w:rsid w:val="00681EEE"/>
    <w:rsid w:val="00682197"/>
    <w:rsid w:val="0068283E"/>
    <w:rsid w:val="00682998"/>
    <w:rsid w:val="00683230"/>
    <w:rsid w:val="00685399"/>
    <w:rsid w:val="00686D2B"/>
    <w:rsid w:val="00687E9E"/>
    <w:rsid w:val="00690487"/>
    <w:rsid w:val="00690BE9"/>
    <w:rsid w:val="0069115A"/>
    <w:rsid w:val="00691F1B"/>
    <w:rsid w:val="006928D8"/>
    <w:rsid w:val="00692A54"/>
    <w:rsid w:val="00692DC2"/>
    <w:rsid w:val="0069542E"/>
    <w:rsid w:val="00695434"/>
    <w:rsid w:val="00697050"/>
    <w:rsid w:val="006A1049"/>
    <w:rsid w:val="006A14A1"/>
    <w:rsid w:val="006A2115"/>
    <w:rsid w:val="006A29B8"/>
    <w:rsid w:val="006A40EC"/>
    <w:rsid w:val="006A488E"/>
    <w:rsid w:val="006A5894"/>
    <w:rsid w:val="006A6158"/>
    <w:rsid w:val="006A6206"/>
    <w:rsid w:val="006A6B4E"/>
    <w:rsid w:val="006A7270"/>
    <w:rsid w:val="006B4260"/>
    <w:rsid w:val="006B45F6"/>
    <w:rsid w:val="006B4A1F"/>
    <w:rsid w:val="006B4A8B"/>
    <w:rsid w:val="006B5BF7"/>
    <w:rsid w:val="006B6477"/>
    <w:rsid w:val="006B7D60"/>
    <w:rsid w:val="006B7D7B"/>
    <w:rsid w:val="006C2077"/>
    <w:rsid w:val="006C2830"/>
    <w:rsid w:val="006C45C5"/>
    <w:rsid w:val="006C624C"/>
    <w:rsid w:val="006C6A94"/>
    <w:rsid w:val="006C6A9A"/>
    <w:rsid w:val="006C7A7F"/>
    <w:rsid w:val="006C7DE0"/>
    <w:rsid w:val="006D040A"/>
    <w:rsid w:val="006D0E41"/>
    <w:rsid w:val="006D1FAC"/>
    <w:rsid w:val="006D2542"/>
    <w:rsid w:val="006D2CA2"/>
    <w:rsid w:val="006D3160"/>
    <w:rsid w:val="006D4568"/>
    <w:rsid w:val="006D56D5"/>
    <w:rsid w:val="006D65B2"/>
    <w:rsid w:val="006D6BEA"/>
    <w:rsid w:val="006E333B"/>
    <w:rsid w:val="006E3867"/>
    <w:rsid w:val="006E38FD"/>
    <w:rsid w:val="006E4671"/>
    <w:rsid w:val="006E5AC7"/>
    <w:rsid w:val="006E5B19"/>
    <w:rsid w:val="006E5B24"/>
    <w:rsid w:val="006E616F"/>
    <w:rsid w:val="006E6D92"/>
    <w:rsid w:val="006F1E9D"/>
    <w:rsid w:val="006F27E7"/>
    <w:rsid w:val="006F3E82"/>
    <w:rsid w:val="006F4287"/>
    <w:rsid w:val="006F518A"/>
    <w:rsid w:val="006F6D06"/>
    <w:rsid w:val="006F7651"/>
    <w:rsid w:val="006F7D7E"/>
    <w:rsid w:val="00700D02"/>
    <w:rsid w:val="007044A1"/>
    <w:rsid w:val="0070556D"/>
    <w:rsid w:val="007058FB"/>
    <w:rsid w:val="00705EAD"/>
    <w:rsid w:val="00706139"/>
    <w:rsid w:val="007062EA"/>
    <w:rsid w:val="00706426"/>
    <w:rsid w:val="00707417"/>
    <w:rsid w:val="0071002A"/>
    <w:rsid w:val="0071086C"/>
    <w:rsid w:val="00713164"/>
    <w:rsid w:val="00714346"/>
    <w:rsid w:val="00714694"/>
    <w:rsid w:val="0071501C"/>
    <w:rsid w:val="0071662C"/>
    <w:rsid w:val="0071736B"/>
    <w:rsid w:val="007201D1"/>
    <w:rsid w:val="0072086F"/>
    <w:rsid w:val="007215E3"/>
    <w:rsid w:val="007229D4"/>
    <w:rsid w:val="00723435"/>
    <w:rsid w:val="0072454A"/>
    <w:rsid w:val="00724598"/>
    <w:rsid w:val="00724A3E"/>
    <w:rsid w:val="0072641F"/>
    <w:rsid w:val="00727F5D"/>
    <w:rsid w:val="00730774"/>
    <w:rsid w:val="007314BE"/>
    <w:rsid w:val="007318E5"/>
    <w:rsid w:val="00731C58"/>
    <w:rsid w:val="00732F0D"/>
    <w:rsid w:val="00736D2F"/>
    <w:rsid w:val="0073702E"/>
    <w:rsid w:val="0073755F"/>
    <w:rsid w:val="00737A55"/>
    <w:rsid w:val="00740650"/>
    <w:rsid w:val="00740D4E"/>
    <w:rsid w:val="00741764"/>
    <w:rsid w:val="0074276A"/>
    <w:rsid w:val="00743120"/>
    <w:rsid w:val="0074375C"/>
    <w:rsid w:val="0074559B"/>
    <w:rsid w:val="007477B6"/>
    <w:rsid w:val="00750167"/>
    <w:rsid w:val="00750BEB"/>
    <w:rsid w:val="00751513"/>
    <w:rsid w:val="00751E4F"/>
    <w:rsid w:val="00752699"/>
    <w:rsid w:val="00752799"/>
    <w:rsid w:val="00752F8F"/>
    <w:rsid w:val="007532F0"/>
    <w:rsid w:val="0075465E"/>
    <w:rsid w:val="00754DDD"/>
    <w:rsid w:val="007553FE"/>
    <w:rsid w:val="0075561E"/>
    <w:rsid w:val="0075635D"/>
    <w:rsid w:val="00756C64"/>
    <w:rsid w:val="00757FD5"/>
    <w:rsid w:val="00760098"/>
    <w:rsid w:val="00764933"/>
    <w:rsid w:val="00764F9D"/>
    <w:rsid w:val="007654B0"/>
    <w:rsid w:val="00765C94"/>
    <w:rsid w:val="00765FC2"/>
    <w:rsid w:val="00766218"/>
    <w:rsid w:val="00766FFA"/>
    <w:rsid w:val="007673B7"/>
    <w:rsid w:val="007674A0"/>
    <w:rsid w:val="007675D5"/>
    <w:rsid w:val="00771124"/>
    <w:rsid w:val="00771A5D"/>
    <w:rsid w:val="00772306"/>
    <w:rsid w:val="007728D6"/>
    <w:rsid w:val="00773998"/>
    <w:rsid w:val="00774DEA"/>
    <w:rsid w:val="0077511D"/>
    <w:rsid w:val="007758B1"/>
    <w:rsid w:val="007767CB"/>
    <w:rsid w:val="00776A0B"/>
    <w:rsid w:val="00777AF2"/>
    <w:rsid w:val="00780922"/>
    <w:rsid w:val="007815C9"/>
    <w:rsid w:val="00781774"/>
    <w:rsid w:val="00782189"/>
    <w:rsid w:val="00782914"/>
    <w:rsid w:val="0078324D"/>
    <w:rsid w:val="00783620"/>
    <w:rsid w:val="007842AA"/>
    <w:rsid w:val="00784562"/>
    <w:rsid w:val="00785B42"/>
    <w:rsid w:val="007866B3"/>
    <w:rsid w:val="00786FAC"/>
    <w:rsid w:val="00790187"/>
    <w:rsid w:val="00790205"/>
    <w:rsid w:val="00791B05"/>
    <w:rsid w:val="00791C67"/>
    <w:rsid w:val="00792047"/>
    <w:rsid w:val="00792987"/>
    <w:rsid w:val="00794DBE"/>
    <w:rsid w:val="00795B7F"/>
    <w:rsid w:val="007A14A2"/>
    <w:rsid w:val="007A1B5C"/>
    <w:rsid w:val="007A2F61"/>
    <w:rsid w:val="007A3117"/>
    <w:rsid w:val="007A507F"/>
    <w:rsid w:val="007A5F65"/>
    <w:rsid w:val="007A7BC3"/>
    <w:rsid w:val="007B0F5C"/>
    <w:rsid w:val="007B0FD1"/>
    <w:rsid w:val="007B19B8"/>
    <w:rsid w:val="007B347A"/>
    <w:rsid w:val="007B4C9E"/>
    <w:rsid w:val="007B66B4"/>
    <w:rsid w:val="007B684B"/>
    <w:rsid w:val="007B72AD"/>
    <w:rsid w:val="007B750D"/>
    <w:rsid w:val="007C3C5D"/>
    <w:rsid w:val="007C5024"/>
    <w:rsid w:val="007C5BCF"/>
    <w:rsid w:val="007C6CD7"/>
    <w:rsid w:val="007C7A65"/>
    <w:rsid w:val="007D0BFE"/>
    <w:rsid w:val="007D0CCD"/>
    <w:rsid w:val="007D2F04"/>
    <w:rsid w:val="007D3D6D"/>
    <w:rsid w:val="007D4C0B"/>
    <w:rsid w:val="007D4EBF"/>
    <w:rsid w:val="007D55F8"/>
    <w:rsid w:val="007E00CA"/>
    <w:rsid w:val="007E075D"/>
    <w:rsid w:val="007E0E35"/>
    <w:rsid w:val="007E106C"/>
    <w:rsid w:val="007E1B4A"/>
    <w:rsid w:val="007E6713"/>
    <w:rsid w:val="007E68BD"/>
    <w:rsid w:val="007E6E78"/>
    <w:rsid w:val="007F0881"/>
    <w:rsid w:val="007F1506"/>
    <w:rsid w:val="007F424C"/>
    <w:rsid w:val="007F52C8"/>
    <w:rsid w:val="007F7111"/>
    <w:rsid w:val="008001E5"/>
    <w:rsid w:val="00800494"/>
    <w:rsid w:val="00800F26"/>
    <w:rsid w:val="00800F80"/>
    <w:rsid w:val="00801B9E"/>
    <w:rsid w:val="008031DA"/>
    <w:rsid w:val="00803E9F"/>
    <w:rsid w:val="00806ADD"/>
    <w:rsid w:val="00807214"/>
    <w:rsid w:val="0080751E"/>
    <w:rsid w:val="00807BD4"/>
    <w:rsid w:val="008118A6"/>
    <w:rsid w:val="0081380E"/>
    <w:rsid w:val="00813E56"/>
    <w:rsid w:val="00813FFA"/>
    <w:rsid w:val="0081440F"/>
    <w:rsid w:val="00814B85"/>
    <w:rsid w:val="00814CDF"/>
    <w:rsid w:val="008162CC"/>
    <w:rsid w:val="00817278"/>
    <w:rsid w:val="00817865"/>
    <w:rsid w:val="00820120"/>
    <w:rsid w:val="00820400"/>
    <w:rsid w:val="008215BB"/>
    <w:rsid w:val="00821C2C"/>
    <w:rsid w:val="00823B48"/>
    <w:rsid w:val="00823F81"/>
    <w:rsid w:val="00824393"/>
    <w:rsid w:val="00825922"/>
    <w:rsid w:val="0082664B"/>
    <w:rsid w:val="00826A67"/>
    <w:rsid w:val="00826AD8"/>
    <w:rsid w:val="00830358"/>
    <w:rsid w:val="008307B8"/>
    <w:rsid w:val="008315CC"/>
    <w:rsid w:val="0083233A"/>
    <w:rsid w:val="00833064"/>
    <w:rsid w:val="00833C10"/>
    <w:rsid w:val="00834031"/>
    <w:rsid w:val="008345B1"/>
    <w:rsid w:val="00834A4A"/>
    <w:rsid w:val="00840468"/>
    <w:rsid w:val="00841477"/>
    <w:rsid w:val="00841AD1"/>
    <w:rsid w:val="008425E5"/>
    <w:rsid w:val="00844976"/>
    <w:rsid w:val="00844D6B"/>
    <w:rsid w:val="0084573B"/>
    <w:rsid w:val="008471E6"/>
    <w:rsid w:val="00850CE0"/>
    <w:rsid w:val="00851D3D"/>
    <w:rsid w:val="00852287"/>
    <w:rsid w:val="00852374"/>
    <w:rsid w:val="0085287E"/>
    <w:rsid w:val="00852CDB"/>
    <w:rsid w:val="008530ED"/>
    <w:rsid w:val="00853B9E"/>
    <w:rsid w:val="00854B41"/>
    <w:rsid w:val="00854F28"/>
    <w:rsid w:val="00855E66"/>
    <w:rsid w:val="00856F7C"/>
    <w:rsid w:val="008613D7"/>
    <w:rsid w:val="0086186F"/>
    <w:rsid w:val="008633E9"/>
    <w:rsid w:val="00863677"/>
    <w:rsid w:val="008652E0"/>
    <w:rsid w:val="008654A7"/>
    <w:rsid w:val="00865BE6"/>
    <w:rsid w:val="00870C8B"/>
    <w:rsid w:val="008713A3"/>
    <w:rsid w:val="00874F0A"/>
    <w:rsid w:val="00875E1B"/>
    <w:rsid w:val="008763F9"/>
    <w:rsid w:val="0087691E"/>
    <w:rsid w:val="00876F60"/>
    <w:rsid w:val="00877082"/>
    <w:rsid w:val="00877AE3"/>
    <w:rsid w:val="00880564"/>
    <w:rsid w:val="00882884"/>
    <w:rsid w:val="008829CE"/>
    <w:rsid w:val="00883BB8"/>
    <w:rsid w:val="00884713"/>
    <w:rsid w:val="008855A4"/>
    <w:rsid w:val="008858B7"/>
    <w:rsid w:val="008862AF"/>
    <w:rsid w:val="00886CCA"/>
    <w:rsid w:val="0088797F"/>
    <w:rsid w:val="00890A38"/>
    <w:rsid w:val="00891852"/>
    <w:rsid w:val="00892C8E"/>
    <w:rsid w:val="00893918"/>
    <w:rsid w:val="0089668D"/>
    <w:rsid w:val="008967D4"/>
    <w:rsid w:val="00897020"/>
    <w:rsid w:val="008979D0"/>
    <w:rsid w:val="008A3202"/>
    <w:rsid w:val="008A50E8"/>
    <w:rsid w:val="008A6AE0"/>
    <w:rsid w:val="008A78AD"/>
    <w:rsid w:val="008B0208"/>
    <w:rsid w:val="008B0576"/>
    <w:rsid w:val="008B202A"/>
    <w:rsid w:val="008B2902"/>
    <w:rsid w:val="008B4405"/>
    <w:rsid w:val="008B47E1"/>
    <w:rsid w:val="008B56CF"/>
    <w:rsid w:val="008B5DD4"/>
    <w:rsid w:val="008B687B"/>
    <w:rsid w:val="008B790E"/>
    <w:rsid w:val="008C090E"/>
    <w:rsid w:val="008C11D9"/>
    <w:rsid w:val="008C1D71"/>
    <w:rsid w:val="008C44EE"/>
    <w:rsid w:val="008C499A"/>
    <w:rsid w:val="008C53E7"/>
    <w:rsid w:val="008C56E5"/>
    <w:rsid w:val="008C7908"/>
    <w:rsid w:val="008D14D7"/>
    <w:rsid w:val="008D2021"/>
    <w:rsid w:val="008D25BC"/>
    <w:rsid w:val="008D2EA4"/>
    <w:rsid w:val="008D3FBD"/>
    <w:rsid w:val="008D5C42"/>
    <w:rsid w:val="008D5D8D"/>
    <w:rsid w:val="008D680F"/>
    <w:rsid w:val="008D70DE"/>
    <w:rsid w:val="008D7289"/>
    <w:rsid w:val="008D768F"/>
    <w:rsid w:val="008D77F4"/>
    <w:rsid w:val="008D788D"/>
    <w:rsid w:val="008E051B"/>
    <w:rsid w:val="008E0B6A"/>
    <w:rsid w:val="008E23EA"/>
    <w:rsid w:val="008E2D2C"/>
    <w:rsid w:val="008E39AC"/>
    <w:rsid w:val="008E4B95"/>
    <w:rsid w:val="008E5518"/>
    <w:rsid w:val="008E55D5"/>
    <w:rsid w:val="008E655E"/>
    <w:rsid w:val="008E6D66"/>
    <w:rsid w:val="008F07D1"/>
    <w:rsid w:val="008F28EF"/>
    <w:rsid w:val="008F307E"/>
    <w:rsid w:val="008F3A47"/>
    <w:rsid w:val="008F3E24"/>
    <w:rsid w:val="008F4C70"/>
    <w:rsid w:val="008F6492"/>
    <w:rsid w:val="008F7E7B"/>
    <w:rsid w:val="009044E1"/>
    <w:rsid w:val="0090559B"/>
    <w:rsid w:val="0090574C"/>
    <w:rsid w:val="00907433"/>
    <w:rsid w:val="0091088D"/>
    <w:rsid w:val="009111AC"/>
    <w:rsid w:val="00911377"/>
    <w:rsid w:val="009117DF"/>
    <w:rsid w:val="00911B24"/>
    <w:rsid w:val="009131AE"/>
    <w:rsid w:val="00914AD7"/>
    <w:rsid w:val="009154D7"/>
    <w:rsid w:val="00920148"/>
    <w:rsid w:val="009215DD"/>
    <w:rsid w:val="00921824"/>
    <w:rsid w:val="0092269C"/>
    <w:rsid w:val="0092270B"/>
    <w:rsid w:val="00922F7F"/>
    <w:rsid w:val="00924DCA"/>
    <w:rsid w:val="0092567B"/>
    <w:rsid w:val="0093091C"/>
    <w:rsid w:val="00931B93"/>
    <w:rsid w:val="00933FDE"/>
    <w:rsid w:val="0093449B"/>
    <w:rsid w:val="00934D26"/>
    <w:rsid w:val="0093546C"/>
    <w:rsid w:val="00935ED6"/>
    <w:rsid w:val="0093741D"/>
    <w:rsid w:val="0094130A"/>
    <w:rsid w:val="00942430"/>
    <w:rsid w:val="00942AD9"/>
    <w:rsid w:val="009445A9"/>
    <w:rsid w:val="009468D8"/>
    <w:rsid w:val="009513E9"/>
    <w:rsid w:val="0095318C"/>
    <w:rsid w:val="00953621"/>
    <w:rsid w:val="00953E5A"/>
    <w:rsid w:val="00961B37"/>
    <w:rsid w:val="00961F70"/>
    <w:rsid w:val="0096294D"/>
    <w:rsid w:val="00962A74"/>
    <w:rsid w:val="0096311A"/>
    <w:rsid w:val="00963805"/>
    <w:rsid w:val="00964436"/>
    <w:rsid w:val="00964635"/>
    <w:rsid w:val="00965DDC"/>
    <w:rsid w:val="00966FB8"/>
    <w:rsid w:val="009674C9"/>
    <w:rsid w:val="009675F5"/>
    <w:rsid w:val="00970CD4"/>
    <w:rsid w:val="00971929"/>
    <w:rsid w:val="009726CA"/>
    <w:rsid w:val="00972952"/>
    <w:rsid w:val="0097321F"/>
    <w:rsid w:val="00973DD4"/>
    <w:rsid w:val="00975323"/>
    <w:rsid w:val="00975F46"/>
    <w:rsid w:val="00976296"/>
    <w:rsid w:val="0097633D"/>
    <w:rsid w:val="009763EE"/>
    <w:rsid w:val="00976F37"/>
    <w:rsid w:val="009771E9"/>
    <w:rsid w:val="00977C1F"/>
    <w:rsid w:val="00980A92"/>
    <w:rsid w:val="00983612"/>
    <w:rsid w:val="00984A86"/>
    <w:rsid w:val="00986AD0"/>
    <w:rsid w:val="00986E2A"/>
    <w:rsid w:val="009919FB"/>
    <w:rsid w:val="00992819"/>
    <w:rsid w:val="00992BA9"/>
    <w:rsid w:val="00992BE1"/>
    <w:rsid w:val="009945CD"/>
    <w:rsid w:val="00994B9B"/>
    <w:rsid w:val="0099564B"/>
    <w:rsid w:val="0099619F"/>
    <w:rsid w:val="00996DA6"/>
    <w:rsid w:val="009A19A7"/>
    <w:rsid w:val="009A4273"/>
    <w:rsid w:val="009A526E"/>
    <w:rsid w:val="009A5329"/>
    <w:rsid w:val="009A6153"/>
    <w:rsid w:val="009A6297"/>
    <w:rsid w:val="009A652A"/>
    <w:rsid w:val="009A7B80"/>
    <w:rsid w:val="009B2F09"/>
    <w:rsid w:val="009B3060"/>
    <w:rsid w:val="009B69D6"/>
    <w:rsid w:val="009B7C85"/>
    <w:rsid w:val="009C05A2"/>
    <w:rsid w:val="009C0C22"/>
    <w:rsid w:val="009C100E"/>
    <w:rsid w:val="009C24DE"/>
    <w:rsid w:val="009C3277"/>
    <w:rsid w:val="009C48DB"/>
    <w:rsid w:val="009C596C"/>
    <w:rsid w:val="009D1646"/>
    <w:rsid w:val="009D1933"/>
    <w:rsid w:val="009D21B9"/>
    <w:rsid w:val="009D2CA2"/>
    <w:rsid w:val="009D2CFC"/>
    <w:rsid w:val="009D34C7"/>
    <w:rsid w:val="009D3983"/>
    <w:rsid w:val="009D4810"/>
    <w:rsid w:val="009D5411"/>
    <w:rsid w:val="009D647F"/>
    <w:rsid w:val="009D6591"/>
    <w:rsid w:val="009E1708"/>
    <w:rsid w:val="009E184F"/>
    <w:rsid w:val="009E19E2"/>
    <w:rsid w:val="009E1A80"/>
    <w:rsid w:val="009E1DEF"/>
    <w:rsid w:val="009E233A"/>
    <w:rsid w:val="009E4A72"/>
    <w:rsid w:val="009E4D17"/>
    <w:rsid w:val="009E520C"/>
    <w:rsid w:val="009E5A6C"/>
    <w:rsid w:val="009E7F4F"/>
    <w:rsid w:val="009F16AA"/>
    <w:rsid w:val="009F314D"/>
    <w:rsid w:val="009F4881"/>
    <w:rsid w:val="009F691E"/>
    <w:rsid w:val="009F77E2"/>
    <w:rsid w:val="00A00670"/>
    <w:rsid w:val="00A01AF6"/>
    <w:rsid w:val="00A035CA"/>
    <w:rsid w:val="00A03D61"/>
    <w:rsid w:val="00A060AE"/>
    <w:rsid w:val="00A07A22"/>
    <w:rsid w:val="00A12359"/>
    <w:rsid w:val="00A13DC7"/>
    <w:rsid w:val="00A151B3"/>
    <w:rsid w:val="00A153EE"/>
    <w:rsid w:val="00A15B47"/>
    <w:rsid w:val="00A16CCF"/>
    <w:rsid w:val="00A177E6"/>
    <w:rsid w:val="00A2115A"/>
    <w:rsid w:val="00A2177F"/>
    <w:rsid w:val="00A21C68"/>
    <w:rsid w:val="00A23854"/>
    <w:rsid w:val="00A272B6"/>
    <w:rsid w:val="00A27DA9"/>
    <w:rsid w:val="00A30347"/>
    <w:rsid w:val="00A305BE"/>
    <w:rsid w:val="00A31BE5"/>
    <w:rsid w:val="00A31C0D"/>
    <w:rsid w:val="00A31FC7"/>
    <w:rsid w:val="00A32AB8"/>
    <w:rsid w:val="00A34603"/>
    <w:rsid w:val="00A359B5"/>
    <w:rsid w:val="00A36078"/>
    <w:rsid w:val="00A371E8"/>
    <w:rsid w:val="00A420EB"/>
    <w:rsid w:val="00A42694"/>
    <w:rsid w:val="00A43835"/>
    <w:rsid w:val="00A43AB4"/>
    <w:rsid w:val="00A45A59"/>
    <w:rsid w:val="00A45D76"/>
    <w:rsid w:val="00A47236"/>
    <w:rsid w:val="00A51DC5"/>
    <w:rsid w:val="00A5252F"/>
    <w:rsid w:val="00A53524"/>
    <w:rsid w:val="00A54620"/>
    <w:rsid w:val="00A6092F"/>
    <w:rsid w:val="00A61EB8"/>
    <w:rsid w:val="00A6259B"/>
    <w:rsid w:val="00A62CA3"/>
    <w:rsid w:val="00A62D45"/>
    <w:rsid w:val="00A6799D"/>
    <w:rsid w:val="00A709CE"/>
    <w:rsid w:val="00A715BD"/>
    <w:rsid w:val="00A73611"/>
    <w:rsid w:val="00A73948"/>
    <w:rsid w:val="00A73B5D"/>
    <w:rsid w:val="00A73E69"/>
    <w:rsid w:val="00A76A9C"/>
    <w:rsid w:val="00A76E35"/>
    <w:rsid w:val="00A76E69"/>
    <w:rsid w:val="00A8476C"/>
    <w:rsid w:val="00A8638E"/>
    <w:rsid w:val="00A907F4"/>
    <w:rsid w:val="00A9202E"/>
    <w:rsid w:val="00A9248A"/>
    <w:rsid w:val="00A9594D"/>
    <w:rsid w:val="00A95C44"/>
    <w:rsid w:val="00A960FD"/>
    <w:rsid w:val="00A96244"/>
    <w:rsid w:val="00A970A6"/>
    <w:rsid w:val="00A97925"/>
    <w:rsid w:val="00AA1462"/>
    <w:rsid w:val="00AA19D3"/>
    <w:rsid w:val="00AA2A92"/>
    <w:rsid w:val="00AA3E72"/>
    <w:rsid w:val="00AA5A1A"/>
    <w:rsid w:val="00AA5AAF"/>
    <w:rsid w:val="00AA67D0"/>
    <w:rsid w:val="00AB0442"/>
    <w:rsid w:val="00AB0555"/>
    <w:rsid w:val="00AB11EF"/>
    <w:rsid w:val="00AB1A6B"/>
    <w:rsid w:val="00AB24F1"/>
    <w:rsid w:val="00AB2B33"/>
    <w:rsid w:val="00AB40A9"/>
    <w:rsid w:val="00AB42AB"/>
    <w:rsid w:val="00AB46F1"/>
    <w:rsid w:val="00AB5DB2"/>
    <w:rsid w:val="00AB6069"/>
    <w:rsid w:val="00AB6611"/>
    <w:rsid w:val="00AC0794"/>
    <w:rsid w:val="00AC0BBC"/>
    <w:rsid w:val="00AC1127"/>
    <w:rsid w:val="00AC280E"/>
    <w:rsid w:val="00AC39F9"/>
    <w:rsid w:val="00AC654F"/>
    <w:rsid w:val="00AC668D"/>
    <w:rsid w:val="00AC763C"/>
    <w:rsid w:val="00AC7751"/>
    <w:rsid w:val="00AD1D05"/>
    <w:rsid w:val="00AD1E9C"/>
    <w:rsid w:val="00AD30E0"/>
    <w:rsid w:val="00AD358B"/>
    <w:rsid w:val="00AE0228"/>
    <w:rsid w:val="00AE02F9"/>
    <w:rsid w:val="00AE1CB3"/>
    <w:rsid w:val="00AE2EE5"/>
    <w:rsid w:val="00AE3B8B"/>
    <w:rsid w:val="00AE5067"/>
    <w:rsid w:val="00AE54FF"/>
    <w:rsid w:val="00AE55E7"/>
    <w:rsid w:val="00AE6A4F"/>
    <w:rsid w:val="00AF0D6E"/>
    <w:rsid w:val="00AF112C"/>
    <w:rsid w:val="00AF44D6"/>
    <w:rsid w:val="00AF4581"/>
    <w:rsid w:val="00AF4E9C"/>
    <w:rsid w:val="00AF56C8"/>
    <w:rsid w:val="00AF6BE0"/>
    <w:rsid w:val="00AF6ED3"/>
    <w:rsid w:val="00AF73B4"/>
    <w:rsid w:val="00B00160"/>
    <w:rsid w:val="00B00FC4"/>
    <w:rsid w:val="00B01413"/>
    <w:rsid w:val="00B0144C"/>
    <w:rsid w:val="00B030C6"/>
    <w:rsid w:val="00B03E3E"/>
    <w:rsid w:val="00B0444B"/>
    <w:rsid w:val="00B046F2"/>
    <w:rsid w:val="00B05522"/>
    <w:rsid w:val="00B066A6"/>
    <w:rsid w:val="00B068AD"/>
    <w:rsid w:val="00B076E2"/>
    <w:rsid w:val="00B11AB3"/>
    <w:rsid w:val="00B130F6"/>
    <w:rsid w:val="00B14FA7"/>
    <w:rsid w:val="00B15539"/>
    <w:rsid w:val="00B16F27"/>
    <w:rsid w:val="00B1740F"/>
    <w:rsid w:val="00B20216"/>
    <w:rsid w:val="00B209F0"/>
    <w:rsid w:val="00B21A0D"/>
    <w:rsid w:val="00B22D1B"/>
    <w:rsid w:val="00B23072"/>
    <w:rsid w:val="00B25477"/>
    <w:rsid w:val="00B2557C"/>
    <w:rsid w:val="00B255CF"/>
    <w:rsid w:val="00B25E5B"/>
    <w:rsid w:val="00B26555"/>
    <w:rsid w:val="00B26E1E"/>
    <w:rsid w:val="00B3036A"/>
    <w:rsid w:val="00B304CE"/>
    <w:rsid w:val="00B30825"/>
    <w:rsid w:val="00B32C43"/>
    <w:rsid w:val="00B336A0"/>
    <w:rsid w:val="00B359C5"/>
    <w:rsid w:val="00B364B7"/>
    <w:rsid w:val="00B36E63"/>
    <w:rsid w:val="00B37261"/>
    <w:rsid w:val="00B40153"/>
    <w:rsid w:val="00B404E1"/>
    <w:rsid w:val="00B40AC5"/>
    <w:rsid w:val="00B40CEE"/>
    <w:rsid w:val="00B40CFF"/>
    <w:rsid w:val="00B40ECA"/>
    <w:rsid w:val="00B423BB"/>
    <w:rsid w:val="00B439C8"/>
    <w:rsid w:val="00B45003"/>
    <w:rsid w:val="00B451FE"/>
    <w:rsid w:val="00B46DCE"/>
    <w:rsid w:val="00B472F8"/>
    <w:rsid w:val="00B532D3"/>
    <w:rsid w:val="00B53518"/>
    <w:rsid w:val="00B53D40"/>
    <w:rsid w:val="00B5443C"/>
    <w:rsid w:val="00B54E4C"/>
    <w:rsid w:val="00B55F9C"/>
    <w:rsid w:val="00B571EB"/>
    <w:rsid w:val="00B60D9E"/>
    <w:rsid w:val="00B62EAB"/>
    <w:rsid w:val="00B63968"/>
    <w:rsid w:val="00B63CEC"/>
    <w:rsid w:val="00B63F33"/>
    <w:rsid w:val="00B64CBA"/>
    <w:rsid w:val="00B64D55"/>
    <w:rsid w:val="00B6581A"/>
    <w:rsid w:val="00B675C4"/>
    <w:rsid w:val="00B67B5B"/>
    <w:rsid w:val="00B709E3"/>
    <w:rsid w:val="00B70CA7"/>
    <w:rsid w:val="00B718E7"/>
    <w:rsid w:val="00B7761F"/>
    <w:rsid w:val="00B779DE"/>
    <w:rsid w:val="00B77E0C"/>
    <w:rsid w:val="00B81AFC"/>
    <w:rsid w:val="00B84744"/>
    <w:rsid w:val="00B8573E"/>
    <w:rsid w:val="00B85CC4"/>
    <w:rsid w:val="00B85ECC"/>
    <w:rsid w:val="00B866C6"/>
    <w:rsid w:val="00B91CC5"/>
    <w:rsid w:val="00B91D9F"/>
    <w:rsid w:val="00B92929"/>
    <w:rsid w:val="00B95C63"/>
    <w:rsid w:val="00B963C1"/>
    <w:rsid w:val="00BA097A"/>
    <w:rsid w:val="00BA1055"/>
    <w:rsid w:val="00BA4353"/>
    <w:rsid w:val="00BA4AB1"/>
    <w:rsid w:val="00BA58A1"/>
    <w:rsid w:val="00BA5A38"/>
    <w:rsid w:val="00BA6753"/>
    <w:rsid w:val="00BB0113"/>
    <w:rsid w:val="00BB194C"/>
    <w:rsid w:val="00BB1E91"/>
    <w:rsid w:val="00BB42A4"/>
    <w:rsid w:val="00BB4685"/>
    <w:rsid w:val="00BB5532"/>
    <w:rsid w:val="00BB5B44"/>
    <w:rsid w:val="00BB5EE8"/>
    <w:rsid w:val="00BC0CCA"/>
    <w:rsid w:val="00BC0FA0"/>
    <w:rsid w:val="00BC1231"/>
    <w:rsid w:val="00BC198F"/>
    <w:rsid w:val="00BC3B63"/>
    <w:rsid w:val="00BC4232"/>
    <w:rsid w:val="00BC4329"/>
    <w:rsid w:val="00BC69C5"/>
    <w:rsid w:val="00BD1C19"/>
    <w:rsid w:val="00BD2959"/>
    <w:rsid w:val="00BD33E0"/>
    <w:rsid w:val="00BD392D"/>
    <w:rsid w:val="00BD3E0C"/>
    <w:rsid w:val="00BD550C"/>
    <w:rsid w:val="00BD763A"/>
    <w:rsid w:val="00BD79D7"/>
    <w:rsid w:val="00BD7C0F"/>
    <w:rsid w:val="00BE0D4C"/>
    <w:rsid w:val="00BE14AD"/>
    <w:rsid w:val="00BE1FC5"/>
    <w:rsid w:val="00BE35FB"/>
    <w:rsid w:val="00BE46E5"/>
    <w:rsid w:val="00BE4FC5"/>
    <w:rsid w:val="00BE5F60"/>
    <w:rsid w:val="00BE6B7F"/>
    <w:rsid w:val="00BE7059"/>
    <w:rsid w:val="00BE7A39"/>
    <w:rsid w:val="00BF3159"/>
    <w:rsid w:val="00BF37B2"/>
    <w:rsid w:val="00BF420B"/>
    <w:rsid w:val="00BF4FA9"/>
    <w:rsid w:val="00C00AE5"/>
    <w:rsid w:val="00C04A5D"/>
    <w:rsid w:val="00C04FF0"/>
    <w:rsid w:val="00C071EE"/>
    <w:rsid w:val="00C10656"/>
    <w:rsid w:val="00C11261"/>
    <w:rsid w:val="00C11914"/>
    <w:rsid w:val="00C12163"/>
    <w:rsid w:val="00C14B7A"/>
    <w:rsid w:val="00C14C25"/>
    <w:rsid w:val="00C14D38"/>
    <w:rsid w:val="00C16534"/>
    <w:rsid w:val="00C165AC"/>
    <w:rsid w:val="00C166FA"/>
    <w:rsid w:val="00C173A9"/>
    <w:rsid w:val="00C20931"/>
    <w:rsid w:val="00C20FC5"/>
    <w:rsid w:val="00C21386"/>
    <w:rsid w:val="00C21C63"/>
    <w:rsid w:val="00C22AE5"/>
    <w:rsid w:val="00C24709"/>
    <w:rsid w:val="00C2532D"/>
    <w:rsid w:val="00C255D9"/>
    <w:rsid w:val="00C265C6"/>
    <w:rsid w:val="00C2692A"/>
    <w:rsid w:val="00C302AC"/>
    <w:rsid w:val="00C3065E"/>
    <w:rsid w:val="00C31277"/>
    <w:rsid w:val="00C3187A"/>
    <w:rsid w:val="00C329F8"/>
    <w:rsid w:val="00C32DC3"/>
    <w:rsid w:val="00C334F3"/>
    <w:rsid w:val="00C3514D"/>
    <w:rsid w:val="00C3536D"/>
    <w:rsid w:val="00C359B8"/>
    <w:rsid w:val="00C3603F"/>
    <w:rsid w:val="00C372D3"/>
    <w:rsid w:val="00C376EB"/>
    <w:rsid w:val="00C43239"/>
    <w:rsid w:val="00C46726"/>
    <w:rsid w:val="00C46768"/>
    <w:rsid w:val="00C4681F"/>
    <w:rsid w:val="00C47118"/>
    <w:rsid w:val="00C50C71"/>
    <w:rsid w:val="00C50CDC"/>
    <w:rsid w:val="00C5164A"/>
    <w:rsid w:val="00C5249A"/>
    <w:rsid w:val="00C53208"/>
    <w:rsid w:val="00C5431C"/>
    <w:rsid w:val="00C54824"/>
    <w:rsid w:val="00C55F4D"/>
    <w:rsid w:val="00C57628"/>
    <w:rsid w:val="00C629A8"/>
    <w:rsid w:val="00C64A64"/>
    <w:rsid w:val="00C64F7E"/>
    <w:rsid w:val="00C65172"/>
    <w:rsid w:val="00C6721F"/>
    <w:rsid w:val="00C67C39"/>
    <w:rsid w:val="00C715A2"/>
    <w:rsid w:val="00C738BA"/>
    <w:rsid w:val="00C7414E"/>
    <w:rsid w:val="00C75F94"/>
    <w:rsid w:val="00C76DA5"/>
    <w:rsid w:val="00C776A5"/>
    <w:rsid w:val="00C80B62"/>
    <w:rsid w:val="00C813B7"/>
    <w:rsid w:val="00C82428"/>
    <w:rsid w:val="00C82710"/>
    <w:rsid w:val="00C845BF"/>
    <w:rsid w:val="00C85B91"/>
    <w:rsid w:val="00C87038"/>
    <w:rsid w:val="00C900EB"/>
    <w:rsid w:val="00C90164"/>
    <w:rsid w:val="00C90998"/>
    <w:rsid w:val="00C9230D"/>
    <w:rsid w:val="00C938A0"/>
    <w:rsid w:val="00C95678"/>
    <w:rsid w:val="00C95832"/>
    <w:rsid w:val="00C95EB9"/>
    <w:rsid w:val="00CA0A84"/>
    <w:rsid w:val="00CA0DFE"/>
    <w:rsid w:val="00CA3866"/>
    <w:rsid w:val="00CA50F2"/>
    <w:rsid w:val="00CB054F"/>
    <w:rsid w:val="00CB2FE4"/>
    <w:rsid w:val="00CB3B19"/>
    <w:rsid w:val="00CB48EE"/>
    <w:rsid w:val="00CB543E"/>
    <w:rsid w:val="00CB7A30"/>
    <w:rsid w:val="00CC27A8"/>
    <w:rsid w:val="00CC597B"/>
    <w:rsid w:val="00CC7388"/>
    <w:rsid w:val="00CC752C"/>
    <w:rsid w:val="00CD102E"/>
    <w:rsid w:val="00CD25E3"/>
    <w:rsid w:val="00CD264D"/>
    <w:rsid w:val="00CD34CB"/>
    <w:rsid w:val="00CD4B6C"/>
    <w:rsid w:val="00CE08C3"/>
    <w:rsid w:val="00CE10A2"/>
    <w:rsid w:val="00CE1F10"/>
    <w:rsid w:val="00CE2911"/>
    <w:rsid w:val="00CE5B07"/>
    <w:rsid w:val="00CE76BD"/>
    <w:rsid w:val="00CF0E43"/>
    <w:rsid w:val="00CF2CEA"/>
    <w:rsid w:val="00CF35F4"/>
    <w:rsid w:val="00CF44D5"/>
    <w:rsid w:val="00CF47A4"/>
    <w:rsid w:val="00CF641A"/>
    <w:rsid w:val="00CF641F"/>
    <w:rsid w:val="00CF65EA"/>
    <w:rsid w:val="00D00A76"/>
    <w:rsid w:val="00D01311"/>
    <w:rsid w:val="00D03A5D"/>
    <w:rsid w:val="00D03EE8"/>
    <w:rsid w:val="00D05358"/>
    <w:rsid w:val="00D061E8"/>
    <w:rsid w:val="00D071D5"/>
    <w:rsid w:val="00D1023E"/>
    <w:rsid w:val="00D10898"/>
    <w:rsid w:val="00D1170B"/>
    <w:rsid w:val="00D1211C"/>
    <w:rsid w:val="00D12441"/>
    <w:rsid w:val="00D12926"/>
    <w:rsid w:val="00D12A19"/>
    <w:rsid w:val="00D1431A"/>
    <w:rsid w:val="00D169B6"/>
    <w:rsid w:val="00D20921"/>
    <w:rsid w:val="00D209AC"/>
    <w:rsid w:val="00D22BCB"/>
    <w:rsid w:val="00D231DD"/>
    <w:rsid w:val="00D23DE2"/>
    <w:rsid w:val="00D23F78"/>
    <w:rsid w:val="00D24134"/>
    <w:rsid w:val="00D24CA0"/>
    <w:rsid w:val="00D25AEC"/>
    <w:rsid w:val="00D25E56"/>
    <w:rsid w:val="00D26568"/>
    <w:rsid w:val="00D270A2"/>
    <w:rsid w:val="00D31629"/>
    <w:rsid w:val="00D3196C"/>
    <w:rsid w:val="00D32BAF"/>
    <w:rsid w:val="00D35F87"/>
    <w:rsid w:val="00D37ED4"/>
    <w:rsid w:val="00D408D0"/>
    <w:rsid w:val="00D4132C"/>
    <w:rsid w:val="00D43D26"/>
    <w:rsid w:val="00D43E8A"/>
    <w:rsid w:val="00D4413D"/>
    <w:rsid w:val="00D461D9"/>
    <w:rsid w:val="00D4753F"/>
    <w:rsid w:val="00D47B44"/>
    <w:rsid w:val="00D50159"/>
    <w:rsid w:val="00D506C3"/>
    <w:rsid w:val="00D50BD5"/>
    <w:rsid w:val="00D521AB"/>
    <w:rsid w:val="00D54532"/>
    <w:rsid w:val="00D55DB4"/>
    <w:rsid w:val="00D55DF8"/>
    <w:rsid w:val="00D560BC"/>
    <w:rsid w:val="00D563C7"/>
    <w:rsid w:val="00D56F99"/>
    <w:rsid w:val="00D5786A"/>
    <w:rsid w:val="00D57978"/>
    <w:rsid w:val="00D61389"/>
    <w:rsid w:val="00D62C46"/>
    <w:rsid w:val="00D64D46"/>
    <w:rsid w:val="00D6535A"/>
    <w:rsid w:val="00D665FA"/>
    <w:rsid w:val="00D667D0"/>
    <w:rsid w:val="00D66AEE"/>
    <w:rsid w:val="00D67574"/>
    <w:rsid w:val="00D67704"/>
    <w:rsid w:val="00D748FD"/>
    <w:rsid w:val="00D74BE1"/>
    <w:rsid w:val="00D75B58"/>
    <w:rsid w:val="00D75EDF"/>
    <w:rsid w:val="00D766EF"/>
    <w:rsid w:val="00D77418"/>
    <w:rsid w:val="00D77AE9"/>
    <w:rsid w:val="00D80005"/>
    <w:rsid w:val="00D80EF2"/>
    <w:rsid w:val="00D81B40"/>
    <w:rsid w:val="00D82539"/>
    <w:rsid w:val="00D82A78"/>
    <w:rsid w:val="00D83A8A"/>
    <w:rsid w:val="00D83FD7"/>
    <w:rsid w:val="00D8410A"/>
    <w:rsid w:val="00D8467B"/>
    <w:rsid w:val="00D851B5"/>
    <w:rsid w:val="00D8583C"/>
    <w:rsid w:val="00D860D3"/>
    <w:rsid w:val="00D90894"/>
    <w:rsid w:val="00D91E15"/>
    <w:rsid w:val="00D930BC"/>
    <w:rsid w:val="00D94F47"/>
    <w:rsid w:val="00DA0D65"/>
    <w:rsid w:val="00DA221B"/>
    <w:rsid w:val="00DA444B"/>
    <w:rsid w:val="00DA6CF0"/>
    <w:rsid w:val="00DB079B"/>
    <w:rsid w:val="00DB2854"/>
    <w:rsid w:val="00DB46B4"/>
    <w:rsid w:val="00DB514D"/>
    <w:rsid w:val="00DB683C"/>
    <w:rsid w:val="00DC0D36"/>
    <w:rsid w:val="00DC1439"/>
    <w:rsid w:val="00DC39E8"/>
    <w:rsid w:val="00DC3E47"/>
    <w:rsid w:val="00DC43A0"/>
    <w:rsid w:val="00DC62B8"/>
    <w:rsid w:val="00DC6621"/>
    <w:rsid w:val="00DC6C6D"/>
    <w:rsid w:val="00DC7427"/>
    <w:rsid w:val="00DC75B3"/>
    <w:rsid w:val="00DC7831"/>
    <w:rsid w:val="00DD03F2"/>
    <w:rsid w:val="00DD0B56"/>
    <w:rsid w:val="00DD124B"/>
    <w:rsid w:val="00DD3053"/>
    <w:rsid w:val="00DD3091"/>
    <w:rsid w:val="00DD3F03"/>
    <w:rsid w:val="00DD3FE7"/>
    <w:rsid w:val="00DD5EF0"/>
    <w:rsid w:val="00DD792C"/>
    <w:rsid w:val="00DE0415"/>
    <w:rsid w:val="00DE2978"/>
    <w:rsid w:val="00DE2999"/>
    <w:rsid w:val="00DE3CA7"/>
    <w:rsid w:val="00DE3DED"/>
    <w:rsid w:val="00DE3E87"/>
    <w:rsid w:val="00DE421F"/>
    <w:rsid w:val="00DE4EED"/>
    <w:rsid w:val="00DE58B0"/>
    <w:rsid w:val="00DE5D1C"/>
    <w:rsid w:val="00DE6745"/>
    <w:rsid w:val="00DE6CD5"/>
    <w:rsid w:val="00DE77EB"/>
    <w:rsid w:val="00DE7AAA"/>
    <w:rsid w:val="00DF029F"/>
    <w:rsid w:val="00DF02F8"/>
    <w:rsid w:val="00DF1912"/>
    <w:rsid w:val="00DF559C"/>
    <w:rsid w:val="00DF5EA0"/>
    <w:rsid w:val="00DF61D4"/>
    <w:rsid w:val="00DF7C6F"/>
    <w:rsid w:val="00E00BD4"/>
    <w:rsid w:val="00E0168A"/>
    <w:rsid w:val="00E02730"/>
    <w:rsid w:val="00E028D3"/>
    <w:rsid w:val="00E02BCF"/>
    <w:rsid w:val="00E033BF"/>
    <w:rsid w:val="00E03E9B"/>
    <w:rsid w:val="00E045FD"/>
    <w:rsid w:val="00E05299"/>
    <w:rsid w:val="00E052A0"/>
    <w:rsid w:val="00E074E9"/>
    <w:rsid w:val="00E105A4"/>
    <w:rsid w:val="00E11BA0"/>
    <w:rsid w:val="00E12FA1"/>
    <w:rsid w:val="00E13F45"/>
    <w:rsid w:val="00E149D1"/>
    <w:rsid w:val="00E1580C"/>
    <w:rsid w:val="00E17DE1"/>
    <w:rsid w:val="00E203D6"/>
    <w:rsid w:val="00E210AD"/>
    <w:rsid w:val="00E213AF"/>
    <w:rsid w:val="00E222AD"/>
    <w:rsid w:val="00E25A7C"/>
    <w:rsid w:val="00E25BCE"/>
    <w:rsid w:val="00E26380"/>
    <w:rsid w:val="00E265A9"/>
    <w:rsid w:val="00E26A60"/>
    <w:rsid w:val="00E26C3A"/>
    <w:rsid w:val="00E27662"/>
    <w:rsid w:val="00E27AC5"/>
    <w:rsid w:val="00E30675"/>
    <w:rsid w:val="00E32639"/>
    <w:rsid w:val="00E32C39"/>
    <w:rsid w:val="00E333A2"/>
    <w:rsid w:val="00E334A9"/>
    <w:rsid w:val="00E33E46"/>
    <w:rsid w:val="00E33F6D"/>
    <w:rsid w:val="00E3501B"/>
    <w:rsid w:val="00E3530D"/>
    <w:rsid w:val="00E35772"/>
    <w:rsid w:val="00E4164D"/>
    <w:rsid w:val="00E42CB7"/>
    <w:rsid w:val="00E52BFF"/>
    <w:rsid w:val="00E52F41"/>
    <w:rsid w:val="00E555C0"/>
    <w:rsid w:val="00E55CB3"/>
    <w:rsid w:val="00E56DEF"/>
    <w:rsid w:val="00E56ED3"/>
    <w:rsid w:val="00E56F10"/>
    <w:rsid w:val="00E61EC9"/>
    <w:rsid w:val="00E62B41"/>
    <w:rsid w:val="00E62F07"/>
    <w:rsid w:val="00E6478B"/>
    <w:rsid w:val="00E6485B"/>
    <w:rsid w:val="00E64F97"/>
    <w:rsid w:val="00E6580D"/>
    <w:rsid w:val="00E6677E"/>
    <w:rsid w:val="00E676B8"/>
    <w:rsid w:val="00E6788F"/>
    <w:rsid w:val="00E67AF6"/>
    <w:rsid w:val="00E67DED"/>
    <w:rsid w:val="00E70446"/>
    <w:rsid w:val="00E7080E"/>
    <w:rsid w:val="00E769C2"/>
    <w:rsid w:val="00E76FE4"/>
    <w:rsid w:val="00E81853"/>
    <w:rsid w:val="00E82B05"/>
    <w:rsid w:val="00E83029"/>
    <w:rsid w:val="00E83987"/>
    <w:rsid w:val="00E84938"/>
    <w:rsid w:val="00E84ABA"/>
    <w:rsid w:val="00E84DD0"/>
    <w:rsid w:val="00E84E4B"/>
    <w:rsid w:val="00E84FE2"/>
    <w:rsid w:val="00E85E6B"/>
    <w:rsid w:val="00E87BE1"/>
    <w:rsid w:val="00E9040D"/>
    <w:rsid w:val="00E90C23"/>
    <w:rsid w:val="00E917E6"/>
    <w:rsid w:val="00E92DF8"/>
    <w:rsid w:val="00E9301C"/>
    <w:rsid w:val="00E93455"/>
    <w:rsid w:val="00E9345A"/>
    <w:rsid w:val="00E93AC1"/>
    <w:rsid w:val="00E96DC7"/>
    <w:rsid w:val="00E97D98"/>
    <w:rsid w:val="00EA0B83"/>
    <w:rsid w:val="00EA1C2E"/>
    <w:rsid w:val="00EA228E"/>
    <w:rsid w:val="00EA4629"/>
    <w:rsid w:val="00EA563A"/>
    <w:rsid w:val="00EA7500"/>
    <w:rsid w:val="00EB327A"/>
    <w:rsid w:val="00EB3638"/>
    <w:rsid w:val="00EB409B"/>
    <w:rsid w:val="00EB4CE1"/>
    <w:rsid w:val="00EB660D"/>
    <w:rsid w:val="00EB6657"/>
    <w:rsid w:val="00EB6DA4"/>
    <w:rsid w:val="00EB7817"/>
    <w:rsid w:val="00EB7DAB"/>
    <w:rsid w:val="00EC0950"/>
    <w:rsid w:val="00EC0D76"/>
    <w:rsid w:val="00EC1767"/>
    <w:rsid w:val="00EC1BA4"/>
    <w:rsid w:val="00EC1D1A"/>
    <w:rsid w:val="00EC243F"/>
    <w:rsid w:val="00EC3080"/>
    <w:rsid w:val="00EC3671"/>
    <w:rsid w:val="00EC528E"/>
    <w:rsid w:val="00EC6702"/>
    <w:rsid w:val="00ED128A"/>
    <w:rsid w:val="00ED1584"/>
    <w:rsid w:val="00ED1FB6"/>
    <w:rsid w:val="00ED27A4"/>
    <w:rsid w:val="00ED35D0"/>
    <w:rsid w:val="00ED5B40"/>
    <w:rsid w:val="00ED5BF4"/>
    <w:rsid w:val="00ED62C8"/>
    <w:rsid w:val="00ED6C8A"/>
    <w:rsid w:val="00EE03B3"/>
    <w:rsid w:val="00EE164F"/>
    <w:rsid w:val="00EE17A3"/>
    <w:rsid w:val="00EE2D9A"/>
    <w:rsid w:val="00EE2F3B"/>
    <w:rsid w:val="00EE520B"/>
    <w:rsid w:val="00EE59C1"/>
    <w:rsid w:val="00EE6078"/>
    <w:rsid w:val="00EE6260"/>
    <w:rsid w:val="00EE64E7"/>
    <w:rsid w:val="00EE694B"/>
    <w:rsid w:val="00EE6BD5"/>
    <w:rsid w:val="00EE7396"/>
    <w:rsid w:val="00EE7BE0"/>
    <w:rsid w:val="00EF462B"/>
    <w:rsid w:val="00EF4DC1"/>
    <w:rsid w:val="00EF4EA7"/>
    <w:rsid w:val="00EF5B56"/>
    <w:rsid w:val="00EF645E"/>
    <w:rsid w:val="00EF6E1E"/>
    <w:rsid w:val="00EF6EDF"/>
    <w:rsid w:val="00F01F19"/>
    <w:rsid w:val="00F02086"/>
    <w:rsid w:val="00F072C1"/>
    <w:rsid w:val="00F11872"/>
    <w:rsid w:val="00F11C31"/>
    <w:rsid w:val="00F12D48"/>
    <w:rsid w:val="00F132AC"/>
    <w:rsid w:val="00F133F4"/>
    <w:rsid w:val="00F14544"/>
    <w:rsid w:val="00F2028C"/>
    <w:rsid w:val="00F20460"/>
    <w:rsid w:val="00F2102A"/>
    <w:rsid w:val="00F21DCB"/>
    <w:rsid w:val="00F239D9"/>
    <w:rsid w:val="00F24E09"/>
    <w:rsid w:val="00F25ABD"/>
    <w:rsid w:val="00F263DC"/>
    <w:rsid w:val="00F2774D"/>
    <w:rsid w:val="00F32AF8"/>
    <w:rsid w:val="00F3321F"/>
    <w:rsid w:val="00F33427"/>
    <w:rsid w:val="00F33840"/>
    <w:rsid w:val="00F34237"/>
    <w:rsid w:val="00F359A0"/>
    <w:rsid w:val="00F36AB5"/>
    <w:rsid w:val="00F36F56"/>
    <w:rsid w:val="00F37B6C"/>
    <w:rsid w:val="00F4032E"/>
    <w:rsid w:val="00F423EE"/>
    <w:rsid w:val="00F43E96"/>
    <w:rsid w:val="00F43FA2"/>
    <w:rsid w:val="00F463AD"/>
    <w:rsid w:val="00F4663C"/>
    <w:rsid w:val="00F46767"/>
    <w:rsid w:val="00F46C1E"/>
    <w:rsid w:val="00F4772C"/>
    <w:rsid w:val="00F5223F"/>
    <w:rsid w:val="00F54624"/>
    <w:rsid w:val="00F554E1"/>
    <w:rsid w:val="00F5681D"/>
    <w:rsid w:val="00F6231D"/>
    <w:rsid w:val="00F623D3"/>
    <w:rsid w:val="00F64507"/>
    <w:rsid w:val="00F64A31"/>
    <w:rsid w:val="00F65EA1"/>
    <w:rsid w:val="00F6621E"/>
    <w:rsid w:val="00F6622E"/>
    <w:rsid w:val="00F67551"/>
    <w:rsid w:val="00F7051E"/>
    <w:rsid w:val="00F7158B"/>
    <w:rsid w:val="00F76D2D"/>
    <w:rsid w:val="00F80051"/>
    <w:rsid w:val="00F81940"/>
    <w:rsid w:val="00F81DCC"/>
    <w:rsid w:val="00F81F93"/>
    <w:rsid w:val="00F847A0"/>
    <w:rsid w:val="00F849C7"/>
    <w:rsid w:val="00F84D85"/>
    <w:rsid w:val="00F8538D"/>
    <w:rsid w:val="00F855F7"/>
    <w:rsid w:val="00F85638"/>
    <w:rsid w:val="00F85FEF"/>
    <w:rsid w:val="00F86BC1"/>
    <w:rsid w:val="00F87D87"/>
    <w:rsid w:val="00F91ECB"/>
    <w:rsid w:val="00F933E4"/>
    <w:rsid w:val="00F94EA2"/>
    <w:rsid w:val="00F96268"/>
    <w:rsid w:val="00F965B0"/>
    <w:rsid w:val="00F96928"/>
    <w:rsid w:val="00F96CEC"/>
    <w:rsid w:val="00F97FE0"/>
    <w:rsid w:val="00FA0F6C"/>
    <w:rsid w:val="00FA2B8C"/>
    <w:rsid w:val="00FA3E34"/>
    <w:rsid w:val="00FA44A5"/>
    <w:rsid w:val="00FA4A7D"/>
    <w:rsid w:val="00FB1A75"/>
    <w:rsid w:val="00FB28CA"/>
    <w:rsid w:val="00FB2C90"/>
    <w:rsid w:val="00FB2F29"/>
    <w:rsid w:val="00FB31F0"/>
    <w:rsid w:val="00FB4285"/>
    <w:rsid w:val="00FB4EE0"/>
    <w:rsid w:val="00FB6B8F"/>
    <w:rsid w:val="00FC0580"/>
    <w:rsid w:val="00FC0BC4"/>
    <w:rsid w:val="00FC0C19"/>
    <w:rsid w:val="00FC2F08"/>
    <w:rsid w:val="00FC3C88"/>
    <w:rsid w:val="00FC4A30"/>
    <w:rsid w:val="00FC7608"/>
    <w:rsid w:val="00FD254D"/>
    <w:rsid w:val="00FD6B29"/>
    <w:rsid w:val="00FD706E"/>
    <w:rsid w:val="00FE01C0"/>
    <w:rsid w:val="00FE0A16"/>
    <w:rsid w:val="00FE2B54"/>
    <w:rsid w:val="00FE3B82"/>
    <w:rsid w:val="00FE4AD9"/>
    <w:rsid w:val="00FE529D"/>
    <w:rsid w:val="00FE52BA"/>
    <w:rsid w:val="00FE6335"/>
    <w:rsid w:val="00FE6428"/>
    <w:rsid w:val="00FE7546"/>
    <w:rsid w:val="00FF11A0"/>
    <w:rsid w:val="00FF1650"/>
    <w:rsid w:val="00FF1D78"/>
    <w:rsid w:val="00FF2194"/>
    <w:rsid w:val="00FF2E16"/>
    <w:rsid w:val="00FF44C0"/>
    <w:rsid w:val="00FF602C"/>
    <w:rsid w:val="00FF643C"/>
    <w:rsid w:val="00FF7D9B"/>
    <w:rsid w:val="054F27C3"/>
    <w:rsid w:val="05D45367"/>
    <w:rsid w:val="05E55EBE"/>
    <w:rsid w:val="07F341CA"/>
    <w:rsid w:val="08FC3791"/>
    <w:rsid w:val="0DB13287"/>
    <w:rsid w:val="11CA68BF"/>
    <w:rsid w:val="12C41632"/>
    <w:rsid w:val="160F6E18"/>
    <w:rsid w:val="16C8346F"/>
    <w:rsid w:val="17C14303"/>
    <w:rsid w:val="1B951DCE"/>
    <w:rsid w:val="1B9A3CD7"/>
    <w:rsid w:val="1C1E3C76"/>
    <w:rsid w:val="1D3D6906"/>
    <w:rsid w:val="1FC872D1"/>
    <w:rsid w:val="201B1827"/>
    <w:rsid w:val="221535F5"/>
    <w:rsid w:val="2A53737E"/>
    <w:rsid w:val="2BEB619B"/>
    <w:rsid w:val="2CD07712"/>
    <w:rsid w:val="2CFD571D"/>
    <w:rsid w:val="2D4F5A62"/>
    <w:rsid w:val="2DEA36E2"/>
    <w:rsid w:val="2E8325DC"/>
    <w:rsid w:val="2E9402F8"/>
    <w:rsid w:val="30162FEC"/>
    <w:rsid w:val="30A04ED5"/>
    <w:rsid w:val="31484D27"/>
    <w:rsid w:val="32C103D2"/>
    <w:rsid w:val="342E5492"/>
    <w:rsid w:val="34B03A24"/>
    <w:rsid w:val="34D55C1E"/>
    <w:rsid w:val="36C52B6C"/>
    <w:rsid w:val="39793059"/>
    <w:rsid w:val="3ABB6EE9"/>
    <w:rsid w:val="3B027CA5"/>
    <w:rsid w:val="3B21645A"/>
    <w:rsid w:val="3B80785F"/>
    <w:rsid w:val="3CC0413B"/>
    <w:rsid w:val="3D670AD9"/>
    <w:rsid w:val="3F8E51D3"/>
    <w:rsid w:val="40535BF0"/>
    <w:rsid w:val="40973ED4"/>
    <w:rsid w:val="4296514B"/>
    <w:rsid w:val="42965CD4"/>
    <w:rsid w:val="433F20E0"/>
    <w:rsid w:val="449426EF"/>
    <w:rsid w:val="44A761AF"/>
    <w:rsid w:val="45B14137"/>
    <w:rsid w:val="486E5261"/>
    <w:rsid w:val="489B3285"/>
    <w:rsid w:val="48EE1B3D"/>
    <w:rsid w:val="4AC046BF"/>
    <w:rsid w:val="4B350B9E"/>
    <w:rsid w:val="4B775B55"/>
    <w:rsid w:val="4C470D51"/>
    <w:rsid w:val="4CE331B1"/>
    <w:rsid w:val="4D19148D"/>
    <w:rsid w:val="4E8925E8"/>
    <w:rsid w:val="526C508D"/>
    <w:rsid w:val="53455429"/>
    <w:rsid w:val="546B6E57"/>
    <w:rsid w:val="5BD42235"/>
    <w:rsid w:val="5CA1198A"/>
    <w:rsid w:val="5E3A3690"/>
    <w:rsid w:val="5F88033D"/>
    <w:rsid w:val="60EA4E84"/>
    <w:rsid w:val="61F24CBE"/>
    <w:rsid w:val="634218F3"/>
    <w:rsid w:val="665243CB"/>
    <w:rsid w:val="676F3977"/>
    <w:rsid w:val="687A7825"/>
    <w:rsid w:val="68D6620B"/>
    <w:rsid w:val="69866D21"/>
    <w:rsid w:val="6A080BE4"/>
    <w:rsid w:val="6CD52386"/>
    <w:rsid w:val="6DBA52B1"/>
    <w:rsid w:val="6F7F6679"/>
    <w:rsid w:val="6FC84E39"/>
    <w:rsid w:val="707F3050"/>
    <w:rsid w:val="719F7978"/>
    <w:rsid w:val="71D366AF"/>
    <w:rsid w:val="72CC4119"/>
    <w:rsid w:val="72EE7A67"/>
    <w:rsid w:val="73B97A93"/>
    <w:rsid w:val="73BF104D"/>
    <w:rsid w:val="73FB3F54"/>
    <w:rsid w:val="74C40080"/>
    <w:rsid w:val="773537A2"/>
    <w:rsid w:val="7C934C07"/>
    <w:rsid w:val="7E446934"/>
    <w:rsid w:val="7EB14986"/>
    <w:rsid w:val="7EC8386F"/>
    <w:rsid w:val="7EE52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方正书宋简体"/>
      <w:b/>
      <w:kern w:val="44"/>
      <w:sz w:val="44"/>
    </w:rPr>
  </w:style>
  <w:style w:type="paragraph" w:styleId="3">
    <w:name w:val="heading 2"/>
    <w:basedOn w:val="1"/>
    <w:next w:val="4"/>
    <w:qFormat/>
    <w:uiPriority w:val="0"/>
    <w:pPr>
      <w:keepNext/>
      <w:keepLines/>
      <w:spacing w:before="260" w:after="260" w:line="416" w:lineRule="auto"/>
      <w:outlineLvl w:val="1"/>
    </w:pPr>
    <w:rPr>
      <w:rFonts w:ascii="Arial" w:hAnsi="Arial" w:eastAsia="黑体"/>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45"/>
    <w:qFormat/>
    <w:uiPriority w:val="0"/>
    <w:pPr>
      <w:jc w:val="left"/>
    </w:pPr>
  </w:style>
  <w:style w:type="paragraph" w:styleId="6">
    <w:name w:val="Body Text"/>
    <w:basedOn w:val="1"/>
    <w:qFormat/>
    <w:uiPriority w:val="0"/>
    <w:rPr>
      <w:rFonts w:eastAsia="方正楷体简体"/>
      <w:sz w:val="28"/>
      <w:szCs w:val="20"/>
    </w:rPr>
  </w:style>
  <w:style w:type="paragraph" w:styleId="7">
    <w:name w:val="Body Text Indent"/>
    <w:basedOn w:val="1"/>
    <w:qFormat/>
    <w:uiPriority w:val="0"/>
    <w:pPr>
      <w:spacing w:line="360" w:lineRule="auto"/>
      <w:ind w:firstLine="435"/>
    </w:pPr>
    <w:rPr>
      <w:sz w:val="24"/>
    </w:rPr>
  </w:style>
  <w:style w:type="paragraph" w:styleId="8">
    <w:name w:val="Date"/>
    <w:basedOn w:val="1"/>
    <w:next w:val="1"/>
    <w:qFormat/>
    <w:uiPriority w:val="0"/>
    <w:pPr>
      <w:ind w:left="100" w:leftChars="2500"/>
    </w:pPr>
    <w:rPr>
      <w:rFonts w:ascii="宋体" w:hAnsi="宋体"/>
      <w:sz w:val="24"/>
    </w:rPr>
  </w:style>
  <w:style w:type="paragraph" w:styleId="9">
    <w:name w:val="Body Text Indent 2"/>
    <w:basedOn w:val="1"/>
    <w:qFormat/>
    <w:uiPriority w:val="0"/>
    <w:pPr>
      <w:snapToGrid w:val="0"/>
      <w:spacing w:line="600" w:lineRule="atLeast"/>
      <w:ind w:firstLine="555"/>
    </w:pPr>
    <w:rPr>
      <w:rFonts w:ascii="宋体" w:hAnsi="宋体"/>
      <w:sz w:val="28"/>
    </w:rPr>
  </w:style>
  <w:style w:type="paragraph" w:styleId="10">
    <w:name w:val="Balloon Text"/>
    <w:basedOn w:val="1"/>
    <w:semiHidden/>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3"/>
    <w:qFormat/>
    <w:uiPriority w:val="0"/>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0"/>
    <w:pPr>
      <w:numPr>
        <w:ilvl w:val="1"/>
        <w:numId w:val="1"/>
      </w:numPr>
      <w:spacing w:line="500" w:lineRule="exact"/>
    </w:pPr>
    <w:rPr>
      <w:color w:val="000000"/>
      <w:sz w:val="24"/>
    </w:rPr>
  </w:style>
  <w:style w:type="paragraph" w:styleId="14">
    <w:name w:val="footnote text"/>
    <w:basedOn w:val="1"/>
    <w:link w:val="51"/>
    <w:qFormat/>
    <w:uiPriority w:val="0"/>
    <w:pPr>
      <w:snapToGrid w:val="0"/>
      <w:jc w:val="left"/>
    </w:pPr>
    <w:rPr>
      <w:sz w:val="18"/>
      <w:szCs w:val="18"/>
    </w:rPr>
  </w:style>
  <w:style w:type="paragraph" w:styleId="15">
    <w:name w:val="HTML Preformatted"/>
    <w:basedOn w:val="1"/>
    <w:link w:val="4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6">
    <w:name w:val="index 1"/>
    <w:basedOn w:val="1"/>
    <w:next w:val="1"/>
    <w:semiHidden/>
    <w:qFormat/>
    <w:uiPriority w:val="0"/>
    <w:pPr>
      <w:spacing w:line="0" w:lineRule="atLeast"/>
    </w:pPr>
    <w:rPr>
      <w:rFonts w:ascii="Garamond" w:hAnsi="Garamond" w:eastAsia="仿宋_GB2312"/>
    </w:rPr>
  </w:style>
  <w:style w:type="paragraph" w:styleId="17">
    <w:name w:val="annotation subject"/>
    <w:basedOn w:val="5"/>
    <w:next w:val="5"/>
    <w:link w:val="46"/>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styleId="25">
    <w:name w:val="footnote reference"/>
    <w:basedOn w:val="20"/>
    <w:qFormat/>
    <w:uiPriority w:val="0"/>
    <w:rPr>
      <w:vertAlign w:val="superscript"/>
    </w:rPr>
  </w:style>
  <w:style w:type="paragraph" w:customStyle="1" w:styleId="26">
    <w:name w:val="xl28"/>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kern w:val="0"/>
      <w:sz w:val="24"/>
    </w:rPr>
  </w:style>
  <w:style w:type="paragraph" w:customStyle="1" w:styleId="27">
    <w:name w:val="xl29"/>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b/>
      <w:kern w:val="0"/>
      <w:sz w:val="24"/>
    </w:rPr>
  </w:style>
  <w:style w:type="paragraph" w:customStyle="1" w:styleId="28">
    <w:name w:val="xl30"/>
    <w:basedOn w:val="1"/>
    <w:qFormat/>
    <w:uiPriority w:val="0"/>
    <w:pPr>
      <w:widowControl/>
      <w:pBdr>
        <w:top w:val="single" w:color="auto" w:sz="4" w:space="0"/>
        <w:left w:val="single" w:color="auto" w:sz="4" w:space="0"/>
        <w:bottom w:val="single" w:color="auto" w:sz="8" w:space="0"/>
        <w:right w:val="single" w:color="auto" w:sz="4" w:space="0"/>
      </w:pBdr>
      <w:spacing w:before="100" w:after="100"/>
      <w:jc w:val="left"/>
    </w:pPr>
    <w:rPr>
      <w:rFonts w:ascii="宋体" w:hAnsi="宋体"/>
      <w:b/>
      <w:kern w:val="0"/>
      <w:sz w:val="24"/>
    </w:rPr>
  </w:style>
  <w:style w:type="paragraph" w:customStyle="1" w:styleId="29">
    <w:name w:val="xl3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b/>
      <w:color w:val="FF0000"/>
      <w:kern w:val="0"/>
      <w:sz w:val="24"/>
    </w:rPr>
  </w:style>
  <w:style w:type="paragraph" w:customStyle="1" w:styleId="30">
    <w:name w:val="xl32"/>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b/>
      <w:kern w:val="0"/>
      <w:sz w:val="24"/>
    </w:rPr>
  </w:style>
  <w:style w:type="paragraph" w:customStyle="1" w:styleId="31">
    <w:name w:val="xl33"/>
    <w:basedOn w:val="1"/>
    <w:qFormat/>
    <w:uiPriority w:val="0"/>
    <w:pPr>
      <w:widowControl/>
      <w:pBdr>
        <w:top w:val="single" w:color="auto" w:sz="4" w:space="0"/>
        <w:left w:val="single" w:color="auto" w:sz="4" w:space="0"/>
        <w:bottom w:val="single" w:color="auto" w:sz="4" w:space="0"/>
        <w:right w:val="single" w:color="auto" w:sz="8" w:space="0"/>
      </w:pBdr>
      <w:spacing w:before="100" w:after="100"/>
      <w:jc w:val="left"/>
    </w:pPr>
    <w:rPr>
      <w:rFonts w:ascii="宋体" w:hAnsi="宋体"/>
      <w:b/>
      <w:kern w:val="0"/>
      <w:sz w:val="24"/>
    </w:rPr>
  </w:style>
  <w:style w:type="paragraph" w:customStyle="1" w:styleId="32">
    <w:name w:val="xl34"/>
    <w:basedOn w:val="1"/>
    <w:qFormat/>
    <w:uiPriority w:val="0"/>
    <w:pPr>
      <w:widowControl/>
      <w:pBdr>
        <w:top w:val="single" w:color="auto" w:sz="4" w:space="0"/>
        <w:left w:val="single" w:color="auto" w:sz="4" w:space="0"/>
        <w:bottom w:val="single" w:color="auto" w:sz="8" w:space="0"/>
        <w:right w:val="single" w:color="auto" w:sz="4" w:space="0"/>
      </w:pBdr>
      <w:spacing w:before="100" w:after="100"/>
      <w:jc w:val="left"/>
    </w:pPr>
    <w:rPr>
      <w:rFonts w:ascii="宋体" w:hAnsi="宋体"/>
      <w:b/>
      <w:kern w:val="0"/>
      <w:sz w:val="24"/>
    </w:rPr>
  </w:style>
  <w:style w:type="paragraph" w:customStyle="1" w:styleId="33">
    <w:name w:val="xl35"/>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b/>
      <w:color w:val="FF0000"/>
      <w:kern w:val="0"/>
      <w:sz w:val="24"/>
    </w:rPr>
  </w:style>
  <w:style w:type="paragraph" w:customStyle="1" w:styleId="34">
    <w:name w:val="xl36"/>
    <w:basedOn w:val="1"/>
    <w:qFormat/>
    <w:uiPriority w:val="0"/>
    <w:pPr>
      <w:widowControl/>
      <w:pBdr>
        <w:top w:val="single" w:color="auto" w:sz="4" w:space="0"/>
        <w:left w:val="single" w:color="auto" w:sz="4" w:space="0"/>
        <w:bottom w:val="single" w:color="auto" w:sz="4" w:space="0"/>
        <w:right w:val="single" w:color="auto" w:sz="8" w:space="0"/>
      </w:pBdr>
      <w:spacing w:before="100" w:after="100"/>
      <w:jc w:val="left"/>
    </w:pPr>
    <w:rPr>
      <w:rFonts w:ascii="宋体" w:hAnsi="宋体"/>
      <w:b/>
      <w:color w:val="FF0000"/>
      <w:kern w:val="0"/>
      <w:sz w:val="24"/>
    </w:rPr>
  </w:style>
  <w:style w:type="paragraph" w:customStyle="1" w:styleId="35">
    <w:name w:val="目录 11"/>
    <w:basedOn w:val="1"/>
    <w:next w:val="1"/>
    <w:semiHidden/>
    <w:qFormat/>
    <w:uiPriority w:val="0"/>
    <w:pPr>
      <w:tabs>
        <w:tab w:val="right" w:leader="dot" w:pos="9651"/>
      </w:tabs>
      <w:spacing w:line="360" w:lineRule="auto"/>
    </w:pPr>
    <w:rPr>
      <w:rFonts w:ascii="Garamond" w:hAnsi="Garamond" w:eastAsia="仿宋_GB2312"/>
      <w:color w:val="000000"/>
    </w:rPr>
  </w:style>
  <w:style w:type="character" w:customStyle="1" w:styleId="36">
    <w:name w:val="da1"/>
    <w:qFormat/>
    <w:uiPriority w:val="0"/>
    <w:rPr>
      <w:rFonts w:hint="default" w:ascii="ˎ̥" w:hAnsi="ˎ̥"/>
      <w:color w:val="000000"/>
      <w:sz w:val="21"/>
      <w:szCs w:val="21"/>
      <w:u w:val="none"/>
    </w:rPr>
  </w:style>
  <w:style w:type="character" w:customStyle="1" w:styleId="37">
    <w:name w:val="da"/>
    <w:basedOn w:val="20"/>
    <w:qFormat/>
    <w:uiPriority w:val="0"/>
  </w:style>
  <w:style w:type="character" w:customStyle="1" w:styleId="38">
    <w:name w:val="已访问的超链接1"/>
    <w:qFormat/>
    <w:uiPriority w:val="0"/>
    <w:rPr>
      <w:color w:val="800080"/>
      <w:u w:val="single"/>
    </w:rPr>
  </w:style>
  <w:style w:type="character" w:customStyle="1" w:styleId="39">
    <w:name w:val="text2"/>
    <w:basedOn w:val="20"/>
    <w:qFormat/>
    <w:uiPriority w:val="0"/>
  </w:style>
  <w:style w:type="paragraph" w:customStyle="1" w:styleId="40">
    <w:name w:val="默认段落字体 Para Char"/>
    <w:basedOn w:val="1"/>
    <w:qFormat/>
    <w:uiPriority w:val="0"/>
    <w:pPr>
      <w:numPr>
        <w:ilvl w:val="0"/>
        <w:numId w:val="2"/>
      </w:numPr>
    </w:pPr>
    <w:rPr>
      <w:sz w:val="24"/>
    </w:rPr>
  </w:style>
  <w:style w:type="paragraph" w:customStyle="1" w:styleId="41">
    <w:name w:val="Char Char Char1 Char Char Char Char"/>
    <w:basedOn w:val="1"/>
    <w:qFormat/>
    <w:uiPriority w:val="0"/>
    <w:rPr>
      <w:rFonts w:ascii="宋体" w:hAnsi="宋体" w:cs="Courier New"/>
      <w:sz w:val="32"/>
      <w:szCs w:val="32"/>
    </w:rPr>
  </w:style>
  <w:style w:type="paragraph" w:customStyle="1" w:styleId="4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3">
    <w:name w:val="页眉 字符"/>
    <w:link w:val="12"/>
    <w:qFormat/>
    <w:uiPriority w:val="0"/>
    <w:rPr>
      <w:kern w:val="2"/>
      <w:sz w:val="18"/>
      <w:szCs w:val="18"/>
    </w:rPr>
  </w:style>
  <w:style w:type="character" w:customStyle="1" w:styleId="44">
    <w:name w:val="HTML 预设格式 字符"/>
    <w:link w:val="15"/>
    <w:qFormat/>
    <w:uiPriority w:val="99"/>
    <w:rPr>
      <w:rFonts w:ascii="宋体" w:hAnsi="宋体" w:cs="宋体"/>
      <w:sz w:val="24"/>
      <w:szCs w:val="24"/>
    </w:rPr>
  </w:style>
  <w:style w:type="character" w:customStyle="1" w:styleId="45">
    <w:name w:val="批注文字 字符"/>
    <w:link w:val="5"/>
    <w:qFormat/>
    <w:uiPriority w:val="0"/>
    <w:rPr>
      <w:kern w:val="2"/>
      <w:sz w:val="21"/>
      <w:szCs w:val="24"/>
    </w:rPr>
  </w:style>
  <w:style w:type="character" w:customStyle="1" w:styleId="46">
    <w:name w:val="批注主题 字符"/>
    <w:link w:val="17"/>
    <w:qFormat/>
    <w:uiPriority w:val="0"/>
    <w:rPr>
      <w:b/>
      <w:bCs/>
      <w:kern w:val="2"/>
      <w:sz w:val="21"/>
      <w:szCs w:val="24"/>
    </w:rPr>
  </w:style>
  <w:style w:type="paragraph" w:customStyle="1" w:styleId="4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8">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49">
    <w:name w:val="List Paragraph"/>
    <w:basedOn w:val="1"/>
    <w:unhideWhenUsed/>
    <w:qFormat/>
    <w:uiPriority w:val="99"/>
    <w:pPr>
      <w:ind w:firstLine="420" w:firstLineChars="200"/>
    </w:pPr>
  </w:style>
  <w:style w:type="character" w:customStyle="1" w:styleId="50">
    <w:name w:val="页脚 字符"/>
    <w:basedOn w:val="20"/>
    <w:link w:val="11"/>
    <w:qFormat/>
    <w:uiPriority w:val="99"/>
    <w:rPr>
      <w:kern w:val="2"/>
      <w:sz w:val="18"/>
      <w:szCs w:val="18"/>
    </w:rPr>
  </w:style>
  <w:style w:type="character" w:customStyle="1" w:styleId="51">
    <w:name w:val="脚注文本 字符"/>
    <w:basedOn w:val="20"/>
    <w:link w:val="14"/>
    <w:qFormat/>
    <w:uiPriority w:val="0"/>
    <w:rPr>
      <w:kern w:val="2"/>
      <w:sz w:val="18"/>
      <w:szCs w:val="18"/>
    </w:rPr>
  </w:style>
  <w:style w:type="paragraph" w:customStyle="1" w:styleId="5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53">
    <w:name w:val="修订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FD2B-A8AD-47F2-87A0-BA28A40B5FB2}">
  <ds:schemaRefs/>
</ds:datastoreItem>
</file>

<file path=docProps/app.xml><?xml version="1.0" encoding="utf-8"?>
<Properties xmlns="http://schemas.openxmlformats.org/officeDocument/2006/extended-properties" xmlns:vt="http://schemas.openxmlformats.org/officeDocument/2006/docPropsVTypes">
  <Template>Normal.dotm</Template>
  <Company>zb</Company>
  <Pages>4</Pages>
  <Words>1505</Words>
  <Characters>1640</Characters>
  <Lines>12</Lines>
  <Paragraphs>3</Paragraphs>
  <TotalTime>20</TotalTime>
  <ScaleCrop>false</ScaleCrop>
  <LinksUpToDate>false</LinksUpToDate>
  <CharactersWithSpaces>1659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2026-08-14T05:24:00Z</dcterms:created>
  <dc:creator>lenovo</dc:creator>
  <cp:lastModifiedBy>葛伶燕</cp:lastModifiedBy>
  <cp:lastPrinted>2026-08-19T07:20:00Z</cp:lastPrinted>
  <dcterms:modified xsi:type="dcterms:W3CDTF">2026-08-19T09:07:29Z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45B1FBD282B6414089A04F286F773EA2</vt:lpwstr>
  </property>
  <property fmtid="{D5CDD505-2E9C-101B-9397-08002B2CF9AE}" pid="4" name="KSOTemplateDocerSaveRecord">
    <vt:lpwstr>eyJoZGlkIjoiYWEyMzEyZjZhMzcxZjhlYzIwMDU2ZWYxYzU4NTZkM2YiLCJ1c2VySWQiOiIxMjMxNDkzNDE3In0=</vt:lpwstr>
  </property>
</Properties>
</file>