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default" w:ascii="Times New Roman" w:hAnsi="Times New Roman" w:eastAsia="宋体"/>
          <w:sz w:val="24"/>
          <w:lang w:val="en-US" w:eastAsia="zh-CN"/>
        </w:rPr>
      </w:pPr>
      <w:r>
        <w:rPr>
          <w:rFonts w:hint="eastAsia" w:ascii="Times New Roman" w:hAnsi="Times New Roman" w:eastAsia="宋体"/>
          <w:sz w:val="24"/>
        </w:rPr>
        <w:t>证券代码：6</w:t>
      </w:r>
      <w:r>
        <w:rPr>
          <w:rFonts w:ascii="Times New Roman" w:hAnsi="Times New Roman" w:eastAsia="宋体"/>
          <w:sz w:val="24"/>
        </w:rPr>
        <w:t xml:space="preserve">01860   </w:t>
      </w:r>
      <w:r>
        <w:rPr>
          <w:rFonts w:hint="eastAsia" w:ascii="Times New Roman" w:hAnsi="Times New Roman" w:eastAsia="宋体"/>
          <w:sz w:val="24"/>
        </w:rPr>
        <w:t xml:space="preserve"> </w:t>
      </w:r>
      <w:r>
        <w:rPr>
          <w:rFonts w:hint="eastAsia" w:ascii="Times New Roman" w:hAnsi="Times New Roman" w:eastAsia="宋体"/>
          <w:sz w:val="24"/>
          <w:lang w:val="en-US" w:eastAsia="zh-CN"/>
        </w:rPr>
        <w:t xml:space="preserve">  </w:t>
      </w:r>
      <w:r>
        <w:rPr>
          <w:rFonts w:hint="eastAsia" w:ascii="Times New Roman" w:hAnsi="Times New Roman" w:eastAsia="宋体"/>
          <w:sz w:val="24"/>
        </w:rPr>
        <w:t xml:space="preserve">证券简称：紫金银行 </w:t>
      </w:r>
      <w:r>
        <w:rPr>
          <w:rFonts w:ascii="Times New Roman" w:hAnsi="Times New Roman" w:eastAsia="宋体"/>
          <w:sz w:val="24"/>
        </w:rPr>
        <w:t xml:space="preserve">       </w:t>
      </w:r>
      <w:r>
        <w:rPr>
          <w:rFonts w:hint="eastAsia" w:ascii="Times New Roman" w:hAnsi="Times New Roman" w:eastAsia="宋体"/>
          <w:sz w:val="24"/>
          <w:lang w:val="en-US" w:eastAsia="zh-CN"/>
        </w:rPr>
        <w:t xml:space="preserve"> </w:t>
      </w:r>
      <w:r>
        <w:rPr>
          <w:rFonts w:hint="eastAsia" w:ascii="Times New Roman" w:hAnsi="Times New Roman" w:eastAsia="宋体"/>
          <w:sz w:val="24"/>
        </w:rPr>
        <w:t>公告编号：</w:t>
      </w:r>
      <w:r>
        <w:rPr>
          <w:rFonts w:hint="eastAsia" w:ascii="Times New Roman" w:hAnsi="Times New Roman" w:eastAsia="宋体"/>
          <w:sz w:val="24"/>
          <w:lang w:val="en-US" w:eastAsia="zh-CN"/>
        </w:rPr>
        <w:t>2026</w:t>
      </w:r>
      <w:r>
        <w:rPr>
          <w:rFonts w:hint="eastAsia" w:ascii="Times New Roman" w:hAnsi="Times New Roman" w:eastAsia="宋体"/>
          <w:sz w:val="24"/>
        </w:rPr>
        <w:t>-0</w:t>
      </w:r>
      <w:r>
        <w:rPr>
          <w:rFonts w:hint="eastAsia" w:ascii="Times New Roman" w:hAnsi="Times New Roman" w:eastAsia="宋体"/>
          <w:sz w:val="24"/>
          <w:lang w:val="en-US" w:eastAsia="zh-CN"/>
        </w:rPr>
        <w:t>28</w:t>
      </w:r>
    </w:p>
    <w:p>
      <w:pPr>
        <w:spacing w:line="360" w:lineRule="auto"/>
        <w:rPr>
          <w:rFonts w:ascii="Times New Roman" w:hAnsi="Times New Roman" w:eastAsia="宋体"/>
          <w:sz w:val="24"/>
        </w:rPr>
      </w:pPr>
      <w:r>
        <w:rPr>
          <w:rFonts w:hint="eastAsia" w:ascii="Times New Roman" w:hAnsi="Times New Roman" w:eastAsia="宋体"/>
          <w:sz w:val="24"/>
        </w:rPr>
        <w:t>转债代码：1</w:t>
      </w:r>
      <w:r>
        <w:rPr>
          <w:rFonts w:ascii="Times New Roman" w:hAnsi="Times New Roman" w:eastAsia="宋体"/>
          <w:sz w:val="24"/>
        </w:rPr>
        <w:t>13037</w:t>
      </w:r>
      <w:r>
        <w:rPr>
          <w:rFonts w:hint="eastAsia" w:ascii="Times New Roman" w:hAnsi="Times New Roman" w:eastAsia="宋体"/>
          <w:sz w:val="24"/>
        </w:rPr>
        <w:t xml:space="preserve"> </w:t>
      </w:r>
      <w:r>
        <w:rPr>
          <w:rFonts w:ascii="Times New Roman" w:hAnsi="Times New Roman" w:eastAsia="宋体"/>
          <w:sz w:val="24"/>
        </w:rPr>
        <w:t xml:space="preserve">  </w:t>
      </w:r>
      <w:r>
        <w:rPr>
          <w:rFonts w:hint="eastAsia" w:ascii="Times New Roman" w:hAnsi="Times New Roman" w:eastAsia="宋体"/>
          <w:sz w:val="24"/>
        </w:rPr>
        <w:t xml:space="preserve"> </w:t>
      </w:r>
      <w:r>
        <w:rPr>
          <w:rFonts w:ascii="Times New Roman" w:hAnsi="Times New Roman" w:eastAsia="宋体"/>
          <w:sz w:val="24"/>
        </w:rPr>
        <w:t xml:space="preserve"> </w:t>
      </w:r>
      <w:r>
        <w:rPr>
          <w:rFonts w:hint="eastAsia" w:ascii="Times New Roman" w:hAnsi="Times New Roman" w:eastAsia="宋体"/>
          <w:sz w:val="24"/>
          <w:lang w:val="en-US" w:eastAsia="zh-CN"/>
        </w:rPr>
        <w:t xml:space="preserve"> </w:t>
      </w:r>
      <w:r>
        <w:rPr>
          <w:rFonts w:hint="eastAsia" w:ascii="Times New Roman" w:hAnsi="Times New Roman" w:eastAsia="宋体"/>
          <w:sz w:val="24"/>
        </w:rPr>
        <w:t>转债简称：紫银转债</w:t>
      </w:r>
      <w:bookmarkStart w:id="1" w:name="_GoBack"/>
      <w:bookmarkEnd w:id="1"/>
    </w:p>
    <w:p>
      <w:pPr>
        <w:rPr>
          <w:rFonts w:ascii="Times New Roman" w:hAnsi="Times New Roman" w:eastAsia="宋体"/>
          <w:sz w:val="2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b/>
          <w:color w:val="FF0000"/>
          <w:sz w:val="32"/>
          <w:szCs w:val="44"/>
        </w:rPr>
      </w:pPr>
      <w:bookmarkStart w:id="0" w:name="_Hlk60848199"/>
      <w:r>
        <w:rPr>
          <w:rFonts w:ascii="黑体" w:hAnsi="黑体" w:eastAsia="黑体"/>
          <w:b/>
          <w:color w:val="FF0000"/>
          <w:sz w:val="32"/>
          <w:szCs w:val="44"/>
        </w:rPr>
        <w:t>江苏紫金农村商业银行股份有限公司</w:t>
      </w:r>
      <w:bookmarkEnd w:id="0"/>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color w:val="FF0000"/>
          <w:sz w:val="32"/>
          <w:szCs w:val="44"/>
        </w:rPr>
      </w:pPr>
      <w:r>
        <w:rPr>
          <w:rFonts w:hint="eastAsia" w:ascii="黑体" w:hAnsi="黑体" w:eastAsia="黑体"/>
          <w:b/>
          <w:color w:val="FF0000"/>
          <w:sz w:val="32"/>
          <w:szCs w:val="44"/>
        </w:rPr>
        <w:t>关于“紫银转债”到期兑付</w:t>
      </w:r>
      <w:r>
        <w:rPr>
          <w:rFonts w:hint="eastAsia" w:ascii="黑体" w:hAnsi="黑体" w:eastAsia="黑体"/>
          <w:b/>
          <w:color w:val="FF0000"/>
          <w:sz w:val="32"/>
          <w:szCs w:val="44"/>
          <w:lang w:eastAsia="zh-CN"/>
        </w:rPr>
        <w:t>结果</w:t>
      </w:r>
      <w:r>
        <w:rPr>
          <w:rFonts w:hint="eastAsia" w:ascii="黑体" w:hAnsi="黑体" w:eastAsia="黑体"/>
          <w:b/>
          <w:color w:val="FF0000"/>
          <w:sz w:val="32"/>
          <w:szCs w:val="44"/>
        </w:rPr>
        <w:t>暨</w:t>
      </w:r>
      <w:r>
        <w:rPr>
          <w:rFonts w:hint="eastAsia" w:ascii="黑体" w:hAnsi="黑体" w:eastAsia="黑体"/>
          <w:b/>
          <w:color w:val="FF0000"/>
          <w:sz w:val="32"/>
          <w:szCs w:val="44"/>
          <w:lang w:eastAsia="zh-CN"/>
        </w:rPr>
        <w:t>股份变动</w:t>
      </w:r>
      <w:r>
        <w:rPr>
          <w:rFonts w:hint="eastAsia" w:ascii="黑体" w:hAnsi="黑体" w:eastAsia="黑体"/>
          <w:b/>
          <w:color w:val="FF0000"/>
          <w:sz w:val="32"/>
          <w:szCs w:val="44"/>
        </w:rPr>
        <w:t>公告</w:t>
      </w:r>
    </w:p>
    <w:p>
      <w:pPr>
        <w:pBdr>
          <w:top w:val="single" w:color="000000" w:sz="4" w:space="0"/>
          <w:left w:val="single" w:color="000000" w:sz="4" w:space="0"/>
          <w:bottom w:val="single" w:color="000000" w:sz="4" w:space="0"/>
          <w:right w:val="single" w:color="000000" w:sz="4" w:space="0"/>
        </w:pBdr>
        <w:spacing w:before="156" w:beforeLines="50" w:after="156" w:afterLines="50" w:line="360" w:lineRule="auto"/>
        <w:ind w:firstLine="480" w:firstLineChars="200"/>
        <w:rPr>
          <w:rFonts w:ascii="宋体" w:hAnsi="宋体" w:eastAsia="宋体"/>
          <w:sz w:val="24"/>
          <w:szCs w:val="24"/>
        </w:rPr>
      </w:pPr>
      <w:r>
        <w:rPr>
          <w:rFonts w:ascii="宋体" w:hAnsi="宋体" w:eastAsia="宋体"/>
          <w:sz w:val="24"/>
          <w:szCs w:val="24"/>
        </w:rPr>
        <w:t>本公司董事会及全体董事保证本公告内容不存在任何虚假记载、误导性陈述或者重大遗漏，并对其内容的真实性、准确性和完整性承担</w:t>
      </w:r>
      <w:r>
        <w:rPr>
          <w:rFonts w:hint="eastAsia" w:ascii="宋体" w:hAnsi="宋体" w:eastAsia="宋体"/>
          <w:sz w:val="24"/>
          <w:szCs w:val="24"/>
        </w:rPr>
        <w:t>法律</w:t>
      </w:r>
      <w:r>
        <w:rPr>
          <w:rFonts w:ascii="宋体" w:hAnsi="宋体" w:eastAsia="宋体"/>
          <w:sz w:val="24"/>
          <w:szCs w:val="24"/>
        </w:rPr>
        <w:t>责任。</w:t>
      </w:r>
    </w:p>
    <w:p>
      <w:pPr>
        <w:adjustRightInd w:val="0"/>
        <w:snapToGrid w:val="0"/>
        <w:spacing w:line="5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重要内容提示：</w:t>
      </w:r>
    </w:p>
    <w:p>
      <w:pPr>
        <w:numPr>
          <w:ilvl w:val="0"/>
          <w:numId w:val="1"/>
        </w:numPr>
        <w:adjustRightInd w:val="0"/>
        <w:snapToGrid w:val="0"/>
        <w:spacing w:line="56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到期兑付数量</w:t>
      </w:r>
      <w:r>
        <w:rPr>
          <w:rFonts w:hint="eastAsia" w:ascii="宋体" w:hAnsi="宋体" w:eastAsia="宋体" w:cs="宋体"/>
          <w:sz w:val="24"/>
          <w:szCs w:val="24"/>
        </w:rPr>
        <w:t>：</w:t>
      </w:r>
      <w:r>
        <w:rPr>
          <w:rFonts w:hint="eastAsia" w:ascii="宋体" w:hAnsi="宋体" w:eastAsia="宋体" w:cs="宋体"/>
          <w:sz w:val="24"/>
          <w:szCs w:val="24"/>
          <w:lang w:val="en-US" w:eastAsia="zh-CN"/>
        </w:rPr>
        <w:t>44,991,500张</w:t>
      </w:r>
    </w:p>
    <w:p>
      <w:pPr>
        <w:numPr>
          <w:ilvl w:val="0"/>
          <w:numId w:val="1"/>
        </w:numPr>
        <w:adjustRightInd w:val="0"/>
        <w:snapToGrid w:val="0"/>
        <w:spacing w:line="56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到期兑付总</w:t>
      </w:r>
      <w:r>
        <w:rPr>
          <w:rFonts w:hint="eastAsia" w:ascii="宋体" w:hAnsi="宋体" w:eastAsia="宋体" w:cs="宋体"/>
          <w:sz w:val="24"/>
          <w:szCs w:val="24"/>
        </w:rPr>
        <w:t>金额：</w:t>
      </w:r>
      <w:r>
        <w:rPr>
          <w:rFonts w:hint="eastAsia" w:ascii="宋体" w:hAnsi="宋体" w:eastAsia="宋体" w:cs="宋体"/>
          <w:sz w:val="24"/>
          <w:szCs w:val="24"/>
          <w:lang w:eastAsia="zh-CN"/>
        </w:rPr>
        <w:t>人民币</w:t>
      </w:r>
      <w:r>
        <w:rPr>
          <w:rFonts w:hint="eastAsia" w:ascii="宋体" w:hAnsi="宋体" w:eastAsia="宋体" w:cs="宋体"/>
          <w:sz w:val="24"/>
          <w:szCs w:val="24"/>
          <w:lang w:val="en-US" w:eastAsia="zh-CN"/>
        </w:rPr>
        <w:t>4,949,065,000</w:t>
      </w:r>
      <w:r>
        <w:rPr>
          <w:rFonts w:hint="eastAsia" w:ascii="宋体" w:hAnsi="宋体" w:eastAsia="宋体" w:cs="宋体"/>
          <w:sz w:val="24"/>
          <w:szCs w:val="24"/>
        </w:rPr>
        <w:t>元</w:t>
      </w:r>
    </w:p>
    <w:p>
      <w:pPr>
        <w:numPr>
          <w:ilvl w:val="0"/>
          <w:numId w:val="1"/>
        </w:numPr>
        <w:adjustRightInd w:val="0"/>
        <w:snapToGrid w:val="0"/>
        <w:spacing w:line="56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兑付资金发放日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w:t>
      </w:r>
    </w:p>
    <w:p>
      <w:pPr>
        <w:numPr>
          <w:ilvl w:val="0"/>
          <w:numId w:val="1"/>
        </w:numPr>
        <w:adjustRightInd w:val="0"/>
        <w:snapToGrid w:val="0"/>
        <w:spacing w:line="56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可转债摘牌日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w:t>
      </w:r>
    </w:p>
    <w:p>
      <w:pPr>
        <w:keepNext w:val="0"/>
        <w:keepLines w:val="0"/>
        <w:pageBreakBefore w:val="0"/>
        <w:kinsoku/>
        <w:wordWrap/>
        <w:overflowPunct/>
        <w:topLinePunct w:val="0"/>
        <w:autoSpaceDE/>
        <w:autoSpaceDN/>
        <w:bidi w:val="0"/>
        <w:adjustRightInd w:val="0"/>
        <w:snapToGrid w:val="0"/>
        <w:spacing w:line="56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一、可转债基本情况</w:t>
      </w:r>
    </w:p>
    <w:p>
      <w:pPr>
        <w:keepNext w:val="0"/>
        <w:keepLines w:val="0"/>
        <w:pageBreakBefore w:val="0"/>
        <w:widowControl/>
        <w:kinsoku/>
        <w:wordWrap/>
        <w:overflowPunct/>
        <w:topLinePunct w:val="0"/>
        <w:autoSpaceDE/>
        <w:autoSpaceDN/>
        <w:bidi w:val="0"/>
        <w:adjustRightInd w:val="0"/>
        <w:snapToGrid w:val="0"/>
        <w:spacing w:before="157" w:beforeLines="50"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经中国证券监督管理委员会《关于核准江苏紫金农村商业银行股份有限公司公开发行可转换公司债券的批复》（证监许可[2020]1068号）</w:t>
      </w:r>
      <w:r>
        <w:rPr>
          <w:rFonts w:hint="eastAsia" w:ascii="宋体" w:hAnsi="宋体" w:eastAsia="宋体" w:cs="宋体"/>
          <w:sz w:val="24"/>
          <w:szCs w:val="24"/>
          <w:lang w:eastAsia="zh-CN"/>
        </w:rPr>
        <w:t>核准</w:t>
      </w:r>
      <w:r>
        <w:rPr>
          <w:rFonts w:hint="eastAsia" w:ascii="宋体" w:hAnsi="宋体" w:eastAsia="宋体" w:cs="宋体"/>
          <w:sz w:val="24"/>
          <w:szCs w:val="24"/>
        </w:rPr>
        <w:t>，江苏紫金农村商业银行股份有限公司(以下简称“公司”)于</w:t>
      </w:r>
      <w:r>
        <w:rPr>
          <w:rFonts w:hint="eastAsia" w:ascii="宋体" w:hAnsi="宋体" w:eastAsia="宋体" w:cs="宋体"/>
          <w:sz w:val="24"/>
          <w:szCs w:val="24"/>
          <w:lang w:val="en-US" w:eastAsia="zh-CN"/>
        </w:rPr>
        <w:t>2020</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日通过上海证券交易所向社会公开发行</w:t>
      </w:r>
      <w:r>
        <w:rPr>
          <w:rFonts w:hint="eastAsia" w:ascii="宋体" w:hAnsi="宋体" w:eastAsia="宋体" w:cs="宋体"/>
          <w:sz w:val="24"/>
          <w:szCs w:val="24"/>
          <w:lang w:eastAsia="zh-CN"/>
        </w:rPr>
        <w:t>面值总额</w:t>
      </w:r>
      <w:r>
        <w:rPr>
          <w:rFonts w:hint="eastAsia" w:ascii="宋体" w:hAnsi="宋体" w:eastAsia="宋体" w:cs="宋体"/>
          <w:sz w:val="24"/>
        </w:rPr>
        <w:t>45亿元</w:t>
      </w:r>
      <w:r>
        <w:rPr>
          <w:rFonts w:hint="eastAsia" w:ascii="宋体" w:hAnsi="宋体" w:eastAsia="宋体" w:cs="宋体"/>
          <w:sz w:val="24"/>
          <w:szCs w:val="24"/>
        </w:rPr>
        <w:t>人民币</w:t>
      </w:r>
      <w:r>
        <w:rPr>
          <w:rFonts w:hint="eastAsia" w:ascii="宋体" w:hAnsi="宋体" w:eastAsia="宋体" w:cs="宋体"/>
          <w:sz w:val="24"/>
          <w:szCs w:val="24"/>
          <w:lang w:eastAsia="zh-CN"/>
        </w:rPr>
        <w:t>的</w:t>
      </w:r>
      <w:r>
        <w:rPr>
          <w:rFonts w:hint="eastAsia" w:ascii="宋体" w:hAnsi="宋体" w:eastAsia="宋体" w:cs="宋体"/>
          <w:sz w:val="24"/>
          <w:szCs w:val="24"/>
        </w:rPr>
        <w:t>可转换公司债券（以下简称“可</w:t>
      </w:r>
      <w:r>
        <w:rPr>
          <w:rFonts w:hint="eastAsia" w:ascii="宋体" w:hAnsi="宋体" w:eastAsia="宋体" w:cs="宋体"/>
          <w:sz w:val="24"/>
        </w:rPr>
        <w:t>转债”、“紫银转债”）</w:t>
      </w:r>
      <w:r>
        <w:rPr>
          <w:rFonts w:hint="eastAsia" w:ascii="宋体" w:hAnsi="宋体" w:eastAsia="宋体" w:cs="宋体"/>
          <w:sz w:val="24"/>
          <w:szCs w:val="24"/>
          <w:lang w:eastAsia="zh-CN"/>
        </w:rPr>
        <w:t>，每张面值100元，期限</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年(即自</w:t>
      </w:r>
      <w:r>
        <w:rPr>
          <w:rFonts w:hint="eastAsia" w:ascii="宋体" w:hAnsi="宋体" w:eastAsia="宋体" w:cs="宋体"/>
          <w:sz w:val="24"/>
        </w:rPr>
        <w:t>2020年7月23日至2026年7月22日）</w:t>
      </w:r>
      <w:r>
        <w:rPr>
          <w:rFonts w:hint="eastAsia" w:ascii="宋体" w:hAnsi="宋体" w:eastAsia="宋体" w:cs="宋体"/>
          <w:sz w:val="24"/>
          <w:szCs w:val="24"/>
          <w:lang w:eastAsia="zh-CN"/>
        </w:rPr>
        <w:t>。经上海证券交易所自律监管决定书[2020]254号文同意，公司可转债于2020年8月17日起在上海证券交易所挂牌交易，债券</w:t>
      </w:r>
      <w:r>
        <w:rPr>
          <w:rFonts w:hint="eastAsia" w:ascii="宋体" w:hAnsi="宋体" w:eastAsia="宋体" w:cs="宋体"/>
          <w:sz w:val="24"/>
          <w:szCs w:val="24"/>
        </w:rPr>
        <w:t>简称“</w:t>
      </w:r>
      <w:r>
        <w:rPr>
          <w:rFonts w:hint="eastAsia" w:ascii="宋体" w:hAnsi="宋体" w:eastAsia="宋体" w:cs="宋体"/>
          <w:sz w:val="24"/>
          <w:szCs w:val="24"/>
          <w:lang w:eastAsia="zh-CN"/>
        </w:rPr>
        <w:t>紫银</w:t>
      </w:r>
      <w:r>
        <w:rPr>
          <w:rFonts w:hint="eastAsia" w:ascii="宋体" w:hAnsi="宋体" w:eastAsia="宋体" w:cs="宋体"/>
          <w:sz w:val="24"/>
          <w:szCs w:val="24"/>
        </w:rPr>
        <w:t>转债”，</w:t>
      </w:r>
      <w:r>
        <w:rPr>
          <w:rFonts w:hint="eastAsia" w:ascii="宋体" w:hAnsi="宋体" w:eastAsia="宋体" w:cs="宋体"/>
          <w:sz w:val="24"/>
          <w:szCs w:val="24"/>
          <w:lang w:eastAsia="zh-CN"/>
        </w:rPr>
        <w:t>债券</w:t>
      </w:r>
      <w:r>
        <w:rPr>
          <w:rFonts w:hint="eastAsia" w:ascii="宋体" w:hAnsi="宋体" w:eastAsia="宋体" w:cs="宋体"/>
          <w:sz w:val="24"/>
          <w:szCs w:val="24"/>
        </w:rPr>
        <w:t>代码“</w:t>
      </w:r>
      <w:r>
        <w:rPr>
          <w:rFonts w:hint="eastAsia" w:ascii="宋体" w:hAnsi="宋体" w:eastAsia="宋体" w:cs="宋体"/>
          <w:sz w:val="24"/>
          <w:szCs w:val="24"/>
          <w:lang w:val="en-US" w:eastAsia="zh-CN"/>
        </w:rPr>
        <w:t>113037</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公司于</w:t>
      </w:r>
      <w:r>
        <w:rPr>
          <w:rFonts w:hint="eastAsia" w:ascii="宋体" w:hAnsi="宋体" w:eastAsia="宋体" w:cs="宋体"/>
          <w:sz w:val="24"/>
          <w:szCs w:val="24"/>
          <w:lang w:val="en-US" w:eastAsia="zh-CN"/>
        </w:rPr>
        <w:t>2026年7月7日、7月9日、7月11日及7月15日分别在《中国证券报》《上海证券报》《证券时报》《证券日报》以及上海证券交易所网站（www.sse.com.cn）和公司网站（</w:t>
      </w:r>
      <w:r>
        <w:rPr>
          <w:rFonts w:hint="eastAsia" w:ascii="宋体" w:hAnsi="宋体" w:cs="宋体"/>
          <w:b w:val="0"/>
          <w:bCs/>
          <w:color w:val="000000"/>
          <w:kern w:val="0"/>
          <w:sz w:val="24"/>
          <w:szCs w:val="24"/>
          <w:lang w:val="en-US" w:eastAsia="zh-CN"/>
        </w:rPr>
        <w:t>www.zjrcbank.com</w:t>
      </w:r>
      <w:r>
        <w:rPr>
          <w:rFonts w:hint="eastAsia" w:ascii="宋体" w:hAnsi="宋体" w:eastAsia="宋体" w:cs="宋体"/>
          <w:sz w:val="24"/>
          <w:szCs w:val="24"/>
          <w:lang w:val="en-US" w:eastAsia="zh-CN"/>
        </w:rPr>
        <w:t>）分别披露了《江苏紫金农村商业银行股份有限公司关于“紫银转债”到期兑付暨摘牌的第一次提示性公告》《江苏紫金农村商业银行股份有限公司关于“紫银转债”到期兑付暨摘牌的第二次提示性公告》《江苏紫金农村商业银行股份有限公司关于“紫银转债”到期兑付暨摘牌的第三次提示性公告》以及《江苏紫金农村商业银行股份有限公司关于“紫银转债”到期兑付暨摘牌的公告》，相关兑付事项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兑付登记日：</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22</w:t>
      </w:r>
      <w:r>
        <w:rPr>
          <w:rFonts w:hint="eastAsia" w:ascii="宋体" w:hAnsi="宋体" w:eastAsia="宋体" w:cs="宋体"/>
          <w:sz w:val="24"/>
          <w:szCs w:val="24"/>
        </w:rPr>
        <w:t>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2.兑付对象：</w:t>
      </w:r>
      <w:r>
        <w:rPr>
          <w:rFonts w:hint="eastAsia" w:ascii="宋体" w:hAnsi="宋体" w:eastAsia="宋体" w:cs="宋体"/>
          <w:sz w:val="24"/>
          <w:szCs w:val="24"/>
        </w:rPr>
        <w:t>截止</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22</w:t>
      </w:r>
      <w:r>
        <w:rPr>
          <w:rFonts w:hint="eastAsia" w:ascii="宋体" w:hAnsi="宋体" w:eastAsia="宋体" w:cs="宋体"/>
          <w:sz w:val="24"/>
          <w:szCs w:val="24"/>
        </w:rPr>
        <w:t>日上海证券交易所收市后在中国证券登记结算有限责任公司上海分公司（以下简称“中登上海分公司”）登记在册的</w:t>
      </w:r>
      <w:r>
        <w:rPr>
          <w:rFonts w:hint="eastAsia" w:ascii="宋体" w:hAnsi="宋体" w:eastAsia="宋体" w:cs="宋体"/>
          <w:sz w:val="24"/>
          <w:szCs w:val="24"/>
          <w:lang w:eastAsia="zh-CN"/>
        </w:rPr>
        <w:t>紫银</w:t>
      </w:r>
      <w:r>
        <w:rPr>
          <w:rFonts w:hint="eastAsia" w:ascii="宋体" w:hAnsi="宋体" w:eastAsia="宋体" w:cs="宋体"/>
          <w:sz w:val="24"/>
          <w:szCs w:val="24"/>
        </w:rPr>
        <w:t>转债全体持有人。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兑付本息金额：</w:t>
      </w:r>
      <w:r>
        <w:rPr>
          <w:rFonts w:hint="eastAsia" w:ascii="宋体" w:hAnsi="宋体" w:eastAsia="宋体" w:cs="宋体"/>
          <w:sz w:val="24"/>
          <w:szCs w:val="24"/>
          <w:lang w:eastAsia="zh-CN"/>
        </w:rPr>
        <w:t>人民币</w:t>
      </w:r>
      <w:r>
        <w:rPr>
          <w:rFonts w:hint="eastAsia" w:ascii="宋体" w:hAnsi="宋体" w:eastAsia="宋体" w:cs="宋体"/>
          <w:sz w:val="24"/>
          <w:szCs w:val="24"/>
          <w:lang w:val="en-US" w:eastAsia="zh-CN"/>
        </w:rPr>
        <w:t>110</w:t>
      </w:r>
      <w:r>
        <w:rPr>
          <w:rFonts w:hint="eastAsia" w:ascii="宋体" w:hAnsi="宋体" w:eastAsia="宋体" w:cs="宋体"/>
          <w:sz w:val="24"/>
          <w:szCs w:val="24"/>
        </w:rPr>
        <w:t>元/张</w:t>
      </w:r>
      <w:r>
        <w:rPr>
          <w:rFonts w:hint="eastAsia" w:ascii="宋体" w:hAnsi="宋体" w:eastAsia="宋体" w:cs="宋体"/>
          <w:sz w:val="24"/>
          <w:szCs w:val="24"/>
          <w:lang w:eastAsia="zh-CN"/>
        </w:rPr>
        <w:t>（含税）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兑付资金发放日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rPr>
        <w:t>二、可转债</w:t>
      </w:r>
      <w:r>
        <w:rPr>
          <w:rFonts w:hint="eastAsia" w:ascii="宋体" w:hAnsi="宋体" w:eastAsia="宋体" w:cs="宋体"/>
          <w:b/>
          <w:bCs/>
          <w:sz w:val="24"/>
          <w:szCs w:val="24"/>
          <w:lang w:eastAsia="zh-CN"/>
        </w:rPr>
        <w:t>到期兑付结果及对公司的影响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（一）转股情况</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lang w:eastAsia="zh-CN"/>
        </w:rPr>
        <w:t>紫银转债</w:t>
      </w:r>
      <w:r>
        <w:rPr>
          <w:rFonts w:hint="eastAsia" w:ascii="宋体" w:hAnsi="宋体" w:eastAsia="宋体" w:cs="宋体"/>
          <w:sz w:val="24"/>
        </w:rPr>
        <w:t>自2021年1月29日</w:t>
      </w:r>
      <w:r>
        <w:rPr>
          <w:rFonts w:hint="eastAsia" w:ascii="宋体" w:hAnsi="宋体" w:eastAsia="宋体" w:cs="宋体"/>
          <w:sz w:val="24"/>
          <w:lang w:eastAsia="zh-CN"/>
        </w:rPr>
        <w:t>进入转股期，截至</w:t>
      </w:r>
      <w:r>
        <w:rPr>
          <w:rFonts w:hint="eastAsia" w:ascii="宋体" w:hAnsi="宋体" w:eastAsia="宋体" w:cs="宋体"/>
          <w:sz w:val="24"/>
          <w:lang w:val="en-US" w:eastAsia="zh-CN"/>
        </w:rPr>
        <w:t>2026年7月22日，</w:t>
      </w:r>
      <w:r>
        <w:rPr>
          <w:rFonts w:hint="eastAsia" w:ascii="宋体" w:hAnsi="宋体" w:eastAsia="宋体" w:cs="宋体"/>
          <w:sz w:val="24"/>
          <w:highlight w:val="none"/>
        </w:rPr>
        <w:t>累计共有</w:t>
      </w:r>
      <w:r>
        <w:rPr>
          <w:rFonts w:hint="eastAsia" w:ascii="宋体" w:hAnsi="宋体" w:eastAsia="宋体" w:cs="宋体"/>
          <w:sz w:val="24"/>
          <w:highlight w:val="none"/>
          <w:lang w:val="en-US" w:eastAsia="zh-CN"/>
        </w:rPr>
        <w:t>850,000</w:t>
      </w:r>
      <w:r>
        <w:rPr>
          <w:rFonts w:hint="eastAsia" w:ascii="宋体" w:hAnsi="宋体" w:eastAsia="宋体" w:cs="宋体"/>
          <w:sz w:val="24"/>
          <w:highlight w:val="none"/>
        </w:rPr>
        <w:t>元紫银转债</w:t>
      </w:r>
      <w:r>
        <w:rPr>
          <w:rFonts w:hint="eastAsia" w:ascii="宋体" w:hAnsi="宋体" w:eastAsia="宋体" w:cs="宋体"/>
          <w:sz w:val="24"/>
          <w:highlight w:val="none"/>
          <w:lang w:eastAsia="zh-CN"/>
        </w:rPr>
        <w:t>转为</w:t>
      </w:r>
      <w:r>
        <w:rPr>
          <w:rFonts w:hint="eastAsia" w:ascii="宋体" w:hAnsi="宋体" w:eastAsia="宋体" w:cs="宋体"/>
          <w:sz w:val="24"/>
          <w:highlight w:val="none"/>
        </w:rPr>
        <w:t>公司股票，累计转股数为</w:t>
      </w:r>
      <w:r>
        <w:rPr>
          <w:rFonts w:hint="eastAsia" w:ascii="宋体" w:hAnsi="宋体" w:eastAsia="宋体" w:cs="宋体"/>
          <w:sz w:val="24"/>
          <w:highlight w:val="none"/>
          <w:lang w:val="en-US" w:eastAsia="zh-CN"/>
        </w:rPr>
        <w:t>215</w:t>
      </w:r>
      <w:r>
        <w:rPr>
          <w:rFonts w:hint="eastAsia" w:ascii="宋体" w:hAnsi="宋体" w:eastAsia="宋体" w:cs="宋体"/>
          <w:sz w:val="24"/>
          <w:highlight w:val="none"/>
        </w:rPr>
        <w:t>,</w:t>
      </w:r>
      <w:r>
        <w:rPr>
          <w:rFonts w:hint="eastAsia" w:ascii="宋体" w:hAnsi="宋体" w:eastAsia="宋体" w:cs="宋体"/>
          <w:sz w:val="24"/>
          <w:highlight w:val="none"/>
          <w:lang w:val="en-US" w:eastAsia="zh-CN"/>
        </w:rPr>
        <w:t>388</w:t>
      </w:r>
      <w:r>
        <w:rPr>
          <w:rFonts w:hint="eastAsia" w:ascii="宋体" w:hAnsi="宋体" w:eastAsia="宋体" w:cs="宋体"/>
          <w:sz w:val="24"/>
          <w:highlight w:val="none"/>
        </w:rPr>
        <w:t>股，占</w:t>
      </w:r>
      <w:r>
        <w:rPr>
          <w:rFonts w:hint="eastAsia" w:ascii="宋体" w:hAnsi="宋体" w:eastAsia="宋体" w:cs="宋体"/>
          <w:sz w:val="24"/>
          <w:highlight w:val="none"/>
          <w:lang w:eastAsia="zh-CN"/>
        </w:rPr>
        <w:t>紫银</w:t>
      </w:r>
      <w:r>
        <w:rPr>
          <w:rFonts w:hint="eastAsia" w:ascii="宋体" w:hAnsi="宋体" w:eastAsia="宋体" w:cs="宋体"/>
          <w:sz w:val="24"/>
          <w:highlight w:val="none"/>
        </w:rPr>
        <w:t>转债转股前公司已发行股份总数的</w:t>
      </w:r>
      <w:r>
        <w:rPr>
          <w:rFonts w:hint="eastAsia" w:ascii="宋体" w:hAnsi="宋体" w:eastAsia="宋体" w:cs="宋体"/>
          <w:sz w:val="24"/>
          <w:highlight w:val="none"/>
          <w:lang w:val="en-US" w:eastAsia="zh-CN"/>
        </w:rPr>
        <w:t xml:space="preserve">0.0059 </w:t>
      </w:r>
      <w:r>
        <w:rPr>
          <w:rFonts w:hint="eastAsia" w:ascii="宋体" w:hAnsi="宋体" w:eastAsia="宋体" w:cs="宋体"/>
          <w:sz w:val="24"/>
          <w:highlight w:val="none"/>
        </w:rPr>
        <w:t>%</w:t>
      </w:r>
      <w:r>
        <w:rPr>
          <w:rFonts w:hint="eastAsia" w:ascii="宋体" w:hAnsi="宋体" w:eastAsia="宋体" w:cs="宋体"/>
          <w:sz w:val="24"/>
          <w:highlight w:val="none"/>
          <w:lang w:eastAsia="zh-CN"/>
        </w:rPr>
        <w:t>；</w:t>
      </w:r>
      <w:r>
        <w:rPr>
          <w:rFonts w:hint="eastAsia" w:ascii="宋体" w:hAnsi="宋体" w:eastAsia="宋体" w:cs="宋体"/>
          <w:sz w:val="24"/>
        </w:rPr>
        <w:t>未转股的</w:t>
      </w:r>
      <w:r>
        <w:rPr>
          <w:rFonts w:hint="eastAsia" w:ascii="宋体" w:hAnsi="宋体" w:eastAsia="宋体" w:cs="宋体"/>
          <w:sz w:val="24"/>
          <w:lang w:eastAsia="zh-CN"/>
        </w:rPr>
        <w:t>紫银</w:t>
      </w:r>
      <w:r>
        <w:rPr>
          <w:rFonts w:hint="eastAsia" w:ascii="宋体" w:hAnsi="宋体" w:eastAsia="宋体" w:cs="宋体"/>
          <w:sz w:val="24"/>
        </w:rPr>
        <w:t>转债金额为</w:t>
      </w:r>
      <w:r>
        <w:rPr>
          <w:rFonts w:hint="eastAsia" w:ascii="宋体" w:hAnsi="宋体" w:eastAsia="宋体" w:cs="宋体"/>
          <w:sz w:val="24"/>
          <w:lang w:val="en-US" w:eastAsia="zh-CN"/>
        </w:rPr>
        <w:t>4,499,150,000</w:t>
      </w:r>
      <w:r>
        <w:rPr>
          <w:rFonts w:hint="eastAsia" w:ascii="宋体" w:hAnsi="宋体" w:eastAsia="宋体" w:cs="宋体"/>
          <w:sz w:val="24"/>
        </w:rPr>
        <w:t>元，占紫银转债发行总额的</w:t>
      </w:r>
      <w:r>
        <w:rPr>
          <w:rFonts w:hint="eastAsia" w:ascii="宋体" w:hAnsi="宋体" w:eastAsia="宋体" w:cs="宋体"/>
          <w:sz w:val="24"/>
          <w:lang w:eastAsia="zh-CN"/>
        </w:rPr>
        <w:t>比例为</w:t>
      </w:r>
      <w:r>
        <w:rPr>
          <w:rFonts w:hint="eastAsia" w:ascii="宋体" w:hAnsi="宋体" w:eastAsia="宋体" w:cs="宋体"/>
          <w:sz w:val="24"/>
          <w:lang w:val="en-US" w:eastAsia="zh-CN"/>
        </w:rPr>
        <w:t>99.98</w:t>
      </w:r>
      <w:r>
        <w:rPr>
          <w:rFonts w:hint="eastAsia" w:ascii="宋体" w:hAnsi="宋体" w:eastAsia="宋体" w:cs="宋体"/>
          <w:sz w:val="24"/>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（二）股本变动情况</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sz w:val="24"/>
          <w:lang w:val="en-US" w:eastAsia="zh-CN"/>
        </w:rPr>
      </w:pPr>
      <w:r>
        <w:rPr>
          <w:rFonts w:hint="eastAsia" w:ascii="Times New Roman" w:hAnsi="Times New Roman" w:eastAsia="宋体"/>
          <w:sz w:val="24"/>
          <w:lang w:eastAsia="zh-CN"/>
        </w:rPr>
        <w:t>截至</w:t>
      </w:r>
      <w:r>
        <w:rPr>
          <w:rFonts w:hint="eastAsia" w:ascii="Times New Roman" w:hAnsi="Times New Roman" w:eastAsia="宋体"/>
          <w:sz w:val="24"/>
          <w:lang w:val="en-US" w:eastAsia="zh-CN"/>
        </w:rPr>
        <w:t>2026年7月22日，公司股本结构变动情况如下：</w:t>
      </w:r>
    </w:p>
    <w:p>
      <w:pPr>
        <w:widowControl/>
        <w:ind w:firstLine="420" w:firstLineChars="200"/>
        <w:jc w:val="center"/>
        <w:rPr>
          <w:rFonts w:ascii="Times New Roman" w:hAnsi="Times New Roman" w:eastAsia="宋体"/>
          <w:szCs w:val="21"/>
        </w:rPr>
      </w:pPr>
      <w:r>
        <w:rPr>
          <w:rFonts w:hint="eastAsia" w:ascii="Times New Roman" w:hAnsi="Times New Roman" w:eastAsia="宋体"/>
          <w:szCs w:val="21"/>
          <w:lang w:val="en-US" w:eastAsia="zh-CN"/>
        </w:rPr>
        <w:t xml:space="preserve">                                             </w:t>
      </w:r>
      <w:r>
        <w:rPr>
          <w:rFonts w:hint="eastAsia" w:ascii="Times New Roman" w:hAnsi="Times New Roman" w:eastAsia="宋体"/>
          <w:szCs w:val="21"/>
        </w:rPr>
        <w:t>单位：股</w:t>
      </w:r>
    </w:p>
    <w:tbl>
      <w:tblPr>
        <w:tblStyle w:val="8"/>
        <w:tblW w:w="812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1"/>
        <w:gridCol w:w="1909"/>
        <w:gridCol w:w="1718"/>
        <w:gridCol w:w="1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11" w:type="dxa"/>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股份类别</w:t>
            </w:r>
          </w:p>
        </w:tc>
        <w:tc>
          <w:tcPr>
            <w:tcW w:w="1909" w:type="dxa"/>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变动</w:t>
            </w:r>
            <w:r>
              <w:rPr>
                <w:rFonts w:hint="eastAsia" w:ascii="宋体" w:hAnsi="宋体" w:eastAsia="宋体" w:cs="宋体"/>
                <w:b/>
                <w:color w:val="000000"/>
                <w:kern w:val="0"/>
                <w:szCs w:val="21"/>
                <w:lang w:eastAsia="zh-CN"/>
              </w:rPr>
              <w:t>前</w:t>
            </w:r>
            <w:r>
              <w:rPr>
                <w:rFonts w:hint="eastAsia" w:ascii="宋体" w:hAnsi="宋体" w:eastAsia="宋体" w:cs="宋体"/>
                <w:b/>
                <w:color w:val="000000"/>
                <w:kern w:val="0"/>
                <w:szCs w:val="21"/>
              </w:rPr>
              <w:t xml:space="preserve">      </w:t>
            </w:r>
            <w:r>
              <w:rPr>
                <w:rFonts w:hint="eastAsia" w:ascii="宋体" w:hAnsi="宋体" w:eastAsia="宋体" w:cs="宋体"/>
                <w:b/>
                <w:color w:val="000000"/>
                <w:kern w:val="0"/>
                <w:sz w:val="18"/>
                <w:szCs w:val="21"/>
              </w:rPr>
              <w:t>（202</w:t>
            </w:r>
            <w:r>
              <w:rPr>
                <w:rFonts w:hint="eastAsia" w:ascii="宋体" w:hAnsi="宋体" w:eastAsia="宋体" w:cs="宋体"/>
                <w:b/>
                <w:color w:val="000000"/>
                <w:kern w:val="0"/>
                <w:sz w:val="18"/>
                <w:szCs w:val="21"/>
                <w:lang w:val="en-US" w:eastAsia="zh-CN"/>
              </w:rPr>
              <w:t>6</w:t>
            </w:r>
            <w:r>
              <w:rPr>
                <w:rFonts w:hint="eastAsia" w:ascii="宋体" w:hAnsi="宋体" w:eastAsia="宋体" w:cs="宋体"/>
                <w:b/>
                <w:color w:val="000000"/>
                <w:kern w:val="0"/>
                <w:sz w:val="18"/>
                <w:szCs w:val="21"/>
              </w:rPr>
              <w:t>年</w:t>
            </w:r>
            <w:r>
              <w:rPr>
                <w:rFonts w:hint="eastAsia" w:ascii="宋体" w:hAnsi="宋体" w:eastAsia="宋体" w:cs="宋体"/>
                <w:b/>
                <w:color w:val="000000"/>
                <w:kern w:val="0"/>
                <w:sz w:val="18"/>
                <w:szCs w:val="21"/>
                <w:lang w:val="en-US" w:eastAsia="zh-CN"/>
              </w:rPr>
              <w:t>06</w:t>
            </w:r>
            <w:r>
              <w:rPr>
                <w:rFonts w:hint="eastAsia" w:ascii="宋体" w:hAnsi="宋体" w:eastAsia="宋体" w:cs="宋体"/>
                <w:b/>
                <w:color w:val="000000"/>
                <w:kern w:val="0"/>
                <w:sz w:val="18"/>
                <w:szCs w:val="21"/>
              </w:rPr>
              <w:t>月</w:t>
            </w:r>
            <w:r>
              <w:rPr>
                <w:rFonts w:hint="eastAsia" w:ascii="宋体" w:hAnsi="宋体" w:eastAsia="宋体" w:cs="宋体"/>
                <w:b/>
                <w:color w:val="000000"/>
                <w:kern w:val="0"/>
                <w:sz w:val="18"/>
                <w:szCs w:val="21"/>
                <w:lang w:val="en-US" w:eastAsia="zh-CN"/>
              </w:rPr>
              <w:t>30</w:t>
            </w:r>
            <w:r>
              <w:rPr>
                <w:rFonts w:hint="eastAsia" w:ascii="宋体" w:hAnsi="宋体" w:eastAsia="宋体" w:cs="宋体"/>
                <w:b/>
                <w:color w:val="000000"/>
                <w:kern w:val="0"/>
                <w:sz w:val="18"/>
                <w:szCs w:val="21"/>
              </w:rPr>
              <w:t>日）</w:t>
            </w:r>
          </w:p>
        </w:tc>
        <w:tc>
          <w:tcPr>
            <w:tcW w:w="1718" w:type="dxa"/>
            <w:vAlign w:val="center"/>
          </w:tcPr>
          <w:p>
            <w:pPr>
              <w:widowControl/>
              <w:jc w:val="center"/>
              <w:rPr>
                <w:rFonts w:hint="eastAsia" w:ascii="宋体" w:hAnsi="宋体" w:eastAsia="宋体" w:cs="宋体"/>
                <w:b/>
                <w:color w:val="000000"/>
                <w:kern w:val="0"/>
                <w:szCs w:val="21"/>
              </w:rPr>
            </w:pPr>
            <w:r>
              <w:rPr>
                <w:rFonts w:hint="eastAsia" w:ascii="宋体" w:hAnsi="宋体" w:eastAsia="宋体" w:cs="宋体"/>
                <w:b/>
                <w:color w:val="000000"/>
                <w:kern w:val="0"/>
                <w:szCs w:val="21"/>
                <w:lang w:eastAsia="zh-CN"/>
              </w:rPr>
              <w:t>本次</w:t>
            </w:r>
            <w:r>
              <w:rPr>
                <w:rFonts w:hint="eastAsia" w:ascii="宋体" w:hAnsi="宋体" w:eastAsia="宋体" w:cs="宋体"/>
                <w:b/>
                <w:color w:val="000000"/>
                <w:kern w:val="0"/>
                <w:szCs w:val="21"/>
              </w:rPr>
              <w:t>可转债转股</w:t>
            </w:r>
          </w:p>
        </w:tc>
        <w:tc>
          <w:tcPr>
            <w:tcW w:w="1991" w:type="dxa"/>
            <w:vAlign w:val="center"/>
          </w:tcPr>
          <w:p>
            <w:pPr>
              <w:widowControl/>
              <w:jc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 xml:space="preserve">变动后       </w:t>
            </w:r>
            <w:r>
              <w:rPr>
                <w:rFonts w:hint="eastAsia" w:ascii="宋体" w:hAnsi="宋体" w:eastAsia="宋体" w:cs="宋体"/>
                <w:b/>
                <w:color w:val="000000"/>
                <w:kern w:val="0"/>
                <w:sz w:val="18"/>
                <w:szCs w:val="21"/>
              </w:rPr>
              <w:t>（202</w:t>
            </w:r>
            <w:r>
              <w:rPr>
                <w:rFonts w:hint="eastAsia" w:ascii="宋体" w:hAnsi="宋体" w:eastAsia="宋体" w:cs="宋体"/>
                <w:b/>
                <w:color w:val="000000"/>
                <w:kern w:val="0"/>
                <w:sz w:val="18"/>
                <w:szCs w:val="21"/>
                <w:lang w:val="en-US" w:eastAsia="zh-CN"/>
              </w:rPr>
              <w:t>6</w:t>
            </w:r>
            <w:r>
              <w:rPr>
                <w:rFonts w:hint="eastAsia" w:ascii="宋体" w:hAnsi="宋体" w:eastAsia="宋体" w:cs="宋体"/>
                <w:b/>
                <w:color w:val="000000"/>
                <w:kern w:val="0"/>
                <w:sz w:val="18"/>
                <w:szCs w:val="21"/>
              </w:rPr>
              <w:t>年</w:t>
            </w:r>
            <w:r>
              <w:rPr>
                <w:rFonts w:hint="eastAsia" w:ascii="宋体" w:hAnsi="宋体" w:eastAsia="宋体" w:cs="宋体"/>
                <w:b/>
                <w:color w:val="000000"/>
                <w:kern w:val="0"/>
                <w:sz w:val="18"/>
                <w:szCs w:val="21"/>
                <w:lang w:val="en-US" w:eastAsia="zh-CN"/>
              </w:rPr>
              <w:t>07</w:t>
            </w:r>
            <w:r>
              <w:rPr>
                <w:rFonts w:hint="eastAsia" w:ascii="宋体" w:hAnsi="宋体" w:eastAsia="宋体" w:cs="宋体"/>
                <w:b/>
                <w:color w:val="000000"/>
                <w:kern w:val="0"/>
                <w:sz w:val="18"/>
                <w:szCs w:val="21"/>
              </w:rPr>
              <w:t>月</w:t>
            </w:r>
            <w:r>
              <w:rPr>
                <w:rFonts w:hint="eastAsia" w:ascii="宋体" w:hAnsi="宋体" w:eastAsia="宋体" w:cs="宋体"/>
                <w:b/>
                <w:color w:val="000000"/>
                <w:kern w:val="0"/>
                <w:sz w:val="18"/>
                <w:szCs w:val="21"/>
                <w:lang w:val="en-US" w:eastAsia="zh-CN"/>
              </w:rPr>
              <w:t>22</w:t>
            </w:r>
            <w:r>
              <w:rPr>
                <w:rFonts w:hint="eastAsia" w:ascii="宋体" w:hAnsi="宋体" w:eastAsia="宋体" w:cs="宋体"/>
                <w:b/>
                <w:color w:val="000000"/>
                <w:kern w:val="0"/>
                <w:sz w:val="18"/>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11" w:type="dxa"/>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有限售条件流通股</w:t>
            </w:r>
          </w:p>
        </w:tc>
        <w:tc>
          <w:tcPr>
            <w:tcW w:w="1909" w:type="dxa"/>
            <w:vAlign w:val="center"/>
          </w:tcPr>
          <w:p>
            <w:pPr>
              <w:widowControl/>
              <w:jc w:val="right"/>
              <w:rPr>
                <w:rFonts w:ascii="宋体" w:hAnsi="宋体" w:eastAsia="宋体" w:cs="宋体"/>
                <w:color w:val="000000"/>
                <w:kern w:val="0"/>
                <w:szCs w:val="21"/>
              </w:rPr>
            </w:pPr>
            <w:r>
              <w:rPr>
                <w:rFonts w:hint="eastAsia" w:ascii="宋体" w:hAnsi="宋体" w:eastAsia="宋体" w:cs="宋体"/>
                <w:color w:val="000000"/>
                <w:kern w:val="0"/>
                <w:szCs w:val="21"/>
                <w:highlight w:val="none"/>
                <w:lang w:val="en-US" w:eastAsia="zh-CN"/>
              </w:rPr>
              <w:t>109</w:t>
            </w:r>
            <w:r>
              <w:rPr>
                <w:rFonts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416</w:t>
            </w:r>
            <w:r>
              <w:rPr>
                <w:rFonts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316</w:t>
            </w:r>
          </w:p>
        </w:tc>
        <w:tc>
          <w:tcPr>
            <w:tcW w:w="1718" w:type="dxa"/>
            <w:vAlign w:val="center"/>
          </w:tcPr>
          <w:p>
            <w:pPr>
              <w:widowControl/>
              <w:jc w:val="right"/>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0</w:t>
            </w:r>
          </w:p>
        </w:tc>
        <w:tc>
          <w:tcPr>
            <w:tcW w:w="1991" w:type="dxa"/>
            <w:vAlign w:val="center"/>
          </w:tcPr>
          <w:p>
            <w:pPr>
              <w:widowControl/>
              <w:jc w:val="right"/>
              <w:rPr>
                <w:rFonts w:hint="default"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109</w:t>
            </w:r>
            <w:r>
              <w:rPr>
                <w:rFonts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416</w:t>
            </w:r>
            <w:r>
              <w:rPr>
                <w:rFonts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511" w:type="dxa"/>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无限售条件流通股</w:t>
            </w:r>
          </w:p>
        </w:tc>
        <w:tc>
          <w:tcPr>
            <w:tcW w:w="1909" w:type="dxa"/>
            <w:vAlign w:val="center"/>
          </w:tcPr>
          <w:p>
            <w:pPr>
              <w:widowControl/>
              <w:jc w:val="right"/>
              <w:rPr>
                <w:rFonts w:ascii="宋体" w:hAnsi="宋体" w:eastAsia="宋体" w:cs="宋体"/>
                <w:color w:val="000000"/>
                <w:kern w:val="0"/>
                <w:szCs w:val="21"/>
              </w:rPr>
            </w:pPr>
            <w:r>
              <w:rPr>
                <w:rFonts w:hint="eastAsia" w:ascii="宋体" w:hAnsi="宋体" w:eastAsia="宋体" w:cs="宋体"/>
                <w:color w:val="000000"/>
                <w:kern w:val="0"/>
                <w:szCs w:val="21"/>
                <w:highlight w:val="none"/>
                <w:lang w:val="en-US" w:eastAsia="zh-CN"/>
              </w:rPr>
              <w:t>3,551,606,401</w:t>
            </w:r>
          </w:p>
        </w:tc>
        <w:tc>
          <w:tcPr>
            <w:tcW w:w="1718" w:type="dxa"/>
            <w:vAlign w:val="center"/>
          </w:tcPr>
          <w:p>
            <w:pPr>
              <w:widowControl/>
              <w:jc w:val="right"/>
              <w:rPr>
                <w:rFonts w:hint="default"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81,560</w:t>
            </w:r>
          </w:p>
        </w:tc>
        <w:tc>
          <w:tcPr>
            <w:tcW w:w="1991" w:type="dxa"/>
            <w:vAlign w:val="center"/>
          </w:tcPr>
          <w:p>
            <w:pPr>
              <w:widowControl/>
              <w:jc w:val="right"/>
              <w:rPr>
                <w:rFonts w:hint="default"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3,551,687,961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2511" w:type="dxa"/>
            <w:shd w:val="clear" w:color="auto" w:fill="auto"/>
            <w:vAlign w:val="center"/>
          </w:tcPr>
          <w:p>
            <w:pPr>
              <w:widowControl/>
              <w:jc w:val="center"/>
              <w:rPr>
                <w:rFonts w:ascii="宋体" w:hAnsi="宋体" w:eastAsia="宋体" w:cs="宋体"/>
                <w:b/>
                <w:color w:val="000000"/>
                <w:kern w:val="0"/>
                <w:szCs w:val="21"/>
              </w:rPr>
            </w:pPr>
            <w:r>
              <w:rPr>
                <w:rFonts w:hint="eastAsia" w:ascii="宋体" w:hAnsi="宋体" w:eastAsia="宋体" w:cs="宋体"/>
                <w:b/>
                <w:color w:val="000000"/>
                <w:kern w:val="0"/>
                <w:szCs w:val="21"/>
              </w:rPr>
              <w:t>总股本</w:t>
            </w:r>
          </w:p>
        </w:tc>
        <w:tc>
          <w:tcPr>
            <w:tcW w:w="1909" w:type="dxa"/>
            <w:vAlign w:val="center"/>
          </w:tcPr>
          <w:p>
            <w:pPr>
              <w:widowControl/>
              <w:jc w:val="right"/>
              <w:rPr>
                <w:rFonts w:hint="default" w:ascii="宋体" w:hAnsi="宋体" w:eastAsia="宋体" w:cs="宋体"/>
                <w:b/>
                <w:color w:val="000000"/>
                <w:kern w:val="0"/>
                <w:szCs w:val="21"/>
                <w:lang w:val="en-US" w:eastAsia="zh-CN"/>
              </w:rPr>
            </w:pPr>
            <w:r>
              <w:rPr>
                <w:rFonts w:hint="eastAsia" w:ascii="宋体" w:hAnsi="宋体" w:eastAsia="宋体" w:cs="宋体"/>
                <w:b/>
                <w:color w:val="000000"/>
                <w:kern w:val="0"/>
                <w:szCs w:val="21"/>
                <w:highlight w:val="none"/>
                <w:lang w:val="en-US" w:eastAsia="zh-CN"/>
              </w:rPr>
              <w:t>3,661,022,717</w:t>
            </w:r>
          </w:p>
        </w:tc>
        <w:tc>
          <w:tcPr>
            <w:tcW w:w="1718" w:type="dxa"/>
            <w:vAlign w:val="center"/>
          </w:tcPr>
          <w:p>
            <w:pPr>
              <w:widowControl/>
              <w:jc w:val="right"/>
              <w:rPr>
                <w:rFonts w:hint="default" w:ascii="宋体" w:hAnsi="宋体" w:eastAsia="宋体" w:cs="宋体"/>
                <w:b/>
                <w:color w:val="000000"/>
                <w:kern w:val="0"/>
                <w:szCs w:val="21"/>
                <w:highlight w:val="none"/>
                <w:lang w:val="en-US" w:eastAsia="zh-CN"/>
              </w:rPr>
            </w:pPr>
            <w:r>
              <w:rPr>
                <w:rFonts w:hint="eastAsia" w:ascii="宋体" w:hAnsi="宋体" w:eastAsia="宋体" w:cs="宋体"/>
                <w:b/>
                <w:color w:val="000000"/>
                <w:kern w:val="0"/>
                <w:szCs w:val="21"/>
                <w:highlight w:val="none"/>
                <w:lang w:val="en-US" w:eastAsia="zh-CN"/>
              </w:rPr>
              <w:t>81,560</w:t>
            </w:r>
          </w:p>
        </w:tc>
        <w:tc>
          <w:tcPr>
            <w:tcW w:w="1991" w:type="dxa"/>
            <w:vAlign w:val="center"/>
          </w:tcPr>
          <w:p>
            <w:pPr>
              <w:widowControl/>
              <w:jc w:val="right"/>
              <w:rPr>
                <w:rFonts w:hint="default" w:ascii="宋体" w:hAnsi="宋体" w:eastAsia="宋体" w:cs="宋体"/>
                <w:b/>
                <w:color w:val="000000"/>
                <w:kern w:val="0"/>
                <w:szCs w:val="21"/>
                <w:highlight w:val="none"/>
                <w:lang w:val="en-US" w:eastAsia="zh-CN"/>
              </w:rPr>
            </w:pPr>
            <w:r>
              <w:rPr>
                <w:rFonts w:hint="eastAsia" w:ascii="宋体" w:hAnsi="宋体" w:eastAsia="宋体" w:cs="宋体"/>
                <w:b/>
                <w:color w:val="000000"/>
                <w:kern w:val="0"/>
                <w:szCs w:val="21"/>
                <w:highlight w:val="none"/>
                <w:lang w:val="en-US" w:eastAsia="zh-CN"/>
              </w:rPr>
              <w:t>3,661,104,277</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（三）停止交易及转股</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紫银</w:t>
      </w:r>
      <w:r>
        <w:rPr>
          <w:rFonts w:hint="eastAsia" w:ascii="宋体" w:hAnsi="宋体" w:eastAsia="宋体" w:cs="宋体"/>
          <w:sz w:val="24"/>
          <w:szCs w:val="24"/>
        </w:rPr>
        <w:t>转债于</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20</w:t>
      </w:r>
      <w:r>
        <w:rPr>
          <w:rFonts w:hint="eastAsia" w:ascii="宋体" w:hAnsi="宋体" w:eastAsia="宋体" w:cs="宋体"/>
          <w:sz w:val="24"/>
          <w:szCs w:val="24"/>
        </w:rPr>
        <w:t>日开始停止交易，</w:t>
      </w:r>
      <w:r>
        <w:rPr>
          <w:rFonts w:hint="eastAsia" w:ascii="宋体" w:hAnsi="宋体" w:eastAsia="宋体" w:cs="宋体"/>
          <w:sz w:val="24"/>
          <w:szCs w:val="24"/>
          <w:lang w:val="en-US" w:eastAsia="zh-CN"/>
        </w:rPr>
        <w:t>2026年7</w:t>
      </w:r>
      <w:r>
        <w:rPr>
          <w:rFonts w:hint="eastAsia" w:ascii="宋体" w:hAnsi="宋体" w:eastAsia="宋体" w:cs="宋体"/>
          <w:sz w:val="24"/>
          <w:szCs w:val="24"/>
        </w:rPr>
        <w:t>月</w:t>
      </w:r>
      <w:r>
        <w:rPr>
          <w:rFonts w:hint="eastAsia" w:ascii="宋体" w:hAnsi="宋体" w:eastAsia="宋体" w:cs="宋体"/>
          <w:sz w:val="24"/>
          <w:szCs w:val="24"/>
          <w:lang w:val="en-US" w:eastAsia="zh-CN"/>
        </w:rPr>
        <w:t>17</w:t>
      </w:r>
      <w:r>
        <w:rPr>
          <w:rFonts w:hint="eastAsia" w:ascii="宋体" w:hAnsi="宋体" w:eastAsia="宋体" w:cs="宋体"/>
          <w:sz w:val="24"/>
          <w:szCs w:val="24"/>
        </w:rPr>
        <w:t>日为最后交易日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2026年7月22日为最后转股日。</w:t>
      </w:r>
      <w:r>
        <w:rPr>
          <w:rFonts w:hint="eastAsia" w:ascii="宋体" w:hAnsi="宋体" w:eastAsia="宋体" w:cs="宋体"/>
          <w:sz w:val="24"/>
          <w:szCs w:val="24"/>
        </w:rPr>
        <w:t>自</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日起，</w:t>
      </w:r>
      <w:r>
        <w:rPr>
          <w:rFonts w:hint="eastAsia" w:ascii="宋体" w:hAnsi="宋体" w:eastAsia="宋体" w:cs="宋体"/>
          <w:sz w:val="24"/>
          <w:szCs w:val="24"/>
          <w:lang w:eastAsia="zh-CN"/>
        </w:rPr>
        <w:t>紫银</w:t>
      </w:r>
      <w:r>
        <w:rPr>
          <w:rFonts w:hint="eastAsia" w:ascii="宋体" w:hAnsi="宋体" w:eastAsia="宋体" w:cs="宋体"/>
          <w:sz w:val="24"/>
          <w:szCs w:val="24"/>
        </w:rPr>
        <w:t>转债在上海证券交易所摘牌。</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（四）到期兑付情况</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根据</w:t>
      </w:r>
      <w:r>
        <w:rPr>
          <w:rFonts w:hint="eastAsia" w:ascii="宋体" w:hAnsi="宋体" w:eastAsia="宋体" w:cs="宋体"/>
          <w:sz w:val="24"/>
          <w:szCs w:val="24"/>
        </w:rPr>
        <w:t>中登上海分公司</w:t>
      </w:r>
      <w:r>
        <w:rPr>
          <w:rFonts w:hint="eastAsia" w:ascii="宋体" w:hAnsi="宋体" w:eastAsia="宋体" w:cs="宋体"/>
          <w:sz w:val="24"/>
          <w:szCs w:val="24"/>
          <w:lang w:eastAsia="zh-CN"/>
        </w:rPr>
        <w:t>提供的数据，紫银转债到期兑付情况如下：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到期兑付数量</w:t>
      </w:r>
      <w:r>
        <w:rPr>
          <w:rFonts w:hint="eastAsia" w:ascii="宋体" w:hAnsi="宋体" w:eastAsia="宋体" w:cs="宋体"/>
          <w:sz w:val="24"/>
          <w:szCs w:val="24"/>
        </w:rPr>
        <w:t>：</w:t>
      </w:r>
      <w:r>
        <w:rPr>
          <w:rFonts w:hint="eastAsia" w:ascii="宋体" w:hAnsi="宋体" w:eastAsia="宋体" w:cs="宋体"/>
          <w:sz w:val="24"/>
          <w:szCs w:val="24"/>
          <w:lang w:val="en-US" w:eastAsia="zh-CN"/>
        </w:rPr>
        <w:t>44,991,500张</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到期兑付总</w:t>
      </w:r>
      <w:r>
        <w:rPr>
          <w:rFonts w:hint="eastAsia" w:ascii="宋体" w:hAnsi="宋体" w:eastAsia="宋体" w:cs="宋体"/>
          <w:sz w:val="24"/>
          <w:szCs w:val="24"/>
        </w:rPr>
        <w:t>金额：</w:t>
      </w:r>
      <w:r>
        <w:rPr>
          <w:rFonts w:hint="eastAsia" w:ascii="宋体" w:hAnsi="宋体" w:eastAsia="宋体" w:cs="宋体"/>
          <w:sz w:val="24"/>
          <w:szCs w:val="24"/>
          <w:lang w:eastAsia="zh-CN"/>
        </w:rPr>
        <w:t>人民币</w:t>
      </w:r>
      <w:r>
        <w:rPr>
          <w:rFonts w:hint="eastAsia" w:ascii="宋体" w:hAnsi="宋体" w:eastAsia="宋体" w:cs="宋体"/>
          <w:sz w:val="24"/>
          <w:szCs w:val="24"/>
          <w:lang w:val="en-US" w:eastAsia="zh-CN"/>
        </w:rPr>
        <w:t>4,949,065,000</w:t>
      </w:r>
      <w:r>
        <w:rPr>
          <w:rFonts w:hint="eastAsia" w:ascii="宋体" w:hAnsi="宋体" w:eastAsia="宋体" w:cs="宋体"/>
          <w:sz w:val="24"/>
          <w:szCs w:val="24"/>
        </w:rPr>
        <w:t>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兑付资金发放日</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2026</w:t>
      </w:r>
      <w:r>
        <w:rPr>
          <w:rFonts w:hint="eastAsia" w:ascii="宋体" w:hAnsi="宋体" w:eastAsia="宋体" w:cs="宋体"/>
          <w:sz w:val="24"/>
          <w:szCs w:val="24"/>
        </w:rPr>
        <w:t>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23</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（五）对公司的影响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1.本次到期兑付紫银转债面值总额为人民币4,499,150,000元，未对公司资金使用造成影响。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2.截至2026年7月22日收市后，紫银转债转股增加公司总股本215,388股。</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特此公告。</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right"/>
        <w:textAlignment w:val="auto"/>
        <w:rPr>
          <w:rFonts w:hint="eastAsia" w:ascii="宋体" w:hAnsi="宋体" w:eastAsia="宋体" w:cs="宋体"/>
          <w:sz w:val="24"/>
          <w:szCs w:val="24"/>
        </w:rPr>
      </w:pPr>
      <w:r>
        <w:rPr>
          <w:rFonts w:hint="eastAsia" w:ascii="Times New Roman" w:hAnsi="Times New Roman" w:eastAsia="宋体"/>
          <w:sz w:val="24"/>
        </w:rPr>
        <w:t>江苏紫金农村商业银行</w:t>
      </w:r>
      <w:r>
        <w:rPr>
          <w:rFonts w:hint="eastAsia" w:ascii="宋体" w:hAnsi="宋体" w:eastAsia="宋体" w:cs="宋体"/>
          <w:sz w:val="24"/>
          <w:szCs w:val="24"/>
        </w:rPr>
        <w:t>股份有限公司董事会</w:t>
      </w:r>
    </w:p>
    <w:p>
      <w:pPr>
        <w:pStyle w:val="3"/>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right"/>
        <w:textAlignment w:val="auto"/>
        <w:rPr>
          <w:rFonts w:hint="eastAsia" w:ascii="宋体" w:hAnsi="宋体" w:eastAsia="宋体" w:cs="宋体"/>
          <w:sz w:val="24"/>
          <w:szCs w:val="24"/>
        </w:rPr>
      </w:pPr>
      <w:r>
        <w:rPr>
          <w:rFonts w:hint="eastAsia" w:ascii="宋体" w:hAnsi="宋体" w:cs="宋体"/>
          <w:sz w:val="24"/>
          <w:szCs w:val="24"/>
          <w:lang w:val="en-US" w:eastAsia="zh-CN"/>
        </w:rPr>
        <w:t>2026</w:t>
      </w:r>
      <w:r>
        <w:rPr>
          <w:rFonts w:hint="eastAsia" w:ascii="宋体" w:hAnsi="宋体" w:eastAsia="宋体" w:cs="宋体"/>
          <w:sz w:val="24"/>
          <w:szCs w:val="24"/>
        </w:rPr>
        <w:t>年</w:t>
      </w:r>
      <w:r>
        <w:rPr>
          <w:rFonts w:hint="eastAsia" w:ascii="宋体" w:hAnsi="宋体" w:cs="宋体"/>
          <w:sz w:val="24"/>
          <w:szCs w:val="24"/>
          <w:lang w:val="en-US" w:eastAsia="zh-CN"/>
        </w:rPr>
        <w:t>7</w:t>
      </w:r>
      <w:r>
        <w:rPr>
          <w:rFonts w:hint="eastAsia" w:ascii="宋体" w:hAnsi="宋体" w:eastAsia="宋体" w:cs="宋体"/>
          <w:sz w:val="24"/>
          <w:szCs w:val="24"/>
        </w:rPr>
        <w:t>月</w:t>
      </w:r>
      <w:r>
        <w:rPr>
          <w:rFonts w:hint="eastAsia" w:ascii="宋体" w:hAnsi="宋体" w:cs="宋体"/>
          <w:sz w:val="24"/>
          <w:szCs w:val="24"/>
          <w:lang w:val="en-US" w:eastAsia="zh-CN"/>
        </w:rPr>
        <w:t>24</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autoSpaceDN/>
        <w:bidi w:val="0"/>
        <w:spacing w:line="360" w:lineRule="auto"/>
        <w:textAlignment w:val="auto"/>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4905C2"/>
    <w:multiLevelType w:val="multilevel"/>
    <w:tmpl w:val="314905C2"/>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78E"/>
    <w:rsid w:val="00011607"/>
    <w:rsid w:val="00057CBD"/>
    <w:rsid w:val="000C40B4"/>
    <w:rsid w:val="000C5258"/>
    <w:rsid w:val="00134479"/>
    <w:rsid w:val="001A511D"/>
    <w:rsid w:val="001B7182"/>
    <w:rsid w:val="001F3164"/>
    <w:rsid w:val="00220A56"/>
    <w:rsid w:val="00296D5F"/>
    <w:rsid w:val="002E5A7E"/>
    <w:rsid w:val="003416F4"/>
    <w:rsid w:val="00346A8D"/>
    <w:rsid w:val="00366925"/>
    <w:rsid w:val="0038062C"/>
    <w:rsid w:val="00383873"/>
    <w:rsid w:val="003A3085"/>
    <w:rsid w:val="00442055"/>
    <w:rsid w:val="004723E0"/>
    <w:rsid w:val="00475A2A"/>
    <w:rsid w:val="005738E3"/>
    <w:rsid w:val="005B5484"/>
    <w:rsid w:val="00603C09"/>
    <w:rsid w:val="00662E43"/>
    <w:rsid w:val="0067526D"/>
    <w:rsid w:val="006C3146"/>
    <w:rsid w:val="006E14CD"/>
    <w:rsid w:val="00717D79"/>
    <w:rsid w:val="00723771"/>
    <w:rsid w:val="007A2E82"/>
    <w:rsid w:val="007C3F53"/>
    <w:rsid w:val="00875B8A"/>
    <w:rsid w:val="008929FE"/>
    <w:rsid w:val="008A626A"/>
    <w:rsid w:val="008F404D"/>
    <w:rsid w:val="00940D47"/>
    <w:rsid w:val="00997EC9"/>
    <w:rsid w:val="009A478E"/>
    <w:rsid w:val="009E7238"/>
    <w:rsid w:val="00A5746C"/>
    <w:rsid w:val="00A727A9"/>
    <w:rsid w:val="00A8353B"/>
    <w:rsid w:val="00AB742A"/>
    <w:rsid w:val="00AD6AD6"/>
    <w:rsid w:val="00B81EC1"/>
    <w:rsid w:val="00C4451E"/>
    <w:rsid w:val="00CC7752"/>
    <w:rsid w:val="00CD5894"/>
    <w:rsid w:val="00D353C8"/>
    <w:rsid w:val="00D72607"/>
    <w:rsid w:val="00D85C14"/>
    <w:rsid w:val="00DC34BB"/>
    <w:rsid w:val="00DC5859"/>
    <w:rsid w:val="00DD3A19"/>
    <w:rsid w:val="00E11190"/>
    <w:rsid w:val="00E16952"/>
    <w:rsid w:val="00E25E61"/>
    <w:rsid w:val="00E27792"/>
    <w:rsid w:val="00E37E83"/>
    <w:rsid w:val="00EC65B1"/>
    <w:rsid w:val="00F35EEE"/>
    <w:rsid w:val="00F4735A"/>
    <w:rsid w:val="00F55899"/>
    <w:rsid w:val="00FD3874"/>
    <w:rsid w:val="00FD63B2"/>
    <w:rsid w:val="032F04D8"/>
    <w:rsid w:val="039E11BA"/>
    <w:rsid w:val="03A47C83"/>
    <w:rsid w:val="05284B01"/>
    <w:rsid w:val="057523EE"/>
    <w:rsid w:val="075E75DE"/>
    <w:rsid w:val="089A2898"/>
    <w:rsid w:val="08C2594B"/>
    <w:rsid w:val="0AFC15E8"/>
    <w:rsid w:val="0D8853B5"/>
    <w:rsid w:val="10603BCE"/>
    <w:rsid w:val="114063E1"/>
    <w:rsid w:val="12E3308D"/>
    <w:rsid w:val="13AE369B"/>
    <w:rsid w:val="14302302"/>
    <w:rsid w:val="15284D87"/>
    <w:rsid w:val="152F25BA"/>
    <w:rsid w:val="15B50D11"/>
    <w:rsid w:val="15D1541F"/>
    <w:rsid w:val="1703785A"/>
    <w:rsid w:val="17944956"/>
    <w:rsid w:val="187C6339"/>
    <w:rsid w:val="18B0756E"/>
    <w:rsid w:val="1BDD2D6F"/>
    <w:rsid w:val="1BDD4B1E"/>
    <w:rsid w:val="1C9553F8"/>
    <w:rsid w:val="1D4C369E"/>
    <w:rsid w:val="1D8524DA"/>
    <w:rsid w:val="1E6908EA"/>
    <w:rsid w:val="1EA47B74"/>
    <w:rsid w:val="1EC75611"/>
    <w:rsid w:val="21492C29"/>
    <w:rsid w:val="22CD1B68"/>
    <w:rsid w:val="22EC3898"/>
    <w:rsid w:val="231B23CF"/>
    <w:rsid w:val="245060A9"/>
    <w:rsid w:val="245C49CE"/>
    <w:rsid w:val="246266BF"/>
    <w:rsid w:val="24F133E8"/>
    <w:rsid w:val="274243CE"/>
    <w:rsid w:val="28096C9A"/>
    <w:rsid w:val="28F811E9"/>
    <w:rsid w:val="2967011C"/>
    <w:rsid w:val="29763EBB"/>
    <w:rsid w:val="2BEF7F55"/>
    <w:rsid w:val="2CE101E6"/>
    <w:rsid w:val="2DEA30CA"/>
    <w:rsid w:val="2F195A15"/>
    <w:rsid w:val="2F670A82"/>
    <w:rsid w:val="2FEF2C1A"/>
    <w:rsid w:val="301601A6"/>
    <w:rsid w:val="31EE13DB"/>
    <w:rsid w:val="323701D4"/>
    <w:rsid w:val="324C5918"/>
    <w:rsid w:val="32943604"/>
    <w:rsid w:val="32B048E2"/>
    <w:rsid w:val="33396D97"/>
    <w:rsid w:val="341B3FDD"/>
    <w:rsid w:val="3667175C"/>
    <w:rsid w:val="36981915"/>
    <w:rsid w:val="36F079A3"/>
    <w:rsid w:val="390D5536"/>
    <w:rsid w:val="397321B6"/>
    <w:rsid w:val="39E9692C"/>
    <w:rsid w:val="3A6C475E"/>
    <w:rsid w:val="3A751F6D"/>
    <w:rsid w:val="3A831106"/>
    <w:rsid w:val="3C090BBF"/>
    <w:rsid w:val="3C7E77FF"/>
    <w:rsid w:val="3C9541F0"/>
    <w:rsid w:val="3D2E2FD3"/>
    <w:rsid w:val="3EC3774B"/>
    <w:rsid w:val="3EDC4556"/>
    <w:rsid w:val="3F60143E"/>
    <w:rsid w:val="3FDD483D"/>
    <w:rsid w:val="411A5FF1"/>
    <w:rsid w:val="412A1D04"/>
    <w:rsid w:val="430F11B1"/>
    <w:rsid w:val="432C0EC1"/>
    <w:rsid w:val="43672D9B"/>
    <w:rsid w:val="43F17986"/>
    <w:rsid w:val="44557097"/>
    <w:rsid w:val="452627E2"/>
    <w:rsid w:val="45921630"/>
    <w:rsid w:val="45A85B29"/>
    <w:rsid w:val="46454EEA"/>
    <w:rsid w:val="47B35BE7"/>
    <w:rsid w:val="488E2B78"/>
    <w:rsid w:val="48FF75D2"/>
    <w:rsid w:val="4981448B"/>
    <w:rsid w:val="498B355B"/>
    <w:rsid w:val="49CA0BFE"/>
    <w:rsid w:val="4AD856DA"/>
    <w:rsid w:val="4B09298A"/>
    <w:rsid w:val="4B863275"/>
    <w:rsid w:val="4E5B34FC"/>
    <w:rsid w:val="501A1A7A"/>
    <w:rsid w:val="52374280"/>
    <w:rsid w:val="546B6463"/>
    <w:rsid w:val="55326F81"/>
    <w:rsid w:val="56607FE9"/>
    <w:rsid w:val="571050A0"/>
    <w:rsid w:val="5A985AD8"/>
    <w:rsid w:val="5ABF016F"/>
    <w:rsid w:val="5C401F83"/>
    <w:rsid w:val="5C5E4365"/>
    <w:rsid w:val="5DFB0858"/>
    <w:rsid w:val="5E0C65C1"/>
    <w:rsid w:val="611A1C10"/>
    <w:rsid w:val="622F0AD0"/>
    <w:rsid w:val="625247BE"/>
    <w:rsid w:val="627B1F67"/>
    <w:rsid w:val="62D503A7"/>
    <w:rsid w:val="62DC5F40"/>
    <w:rsid w:val="634C5B28"/>
    <w:rsid w:val="63A80B0C"/>
    <w:rsid w:val="641E0EA5"/>
    <w:rsid w:val="67111608"/>
    <w:rsid w:val="696F5DBE"/>
    <w:rsid w:val="6A9F07BD"/>
    <w:rsid w:val="6CDA788A"/>
    <w:rsid w:val="6E14501E"/>
    <w:rsid w:val="6FE32EFA"/>
    <w:rsid w:val="70493D5F"/>
    <w:rsid w:val="72225ADC"/>
    <w:rsid w:val="727E18F1"/>
    <w:rsid w:val="72930C07"/>
    <w:rsid w:val="76CF41D8"/>
    <w:rsid w:val="77860D3A"/>
    <w:rsid w:val="78F45BA7"/>
    <w:rsid w:val="79147128"/>
    <w:rsid w:val="7C0B7A60"/>
    <w:rsid w:val="7D9C4116"/>
    <w:rsid w:val="7F820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Date"/>
    <w:basedOn w:val="1"/>
    <w:next w:val="1"/>
    <w:unhideWhenUsed/>
    <w:qFormat/>
    <w:uiPriority w:val="0"/>
    <w:pPr>
      <w:ind w:left="100" w:leftChars="2500"/>
    </w:pPr>
    <w:rPr>
      <w:rFonts w:ascii="Times New Roman" w:hAnsi="Times New Roman" w:eastAsia="宋体" w:cs="Times New Roman"/>
      <w:szCs w:val="24"/>
    </w:r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5"/>
    <w:semiHidden/>
    <w:unhideWhenUsed/>
    <w:qFormat/>
    <w:uiPriority w:val="99"/>
    <w:rPr>
      <w:b/>
      <w:bCs/>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批注文字 Char"/>
    <w:basedOn w:val="9"/>
    <w:link w:val="2"/>
    <w:semiHidden/>
    <w:qFormat/>
    <w:uiPriority w:val="99"/>
  </w:style>
  <w:style w:type="character" w:customStyle="1" w:styleId="15">
    <w:name w:val="批注主题 Char"/>
    <w:basedOn w:val="14"/>
    <w:link w:val="7"/>
    <w:semiHidden/>
    <w:qFormat/>
    <w:uiPriority w:val="99"/>
    <w:rPr>
      <w:b/>
      <w:bCs/>
    </w:rPr>
  </w:style>
  <w:style w:type="character" w:customStyle="1" w:styleId="16">
    <w:name w:val="批注框文本 Char"/>
    <w:basedOn w:val="9"/>
    <w:link w:val="4"/>
    <w:semiHidden/>
    <w:qFormat/>
    <w:uiPriority w:val="99"/>
    <w:rPr>
      <w:sz w:val="18"/>
      <w:szCs w:val="18"/>
    </w:rPr>
  </w:style>
  <w:style w:type="paragraph" w:styleId="17">
    <w:name w:val="List Paragraph"/>
    <w:basedOn w:val="1"/>
    <w:qFormat/>
    <w:uiPriority w:val="34"/>
    <w:pPr>
      <w:ind w:firstLine="420" w:firstLineChars="200"/>
    </w:pPr>
  </w:style>
  <w:style w:type="character" w:customStyle="1" w:styleId="18">
    <w:name w:val="Unresolved Mention"/>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上海财经大学</Company>
  <Pages>3</Pages>
  <Words>1312</Words>
  <Characters>1579</Characters>
  <Lines>17</Lines>
  <Paragraphs>5</Paragraphs>
  <TotalTime>20</TotalTime>
  <ScaleCrop>false</ScaleCrop>
  <LinksUpToDate>false</LinksUpToDate>
  <CharactersWithSpaces>1678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2021-01-06T09:41:00Z</dcterms:created>
  <dc:creator>Lee</dc:creator>
  <cp:lastModifiedBy>葛伶燕</cp:lastModifiedBy>
  <cp:lastPrinted>2026-06-11T01:44:00Z</cp:lastPrinted>
  <dcterms:modified xsi:type="dcterms:W3CDTF">2026-07-23T02:03:17Z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TemplateDocerSaveRecord">
    <vt:lpwstr>eyJoZGlkIjoiYWEyMzEyZjZhMzcxZjhlYzIwMDU2ZWYxYzU4NTZkM2YiLCJ1c2VySWQiOiIxMjMxNDkzNDE3In0=</vt:lpwstr>
  </property>
  <property fmtid="{D5CDD505-2E9C-101B-9397-08002B2CF9AE}" pid="4" name="ICV">
    <vt:lpwstr>D160E76D4600465FB2E084B0EAE1A7DA_12</vt:lpwstr>
  </property>
</Properties>
</file>