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紫金农商银行2026年二季度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关联交易专项报告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本行根据《银行保险机构关联交易管理办法》和本行《关联交易管理办法》的相关规定，依法合规开展关联交易，现将2026年二季度末关联交易的具体情况披露如下：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一、授信类关联交易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截至2026年二季度末，本行与关联方发生的授信类关联交易净额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62.18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亿元，占资本净额的24.92%，均符合监管规定。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二、资产转移类关联交易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2026年二季度，本行与关联方发生的资产转移类关联交易金额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10.14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亿元，符合监管规定。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三、服务类关联交易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2026年二季度，本行与关联方发生的服务类关联交易金额</w:t>
      </w:r>
      <w:r>
        <w:rPr>
          <w:rFonts w:hint="eastAsia" w:ascii="仿宋_GB2312" w:hAnsi="宋体" w:eastAsia="仿宋_GB2312"/>
          <w:sz w:val="32"/>
          <w:szCs w:val="32"/>
        </w:rPr>
        <w:t>0.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亿元，符合监管规定。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四、存款和其他类型关联交易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2026年二季度，本行与关联方发生的存款类关联交易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4.02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亿元，其他类关联交易</w:t>
      </w:r>
      <w:r>
        <w:rPr>
          <w:rFonts w:hint="eastAsia" w:ascii="仿宋_GB2312" w:hAnsi="宋体" w:eastAsia="仿宋_GB2312"/>
          <w:sz w:val="32"/>
          <w:szCs w:val="32"/>
        </w:rPr>
        <w:t>0.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002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亿元。均符合监管规定。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江苏紫金农村商业银行股份有限公司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2026年7月23日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A3DE7"/>
    <w:rsid w:val="007C0C3E"/>
    <w:rsid w:val="088A7CE8"/>
    <w:rsid w:val="0FB62F8C"/>
    <w:rsid w:val="116577BB"/>
    <w:rsid w:val="20282F3B"/>
    <w:rsid w:val="219B31CA"/>
    <w:rsid w:val="266A5F61"/>
    <w:rsid w:val="3F5F1F2E"/>
    <w:rsid w:val="484418FD"/>
    <w:rsid w:val="527D192E"/>
    <w:rsid w:val="5CB852C5"/>
    <w:rsid w:val="64EC1599"/>
    <w:rsid w:val="691A3DE7"/>
    <w:rsid w:val="6A1C2111"/>
    <w:rsid w:val="6EAE26B0"/>
    <w:rsid w:val="7731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2025-04-23T10:08:00Z</dcterms:created>
  <dc:creator>夏</dc:creator>
  <cp:lastModifiedBy>葛伶燕</cp:lastModifiedBy>
  <dcterms:modified xsi:type="dcterms:W3CDTF">2026-07-22T10:20:02Z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8ADC0F782DE44B54B5EE83555298247A_13</vt:lpwstr>
  </property>
</Properties>
</file>