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公告编号：2</w:t>
      </w:r>
      <w:r>
        <w:rPr>
          <w:rFonts w:ascii="Times New Roman" w:hAnsi="Times New Roman" w:eastAsia="宋体"/>
          <w:sz w:val="24"/>
        </w:rPr>
        <w:t>0</w:t>
      </w:r>
      <w:r>
        <w:rPr>
          <w:rFonts w:hint="eastAsia" w:ascii="Times New Roman" w:hAnsi="Times New Roman" w:eastAsia="宋体"/>
          <w:sz w:val="24"/>
          <w:lang w:val="en-US" w:eastAsia="zh-CN"/>
        </w:rPr>
        <w:t>24</w:t>
      </w:r>
      <w:r>
        <w:rPr>
          <w:rFonts w:hint="eastAsia" w:ascii="Times New Roman" w:hAnsi="Times New Roman" w:eastAsia="宋体"/>
          <w:sz w:val="24"/>
        </w:rPr>
        <w:t>-0</w:t>
      </w:r>
      <w:r>
        <w:rPr>
          <w:rFonts w:hint="eastAsia" w:ascii="Times New Roman" w:hAnsi="Times New Roman" w:eastAsia="宋体"/>
          <w:sz w:val="24"/>
          <w:lang w:val="en-US" w:eastAsia="zh-CN"/>
        </w:rPr>
        <w:t>29</w:t>
      </w:r>
    </w:p>
    <w:p>
      <w:pPr>
        <w:spacing w:line="360" w:lineRule="auto"/>
        <w:rPr>
          <w:rFonts w:ascii="Times New Roman" w:hAnsi="Times New Roman" w:eastAsia="宋体"/>
          <w:sz w:val="24"/>
        </w:rPr>
      </w:pP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转债简称：紫银转债</w:t>
      </w:r>
    </w:p>
    <w:p>
      <w:pPr>
        <w:rPr>
          <w:rFonts w:ascii="Times New Roman" w:hAnsi="Times New Roman" w:eastAsia="宋体"/>
          <w:sz w:val="24"/>
        </w:rPr>
      </w:pPr>
    </w:p>
    <w:p>
      <w:pPr>
        <w:spacing w:before="156" w:beforeLines="50" w:after="156" w:afterLines="50"/>
        <w:jc w:val="center"/>
        <w:rPr>
          <w:rFonts w:ascii="黑体" w:hAnsi="黑体" w:eastAsia="黑体"/>
          <w:b/>
          <w:color w:val="FF0000"/>
          <w:sz w:val="32"/>
          <w:szCs w:val="44"/>
        </w:rPr>
      </w:pPr>
      <w:bookmarkStart w:id="0" w:name="_Hlk60848199"/>
      <w:r>
        <w:rPr>
          <w:rFonts w:ascii="黑体" w:hAnsi="黑体" w:eastAsia="黑体"/>
          <w:b/>
          <w:color w:val="FF0000"/>
          <w:sz w:val="32"/>
          <w:szCs w:val="44"/>
        </w:rPr>
        <w:t>江苏紫金农村商业银行股份有限公司</w:t>
      </w:r>
      <w:bookmarkEnd w:id="0"/>
    </w:p>
    <w:p>
      <w:pPr>
        <w:spacing w:after="313"/>
        <w:jc w:val="center"/>
        <w:rPr>
          <w:sz w:val="16"/>
        </w:rPr>
      </w:pPr>
      <w:r>
        <w:rPr>
          <w:rFonts w:hint="eastAsia" w:ascii="黑体" w:hAnsi="黑体" w:eastAsia="黑体"/>
          <w:b/>
          <w:color w:val="FF0000"/>
          <w:sz w:val="32"/>
          <w:szCs w:val="44"/>
        </w:rPr>
        <w:t>关于</w:t>
      </w:r>
      <w:r>
        <w:rPr>
          <w:rFonts w:ascii="黑体" w:hAnsi="黑体" w:eastAsia="黑体"/>
          <w:b/>
          <w:color w:val="FF0000"/>
          <w:sz w:val="32"/>
          <w:szCs w:val="44"/>
        </w:rPr>
        <w:t>A股可转换公司债券202</w:t>
      </w:r>
      <w:r>
        <w:rPr>
          <w:rFonts w:hint="eastAsia" w:ascii="黑体" w:hAnsi="黑体" w:eastAsia="黑体"/>
          <w:b/>
          <w:color w:val="FF0000"/>
          <w:sz w:val="32"/>
          <w:szCs w:val="44"/>
          <w:lang w:val="en-US" w:eastAsia="zh-CN"/>
        </w:rPr>
        <w:t>4</w:t>
      </w:r>
      <w:r>
        <w:rPr>
          <w:rFonts w:ascii="黑体" w:hAnsi="黑体" w:eastAsia="黑体"/>
          <w:b/>
          <w:color w:val="FF0000"/>
          <w:sz w:val="32"/>
          <w:szCs w:val="44"/>
        </w:rPr>
        <w:t>年跟踪评级结果的公告</w:t>
      </w:r>
    </w:p>
    <w:p>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本公司董事会及全体董事保证本公告内容不存在任何虚假记载、误导性陈述或者重大遗漏，并对其内容的真实性、准确性和完整性承担个别及连带责任。</w:t>
      </w:r>
    </w:p>
    <w:p>
      <w:pPr>
        <w:spacing w:before="156" w:beforeLines="50" w:after="156" w:afterLines="50"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重要内容提示：</w:t>
      </w:r>
    </w:p>
    <w:p>
      <w:pPr>
        <w:pStyle w:val="17"/>
        <w:widowControl/>
        <w:numPr>
          <w:ilvl w:val="0"/>
          <w:numId w:val="1"/>
        </w:numPr>
        <w:spacing w:before="156" w:beforeLines="50" w:after="156" w:afterLines="50" w:line="360" w:lineRule="auto"/>
        <w:ind w:firstLineChars="0"/>
        <w:rPr>
          <w:rFonts w:ascii="Times New Roman" w:hAnsi="Times New Roman" w:eastAsia="宋体"/>
          <w:sz w:val="24"/>
        </w:rPr>
      </w:pPr>
      <w:r>
        <w:rPr>
          <w:rFonts w:ascii="Times New Roman" w:hAnsi="Times New Roman" w:eastAsia="宋体"/>
          <w:sz w:val="24"/>
        </w:rPr>
        <w:t>前次债项评级：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，主体评级：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，评级展望：稳定</w:t>
      </w:r>
    </w:p>
    <w:p>
      <w:pPr>
        <w:pStyle w:val="17"/>
        <w:widowControl/>
        <w:numPr>
          <w:ilvl w:val="0"/>
          <w:numId w:val="1"/>
        </w:numPr>
        <w:spacing w:before="156" w:beforeLines="50" w:after="156" w:afterLines="50" w:line="360" w:lineRule="auto"/>
        <w:ind w:firstLineChars="0"/>
        <w:rPr>
          <w:rFonts w:ascii="Times New Roman" w:hAnsi="Times New Roman" w:eastAsia="宋体"/>
          <w:sz w:val="24"/>
        </w:rPr>
      </w:pPr>
      <w:r>
        <w:rPr>
          <w:rFonts w:ascii="Times New Roman" w:hAnsi="Times New Roman" w:eastAsia="宋体"/>
          <w:sz w:val="24"/>
        </w:rPr>
        <w:t>本次债项评级：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，主体评级：</w:t>
      </w:r>
      <w:r>
        <w:rPr>
          <w:rFonts w:hint="eastAsia" w:ascii="Times New Roman" w:hAnsi="Times New Roman" w:eastAsia="宋体"/>
          <w:sz w:val="24"/>
        </w:rPr>
        <w:t>“</w:t>
      </w:r>
      <w:r>
        <w:rPr>
          <w:rFonts w:ascii="Times New Roman" w:hAnsi="Times New Roman" w:eastAsia="宋体"/>
          <w:sz w:val="24"/>
        </w:rPr>
        <w:t>AA+</w:t>
      </w:r>
      <w:r>
        <w:rPr>
          <w:rFonts w:hint="eastAsia" w:ascii="Times New Roman" w:hAnsi="Times New Roman" w:eastAsia="宋体"/>
          <w:sz w:val="24"/>
        </w:rPr>
        <w:t>”</w:t>
      </w:r>
      <w:r>
        <w:rPr>
          <w:rFonts w:ascii="Times New Roman" w:hAnsi="Times New Roman" w:eastAsia="宋体"/>
          <w:sz w:val="24"/>
        </w:rPr>
        <w:t>，评级展望：稳定</w:t>
      </w:r>
    </w:p>
    <w:p>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根据中国证券监督管理委员会《上市公司证券发行管理办法》、《公司债券发行与交易管理办法》和《上海证券交易所公司债券上市规则》等有关规定，江苏紫金农村商业银行股份有限公司（以下简称“公司”）委托联合资信评估股份有限公司对公司已发行的</w:t>
      </w:r>
      <w:r>
        <w:rPr>
          <w:rFonts w:ascii="Times New Roman" w:hAnsi="Times New Roman" w:eastAsia="宋体"/>
          <w:sz w:val="24"/>
        </w:rPr>
        <w:t xml:space="preserve"> A 股可转换公司债券（债券简称“紫银转债”，代码：113037）进行了跟踪评级。</w:t>
      </w:r>
    </w:p>
    <w:p>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公司前次主体信用评级结果为“</w:t>
      </w:r>
      <w:r>
        <w:rPr>
          <w:rFonts w:ascii="Times New Roman" w:hAnsi="Times New Roman" w:eastAsia="宋体"/>
          <w:sz w:val="24"/>
        </w:rPr>
        <w:t>AA+”；“紫银转债”前次评级结果为“AA+”；前次评级展望为“稳定”；评</w:t>
      </w:r>
      <w:r>
        <w:rPr>
          <w:rFonts w:ascii="Times New Roman" w:hAnsi="Times New Roman" w:eastAsia="宋体"/>
          <w:sz w:val="24"/>
          <w:highlight w:val="none"/>
        </w:rPr>
        <w:t>级机构为联合</w:t>
      </w:r>
      <w:r>
        <w:rPr>
          <w:rFonts w:hint="eastAsia" w:ascii="Times New Roman" w:hAnsi="Times New Roman" w:eastAsia="宋体"/>
          <w:sz w:val="24"/>
          <w:highlight w:val="none"/>
          <w:lang w:eastAsia="zh-CN"/>
        </w:rPr>
        <w:t>资信评估股份</w:t>
      </w:r>
      <w:r>
        <w:rPr>
          <w:rFonts w:ascii="Times New Roman" w:hAnsi="Times New Roman" w:eastAsia="宋体"/>
          <w:sz w:val="24"/>
          <w:highlight w:val="none"/>
        </w:rPr>
        <w:t>有限公司，</w:t>
      </w:r>
      <w:r>
        <w:rPr>
          <w:rFonts w:ascii="Times New Roman" w:hAnsi="Times New Roman" w:eastAsia="宋体"/>
          <w:sz w:val="24"/>
        </w:rPr>
        <w:t>评级时间为 20</w:t>
      </w:r>
      <w:r>
        <w:rPr>
          <w:rFonts w:hint="eastAsia" w:ascii="Times New Roman" w:hAnsi="Times New Roman" w:eastAsia="宋体"/>
          <w:sz w:val="24"/>
          <w:lang w:val="en-US" w:eastAsia="zh-CN"/>
        </w:rPr>
        <w:t>23</w:t>
      </w:r>
      <w:r>
        <w:rPr>
          <w:rFonts w:ascii="Times New Roman" w:hAnsi="Times New Roman" w:eastAsia="宋体"/>
          <w:sz w:val="24"/>
        </w:rPr>
        <w:t>年6月</w:t>
      </w:r>
      <w:r>
        <w:rPr>
          <w:rFonts w:hint="eastAsia" w:ascii="Times New Roman" w:hAnsi="Times New Roman" w:eastAsia="宋体"/>
          <w:sz w:val="24"/>
          <w:lang w:val="en-US" w:eastAsia="zh-CN"/>
        </w:rPr>
        <w:t>25</w:t>
      </w:r>
      <w:r>
        <w:rPr>
          <w:rFonts w:ascii="Times New Roman" w:hAnsi="Times New Roman" w:eastAsia="宋体"/>
          <w:sz w:val="24"/>
        </w:rPr>
        <w:t>日。</w:t>
      </w:r>
    </w:p>
    <w:p>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联合资信评估股份有限公司通过对公司主体及公司公开发行的可转换公司债券的信用状况进行跟踪分析和评估，</w:t>
      </w:r>
      <w:r>
        <w:rPr>
          <w:rFonts w:hint="eastAsia" w:ascii="Times New Roman" w:hAnsi="Times New Roman" w:eastAsia="宋体"/>
          <w:sz w:val="24"/>
          <w:lang w:eastAsia="zh-CN"/>
        </w:rPr>
        <w:t>于</w:t>
      </w:r>
      <w:r>
        <w:rPr>
          <w:rFonts w:hint="eastAsia" w:ascii="Times New Roman" w:hAnsi="Times New Roman" w:eastAsia="宋体"/>
          <w:sz w:val="24"/>
          <w:highlight w:val="none"/>
          <w:lang w:val="en-US" w:eastAsia="zh-CN"/>
        </w:rPr>
        <w:t>2024年6月21</w:t>
      </w:r>
      <w:r>
        <w:rPr>
          <w:rFonts w:hint="eastAsia" w:ascii="Times New Roman" w:hAnsi="Times New Roman" w:eastAsia="宋体"/>
          <w:sz w:val="24"/>
          <w:lang w:val="en-US" w:eastAsia="zh-CN"/>
        </w:rPr>
        <w:t>日</w:t>
      </w:r>
      <w:r>
        <w:rPr>
          <w:rFonts w:ascii="Times New Roman" w:hAnsi="Times New Roman" w:eastAsia="宋体"/>
          <w:sz w:val="24"/>
        </w:rPr>
        <w:t>出具了《江苏紫金农村商业银行股份有限公司公开发行</w:t>
      </w:r>
      <w:r>
        <w:rPr>
          <w:rFonts w:hint="eastAsia" w:ascii="Times New Roman" w:hAnsi="Times New Roman" w:eastAsia="宋体"/>
          <w:sz w:val="24"/>
          <w:lang w:val="en-US" w:eastAsia="zh-CN"/>
        </w:rPr>
        <w:t>A股</w:t>
      </w:r>
      <w:r>
        <w:rPr>
          <w:rFonts w:ascii="Times New Roman" w:hAnsi="Times New Roman" w:eastAsia="宋体"/>
          <w:sz w:val="24"/>
        </w:rPr>
        <w:t>可转换公司债券202</w:t>
      </w:r>
      <w:r>
        <w:rPr>
          <w:rFonts w:hint="eastAsia" w:ascii="Times New Roman" w:hAnsi="Times New Roman" w:eastAsia="宋体"/>
          <w:sz w:val="24"/>
          <w:lang w:val="en-US" w:eastAsia="zh-CN"/>
        </w:rPr>
        <w:t>4</w:t>
      </w:r>
      <w:r>
        <w:rPr>
          <w:rFonts w:ascii="Times New Roman" w:hAnsi="Times New Roman" w:eastAsia="宋体"/>
          <w:sz w:val="24"/>
        </w:rPr>
        <w:t>年跟踪评级报告》（联合</w:t>
      </w:r>
      <w:r>
        <w:rPr>
          <w:rFonts w:ascii="Times New Roman" w:hAnsi="Times New Roman" w:eastAsia="宋体"/>
          <w:sz w:val="24"/>
          <w:highlight w:val="none"/>
        </w:rPr>
        <w:t>[202</w:t>
      </w:r>
      <w:r>
        <w:rPr>
          <w:rFonts w:hint="eastAsia" w:ascii="Times New Roman" w:hAnsi="Times New Roman" w:eastAsia="宋体"/>
          <w:sz w:val="24"/>
          <w:highlight w:val="none"/>
          <w:lang w:val="en-US" w:eastAsia="zh-CN"/>
        </w:rPr>
        <w:t>4</w:t>
      </w:r>
      <w:r>
        <w:rPr>
          <w:rFonts w:ascii="Times New Roman" w:hAnsi="Times New Roman" w:eastAsia="宋体"/>
          <w:sz w:val="24"/>
          <w:highlight w:val="none"/>
        </w:rPr>
        <w:t>]48</w:t>
      </w:r>
      <w:r>
        <w:rPr>
          <w:rFonts w:hint="eastAsia" w:ascii="Times New Roman" w:hAnsi="Times New Roman" w:eastAsia="宋体"/>
          <w:sz w:val="24"/>
          <w:highlight w:val="none"/>
          <w:lang w:val="en-US" w:eastAsia="zh-CN"/>
        </w:rPr>
        <w:t>84</w:t>
      </w:r>
      <w:r>
        <w:rPr>
          <w:rFonts w:ascii="Times New Roman" w:hAnsi="Times New Roman" w:eastAsia="宋体"/>
          <w:sz w:val="24"/>
        </w:rPr>
        <w:t>号），确定维持公司主体长期信用等级为“AA+”，维持“紫银转债”信用等级为“AA+”，评级展望为“稳定”。本次评级结果较前次没有变化。</w:t>
      </w:r>
    </w:p>
    <w:p>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本次联合资信评估股份有限公司出具的《江苏紫金农村商业银行股份有限公司公开发行</w:t>
      </w:r>
      <w:r>
        <w:rPr>
          <w:rFonts w:hint="eastAsia" w:ascii="Times New Roman" w:hAnsi="Times New Roman" w:eastAsia="宋体"/>
          <w:sz w:val="24"/>
          <w:lang w:val="en-US" w:eastAsia="zh-CN"/>
        </w:rPr>
        <w:t>A股</w:t>
      </w:r>
      <w:r>
        <w:rPr>
          <w:rFonts w:hint="eastAsia" w:ascii="Times New Roman" w:hAnsi="Times New Roman" w:eastAsia="宋体"/>
          <w:sz w:val="24"/>
        </w:rPr>
        <w:t>可转换公司债券</w:t>
      </w:r>
      <w:r>
        <w:rPr>
          <w:rFonts w:ascii="Times New Roman" w:hAnsi="Times New Roman" w:eastAsia="宋体"/>
          <w:sz w:val="24"/>
          <w:highlight w:val="none"/>
        </w:rPr>
        <w:t>202</w:t>
      </w:r>
      <w:r>
        <w:rPr>
          <w:rFonts w:hint="eastAsia" w:ascii="Times New Roman" w:hAnsi="Times New Roman" w:eastAsia="宋体"/>
          <w:sz w:val="24"/>
          <w:highlight w:val="none"/>
          <w:lang w:val="en-US" w:eastAsia="zh-CN"/>
        </w:rPr>
        <w:t>4</w:t>
      </w:r>
      <w:r>
        <w:rPr>
          <w:rFonts w:ascii="Times New Roman" w:hAnsi="Times New Roman" w:eastAsia="宋体"/>
          <w:sz w:val="24"/>
          <w:highlight w:val="none"/>
        </w:rPr>
        <w:t>年跟踪评级报告》（联合</w:t>
      </w:r>
      <w:r>
        <w:rPr>
          <w:rFonts w:ascii="Times New Roman" w:hAnsi="Times New Roman" w:eastAsia="宋体"/>
          <w:sz w:val="24"/>
          <w:highlight w:val="none"/>
        </w:rPr>
        <w:t>[202</w:t>
      </w:r>
      <w:r>
        <w:rPr>
          <w:rFonts w:hint="eastAsia" w:ascii="Times New Roman" w:hAnsi="Times New Roman" w:eastAsia="宋体"/>
          <w:sz w:val="24"/>
          <w:highlight w:val="none"/>
          <w:lang w:val="en-US" w:eastAsia="zh-CN"/>
        </w:rPr>
        <w:t>4</w:t>
      </w:r>
      <w:r>
        <w:rPr>
          <w:rFonts w:ascii="Times New Roman" w:hAnsi="Times New Roman" w:eastAsia="宋体"/>
          <w:sz w:val="24"/>
          <w:highlight w:val="none"/>
        </w:rPr>
        <w:t>]48</w:t>
      </w:r>
      <w:r>
        <w:rPr>
          <w:rFonts w:hint="eastAsia" w:ascii="Times New Roman" w:hAnsi="Times New Roman" w:eastAsia="宋体"/>
          <w:sz w:val="24"/>
          <w:highlight w:val="none"/>
          <w:lang w:val="en-US" w:eastAsia="zh-CN"/>
        </w:rPr>
        <w:t>84</w:t>
      </w:r>
      <w:r>
        <w:rPr>
          <w:rFonts w:ascii="Times New Roman" w:hAnsi="Times New Roman" w:eastAsia="宋体"/>
          <w:sz w:val="24"/>
          <w:highlight w:val="none"/>
        </w:rPr>
        <w:t>号）</w:t>
      </w:r>
      <w:r>
        <w:rPr>
          <w:rFonts w:ascii="Times New Roman" w:hAnsi="Times New Roman" w:eastAsia="宋体"/>
          <w:sz w:val="24"/>
        </w:rPr>
        <w:t>详见上海证券交易所网站（http://www.sse.com.cn）。</w:t>
      </w:r>
    </w:p>
    <w:p>
      <w:pPr>
        <w:widowControl/>
        <w:spacing w:before="156" w:beforeLines="50" w:after="156" w:afterLines="50" w:line="360" w:lineRule="auto"/>
        <w:ind w:firstLine="480" w:firstLineChars="200"/>
        <w:rPr>
          <w:rFonts w:ascii="Times New Roman" w:hAnsi="Times New Roman" w:eastAsia="宋体"/>
          <w:sz w:val="24"/>
        </w:rPr>
      </w:pPr>
    </w:p>
    <w:p>
      <w:pPr>
        <w:widowControl/>
        <w:spacing w:before="156" w:beforeLines="50" w:after="156" w:afterLines="50" w:line="360" w:lineRule="auto"/>
        <w:ind w:firstLine="480" w:firstLineChars="200"/>
        <w:rPr>
          <w:rFonts w:ascii="Times New Roman" w:hAnsi="Times New Roman" w:eastAsia="宋体"/>
          <w:sz w:val="24"/>
        </w:rPr>
      </w:pPr>
      <w:r>
        <w:rPr>
          <w:rFonts w:hint="eastAsia" w:ascii="Times New Roman" w:hAnsi="Times New Roman" w:eastAsia="宋体"/>
          <w:sz w:val="24"/>
        </w:rPr>
        <w:t>特此公告。</w:t>
      </w:r>
    </w:p>
    <w:p>
      <w:pPr>
        <w:widowControl/>
        <w:jc w:val="right"/>
        <w:rPr>
          <w:rFonts w:ascii="Times New Roman" w:hAnsi="Times New Roman" w:eastAsia="宋体"/>
          <w:sz w:val="24"/>
        </w:rPr>
      </w:pPr>
    </w:p>
    <w:p>
      <w:pPr>
        <w:widowControl/>
        <w:jc w:val="right"/>
        <w:rPr>
          <w:rFonts w:ascii="Times New Roman" w:hAnsi="Times New Roman" w:eastAsia="宋体"/>
          <w:sz w:val="24"/>
        </w:rPr>
      </w:pPr>
    </w:p>
    <w:p>
      <w:pPr>
        <w:widowControl/>
        <w:spacing w:line="360" w:lineRule="auto"/>
        <w:jc w:val="right"/>
        <w:rPr>
          <w:rFonts w:ascii="Times New Roman" w:hAnsi="Times New Roman" w:eastAsia="宋体"/>
          <w:sz w:val="24"/>
        </w:rPr>
      </w:pPr>
      <w:r>
        <w:rPr>
          <w:rFonts w:hint="eastAsia" w:ascii="Times New Roman" w:hAnsi="Times New Roman" w:eastAsia="宋体"/>
          <w:sz w:val="24"/>
        </w:rPr>
        <w:t>江苏紫金农村商业银行股份有限公司董事会</w:t>
      </w:r>
    </w:p>
    <w:p>
      <w:pPr>
        <w:widowControl/>
        <w:spacing w:line="360" w:lineRule="auto"/>
        <w:jc w:val="right"/>
        <w:rPr>
          <w:rFonts w:ascii="Times New Roman" w:hAnsi="Times New Roman" w:eastAsia="宋体"/>
          <w:sz w:val="24"/>
        </w:rPr>
      </w:pPr>
      <w:bookmarkStart w:id="1" w:name="_GoBack"/>
      <w:r>
        <w:rPr>
          <w:rFonts w:hint="eastAsia" w:ascii="Times New Roman" w:hAnsi="Times New Roman" w:eastAsia="宋体"/>
          <w:sz w:val="24"/>
          <w:highlight w:val="none"/>
        </w:rPr>
        <w:t>2</w:t>
      </w:r>
      <w:r>
        <w:rPr>
          <w:rFonts w:ascii="Times New Roman" w:hAnsi="Times New Roman" w:eastAsia="宋体"/>
          <w:sz w:val="24"/>
          <w:highlight w:val="none"/>
        </w:rPr>
        <w:t>0</w:t>
      </w:r>
      <w:r>
        <w:rPr>
          <w:rFonts w:hint="eastAsia" w:ascii="Times New Roman" w:hAnsi="Times New Roman" w:eastAsia="宋体"/>
          <w:sz w:val="24"/>
          <w:highlight w:val="none"/>
          <w:lang w:val="en-US" w:eastAsia="zh-CN"/>
        </w:rPr>
        <w:t>24</w:t>
      </w:r>
      <w:r>
        <w:rPr>
          <w:rFonts w:ascii="Times New Roman" w:hAnsi="Times New Roman" w:eastAsia="宋体"/>
          <w:sz w:val="24"/>
          <w:highlight w:val="none"/>
        </w:rPr>
        <w:t>年</w:t>
      </w:r>
      <w:r>
        <w:rPr>
          <w:rFonts w:hint="eastAsia" w:ascii="Times New Roman" w:hAnsi="Times New Roman" w:eastAsia="宋体"/>
          <w:sz w:val="24"/>
          <w:highlight w:val="none"/>
        </w:rPr>
        <w:t>6</w:t>
      </w:r>
      <w:r>
        <w:rPr>
          <w:rFonts w:ascii="Times New Roman" w:hAnsi="Times New Roman" w:eastAsia="宋体"/>
          <w:sz w:val="24"/>
          <w:highlight w:val="none"/>
        </w:rPr>
        <w:t>月</w:t>
      </w:r>
      <w:r>
        <w:rPr>
          <w:rFonts w:hint="eastAsia" w:ascii="Times New Roman" w:hAnsi="Times New Roman" w:eastAsia="宋体"/>
          <w:sz w:val="24"/>
          <w:highlight w:val="none"/>
          <w:lang w:val="en-US" w:eastAsia="zh-CN"/>
        </w:rPr>
        <w:t>24</w:t>
      </w:r>
      <w:r>
        <w:rPr>
          <w:rFonts w:ascii="Times New Roman" w:hAnsi="Times New Roman" w:eastAsia="宋体"/>
          <w:sz w:val="24"/>
          <w:highlight w:val="none"/>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45688"/>
    <w:multiLevelType w:val="multilevel"/>
    <w:tmpl w:val="1B745688"/>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11607"/>
    <w:rsid w:val="000576A6"/>
    <w:rsid w:val="00057CBD"/>
    <w:rsid w:val="000C5258"/>
    <w:rsid w:val="00134479"/>
    <w:rsid w:val="00140F02"/>
    <w:rsid w:val="001F3164"/>
    <w:rsid w:val="00296D5F"/>
    <w:rsid w:val="002A4297"/>
    <w:rsid w:val="002E5A7E"/>
    <w:rsid w:val="002F14B6"/>
    <w:rsid w:val="003416F4"/>
    <w:rsid w:val="00346A8D"/>
    <w:rsid w:val="00365942"/>
    <w:rsid w:val="00383873"/>
    <w:rsid w:val="00384A4F"/>
    <w:rsid w:val="003A3085"/>
    <w:rsid w:val="003D1125"/>
    <w:rsid w:val="003D698B"/>
    <w:rsid w:val="00400C84"/>
    <w:rsid w:val="004200EA"/>
    <w:rsid w:val="004F7FFB"/>
    <w:rsid w:val="006410FE"/>
    <w:rsid w:val="00726E3D"/>
    <w:rsid w:val="00745E07"/>
    <w:rsid w:val="00753E55"/>
    <w:rsid w:val="00755FDB"/>
    <w:rsid w:val="007B6389"/>
    <w:rsid w:val="00821979"/>
    <w:rsid w:val="008A626A"/>
    <w:rsid w:val="009279F9"/>
    <w:rsid w:val="00940D47"/>
    <w:rsid w:val="009A478E"/>
    <w:rsid w:val="009A54CE"/>
    <w:rsid w:val="009B54AF"/>
    <w:rsid w:val="009F6E41"/>
    <w:rsid w:val="00A25C2F"/>
    <w:rsid w:val="00AB30D0"/>
    <w:rsid w:val="00B015B0"/>
    <w:rsid w:val="00B10C53"/>
    <w:rsid w:val="00B95334"/>
    <w:rsid w:val="00BD1F6D"/>
    <w:rsid w:val="00C3107D"/>
    <w:rsid w:val="00C4451E"/>
    <w:rsid w:val="00C6391D"/>
    <w:rsid w:val="00C706B2"/>
    <w:rsid w:val="00CB28A4"/>
    <w:rsid w:val="00CB5840"/>
    <w:rsid w:val="00CC15AA"/>
    <w:rsid w:val="00CC7752"/>
    <w:rsid w:val="00CD5894"/>
    <w:rsid w:val="00D85C14"/>
    <w:rsid w:val="00DB6103"/>
    <w:rsid w:val="00DC5859"/>
    <w:rsid w:val="00DC5977"/>
    <w:rsid w:val="00E11190"/>
    <w:rsid w:val="00E25E61"/>
    <w:rsid w:val="00E27792"/>
    <w:rsid w:val="00E63908"/>
    <w:rsid w:val="00E80A33"/>
    <w:rsid w:val="00EA3C68"/>
    <w:rsid w:val="00EB4702"/>
    <w:rsid w:val="00EC65B1"/>
    <w:rsid w:val="00ED4A83"/>
    <w:rsid w:val="00F00822"/>
    <w:rsid w:val="00F55899"/>
    <w:rsid w:val="00FA3A37"/>
    <w:rsid w:val="00FB5CB8"/>
    <w:rsid w:val="00FD63B2"/>
    <w:rsid w:val="04D838BC"/>
    <w:rsid w:val="0922698B"/>
    <w:rsid w:val="0F833182"/>
    <w:rsid w:val="170E6162"/>
    <w:rsid w:val="22DC1D1C"/>
    <w:rsid w:val="335E1555"/>
    <w:rsid w:val="5A0C1DDD"/>
    <w:rsid w:val="5B195385"/>
    <w:rsid w:val="63110999"/>
    <w:rsid w:val="6443458E"/>
    <w:rsid w:val="6C3D2271"/>
    <w:rsid w:val="73113642"/>
    <w:rsid w:val="75F670BB"/>
    <w:rsid w:val="791032EB"/>
    <w:rsid w:val="79652ADD"/>
    <w:rsid w:val="7D610DC4"/>
    <w:rsid w:val="7EB8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9"/>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1</Pages>
  <Words>123</Words>
  <Characters>703</Characters>
  <Lines>5</Lines>
  <Paragraphs>1</Paragraphs>
  <TotalTime>0</TotalTime>
  <ScaleCrop>false</ScaleCrop>
  <LinksUpToDate>false</LinksUpToDate>
  <CharactersWithSpaces>825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未知</cp:lastModifiedBy>
  <cp:lastPrinted>2023-06-26T01:37:00Z</cp:lastPrinted>
  <dcterms:modified xsi:type="dcterms:W3CDTF">2024-06-24T03:07:51Z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33A3649FE4F44F668CBBD0F4FE16B2A5</vt:lpwstr>
  </property>
</Properties>
</file>