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adjustRightInd w:val="0"/>
        <w:snapToGrid w:val="0"/>
        <w:spacing w:line="360" w:lineRule="auto"/>
        <w:ind w:left="0" w:leftChars="0"/>
        <w:rPr>
          <w:rFonts w:hint="default" w:ascii="宋体" w:hAnsi="宋体" w:eastAsia="宋体"/>
          <w:sz w:val="24"/>
          <w:lang w:val="en-US" w:eastAsia="zh-CN"/>
        </w:rPr>
      </w:pPr>
      <w:r>
        <w:rPr>
          <w:rFonts w:hint="eastAsia" w:ascii="宋体" w:hAnsi="宋体"/>
          <w:sz w:val="24"/>
        </w:rPr>
        <w:t>证券代码：  601860     证券简称：  紫金银行      公告编号：202</w:t>
      </w:r>
      <w:r>
        <w:rPr>
          <w:rFonts w:hint="eastAsia" w:ascii="宋体" w:hAnsi="宋体"/>
          <w:sz w:val="24"/>
          <w:lang w:val="en-US" w:eastAsia="zh-CN"/>
        </w:rPr>
        <w:t>4</w:t>
      </w:r>
      <w:r>
        <w:rPr>
          <w:rFonts w:hint="eastAsia" w:ascii="宋体" w:hAnsi="宋体"/>
          <w:sz w:val="24"/>
        </w:rPr>
        <w:t>-0</w:t>
      </w:r>
      <w:r>
        <w:rPr>
          <w:rFonts w:hint="eastAsia" w:ascii="宋体" w:hAnsi="宋体"/>
          <w:sz w:val="24"/>
          <w:lang w:val="en-US" w:eastAsia="zh-CN"/>
        </w:rPr>
        <w:t>14</w:t>
      </w:r>
    </w:p>
    <w:p>
      <w:pPr>
        <w:autoSpaceDE w:val="0"/>
        <w:autoSpaceDN w:val="0"/>
        <w:adjustRightInd w:val="0"/>
        <w:snapToGrid w:val="0"/>
        <w:spacing w:line="360" w:lineRule="auto"/>
        <w:jc w:val="left"/>
        <w:rPr>
          <w:rFonts w:hint="eastAsia" w:ascii="宋体" w:hAnsi="宋体"/>
          <w:sz w:val="24"/>
        </w:rPr>
      </w:pPr>
      <w:r>
        <w:rPr>
          <w:rFonts w:hint="eastAsia" w:ascii="宋体" w:hAnsi="宋体"/>
          <w:sz w:val="24"/>
        </w:rPr>
        <w:t>可转债代码：113037     可转债简称：紫银转债</w:t>
      </w:r>
    </w:p>
    <w:p>
      <w:pPr>
        <w:spacing w:line="560" w:lineRule="exact"/>
        <w:ind w:firstLine="600" w:firstLineChars="200"/>
        <w:jc w:val="left"/>
        <w:rPr>
          <w:rFonts w:ascii="仿宋_GB2312" w:hAnsi="仿宋_GB2312" w:eastAsia="仿宋_GB2312" w:cs="仿宋_GB2312"/>
          <w:color w:val="000000"/>
          <w:sz w:val="30"/>
          <w:szCs w:val="30"/>
        </w:rPr>
      </w:pPr>
    </w:p>
    <w:p>
      <w:pPr>
        <w:autoSpaceDE w:val="0"/>
        <w:autoSpaceDN w:val="0"/>
        <w:adjustRightInd w:val="0"/>
        <w:snapToGrid w:val="0"/>
        <w:spacing w:line="360" w:lineRule="auto"/>
        <w:jc w:val="center"/>
        <w:rPr>
          <w:rFonts w:hint="eastAsia" w:ascii="黑体" w:hAnsi="黑体" w:eastAsia="黑体" w:cs="Times New Roman"/>
          <w:b w:val="0"/>
          <w:bCs w:val="0"/>
          <w:color w:val="FF0000"/>
          <w:kern w:val="2"/>
          <w:sz w:val="32"/>
          <w:szCs w:val="32"/>
        </w:rPr>
      </w:pPr>
      <w:r>
        <w:rPr>
          <w:rFonts w:hint="eastAsia" w:ascii="黑体" w:hAnsi="黑体" w:eastAsia="黑体" w:cs="Times New Roman"/>
          <w:b w:val="0"/>
          <w:bCs w:val="0"/>
          <w:color w:val="FF0000"/>
          <w:kern w:val="2"/>
          <w:sz w:val="32"/>
          <w:szCs w:val="32"/>
        </w:rPr>
        <w:t>江苏紫金农村商业银行股份有限公司</w:t>
      </w:r>
    </w:p>
    <w:p>
      <w:pPr>
        <w:autoSpaceDE w:val="0"/>
        <w:autoSpaceDN w:val="0"/>
        <w:adjustRightInd w:val="0"/>
        <w:snapToGrid w:val="0"/>
        <w:spacing w:line="360" w:lineRule="auto"/>
        <w:jc w:val="center"/>
        <w:rPr>
          <w:rFonts w:hint="eastAsia" w:ascii="黑体" w:hAnsi="黑体" w:eastAsia="黑体" w:cs="Times New Roman"/>
          <w:b w:val="0"/>
          <w:bCs w:val="0"/>
          <w:color w:val="FF0000"/>
          <w:kern w:val="2"/>
          <w:sz w:val="32"/>
          <w:szCs w:val="32"/>
        </w:rPr>
      </w:pPr>
      <w:r>
        <w:rPr>
          <w:rFonts w:hint="eastAsia" w:ascii="黑体" w:hAnsi="黑体" w:eastAsia="黑体" w:cs="Times New Roman"/>
          <w:b w:val="0"/>
          <w:bCs w:val="0"/>
          <w:color w:val="FF0000"/>
          <w:kern w:val="2"/>
          <w:sz w:val="32"/>
          <w:szCs w:val="32"/>
        </w:rPr>
        <w:t>关于股东签署《股份转让协议》暨权益变动进展的公告</w:t>
      </w:r>
    </w:p>
    <w:p>
      <w:pPr>
        <w:spacing w:line="560" w:lineRule="exact"/>
        <w:ind w:firstLine="600" w:firstLineChars="200"/>
        <w:jc w:val="left"/>
        <w:rPr>
          <w:rFonts w:ascii="仿宋_GB2312" w:hAnsi="仿宋_GB2312" w:eastAsia="仿宋_GB2312" w:cs="仿宋_GB2312"/>
          <w:color w:val="000000"/>
          <w:sz w:val="30"/>
          <w:szCs w:val="30"/>
        </w:rPr>
      </w:pP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adjustRightInd w:val="0"/>
              <w:snapToGrid w:val="0"/>
              <w:spacing w:line="56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本行董事会及全体董事保证本公告内容不存在任何虚假记载、误导性陈述或者重大遗漏，并对其内容的真实性、准确性和完整性承担法律责任。</w:t>
            </w:r>
          </w:p>
        </w:tc>
      </w:tr>
    </w:tbl>
    <w:p>
      <w:pPr>
        <w:spacing w:line="560" w:lineRule="exact"/>
        <w:rPr>
          <w:rFonts w:ascii="仿宋_GB2312" w:eastAsia="仿宋_GB2312"/>
          <w:sz w:val="30"/>
          <w:szCs w:val="30"/>
        </w:rPr>
      </w:pPr>
    </w:p>
    <w:p>
      <w:pPr>
        <w:tabs>
          <w:tab w:val="left" w:pos="0"/>
        </w:tabs>
        <w:autoSpaceDE w:val="0"/>
        <w:autoSpaceDN w:val="0"/>
        <w:adjustRightInd w:val="0"/>
        <w:snapToGrid w:val="0"/>
        <w:spacing w:line="560" w:lineRule="exact"/>
        <w:ind w:firstLine="602" w:firstLineChars="200"/>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重要内容提示：</w:t>
      </w:r>
    </w:p>
    <w:p>
      <w:pPr>
        <w:numPr>
          <w:ilvl w:val="1"/>
          <w:numId w:val="1"/>
        </w:numPr>
        <w:adjustRightInd w:val="0"/>
        <w:snapToGrid w:val="0"/>
        <w:spacing w:line="560" w:lineRule="exact"/>
        <w:ind w:left="0"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 xml:space="preserve"> 本次权益变动属于股东协议转让股份，不触及要约收购。</w:t>
      </w:r>
    </w:p>
    <w:p>
      <w:pPr>
        <w:numPr>
          <w:ilvl w:val="1"/>
          <w:numId w:val="1"/>
        </w:numPr>
        <w:adjustRightInd w:val="0"/>
        <w:snapToGrid w:val="0"/>
        <w:spacing w:line="560" w:lineRule="exact"/>
        <w:ind w:left="0"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 xml:space="preserve"> 本次权益变动后，江苏苏豪投资集团有限公司（以下简称“苏豪投资”）持有本行的股份数量为233,042,759股，占本行总股份的6.36%。</w:t>
      </w:r>
    </w:p>
    <w:p>
      <w:pPr>
        <w:numPr>
          <w:ilvl w:val="1"/>
          <w:numId w:val="2"/>
        </w:numPr>
        <w:tabs>
          <w:tab w:val="clear" w:pos="1320"/>
        </w:tabs>
        <w:adjustRightInd w:val="0"/>
        <w:snapToGrid w:val="0"/>
        <w:spacing w:line="560" w:lineRule="exact"/>
        <w:ind w:left="0"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 xml:space="preserve"> 本次权益变动后，</w:t>
      </w:r>
      <w:r>
        <w:rPr>
          <w:rFonts w:hint="eastAsia" w:ascii="仿宋_GB2312" w:hAnsi="仿宋_GB2312" w:eastAsia="仿宋_GB2312" w:cs="仿宋_GB2312"/>
          <w:color w:val="000000"/>
          <w:sz w:val="30"/>
          <w:szCs w:val="30"/>
          <w:lang w:eastAsia="zh-CN"/>
        </w:rPr>
        <w:t>本行</w:t>
      </w:r>
      <w:r>
        <w:rPr>
          <w:rFonts w:hint="eastAsia" w:ascii="仿宋_GB2312" w:hAnsi="仿宋_GB2312" w:eastAsia="仿宋_GB2312" w:cs="仿宋_GB2312"/>
          <w:color w:val="000000"/>
          <w:sz w:val="30"/>
          <w:szCs w:val="30"/>
        </w:rPr>
        <w:t>仍无实际控制人及控股股东。</w:t>
      </w:r>
    </w:p>
    <w:p>
      <w:pPr>
        <w:numPr>
          <w:ilvl w:val="1"/>
          <w:numId w:val="2"/>
        </w:numPr>
        <w:tabs>
          <w:tab w:val="clear" w:pos="1320"/>
        </w:tabs>
        <w:adjustRightInd w:val="0"/>
        <w:snapToGrid w:val="0"/>
        <w:spacing w:line="560" w:lineRule="exact"/>
        <w:ind w:left="0"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 xml:space="preserve"> 本次股份协议转让尚需经过上海证券交易所（以下简称“上交所”）合规性确认，并在中国证券登记结算有限责任公司上海分公司（以下简称“中国结算上海分公司”）办理过户登记等手续。</w:t>
      </w:r>
    </w:p>
    <w:p>
      <w:pPr>
        <w:tabs>
          <w:tab w:val="left" w:pos="0"/>
        </w:tabs>
        <w:autoSpaceDE w:val="0"/>
        <w:autoSpaceDN w:val="0"/>
        <w:adjustRightInd w:val="0"/>
        <w:snapToGrid w:val="0"/>
        <w:spacing w:line="560" w:lineRule="exact"/>
        <w:ind w:firstLine="602" w:firstLineChars="200"/>
        <w:rPr>
          <w:rFonts w:ascii="仿宋_GB2312" w:hAnsi="仿宋_GB2312" w:eastAsia="仿宋_GB2312" w:cs="仿宋_GB2312"/>
          <w:b/>
          <w:color w:val="000000"/>
          <w:kern w:val="0"/>
          <w:sz w:val="30"/>
          <w:szCs w:val="30"/>
        </w:rPr>
      </w:pPr>
    </w:p>
    <w:p>
      <w:pPr>
        <w:tabs>
          <w:tab w:val="left" w:pos="0"/>
        </w:tabs>
        <w:autoSpaceDE w:val="0"/>
        <w:autoSpaceDN w:val="0"/>
        <w:adjustRightInd w:val="0"/>
        <w:snapToGrid w:val="0"/>
        <w:spacing w:line="560" w:lineRule="exact"/>
        <w:ind w:firstLine="482" w:firstLineChars="200"/>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一、本次权益变动基本情况</w:t>
      </w:r>
    </w:p>
    <w:p>
      <w:pPr>
        <w:spacing w:line="560" w:lineRule="exact"/>
        <w:ind w:firstLine="480" w:firstLineChars="200"/>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color w:val="000000"/>
          <w:sz w:val="24"/>
          <w:szCs w:val="24"/>
        </w:rPr>
        <w:t>本行股东苏豪投资与本行股东江苏汇鸿国际集团中锦控股有限公司（以下简称“汇鸿中锦”）、江苏汇鸿国际集团中鼎控股股份有限公司（以下简称“汇鸿中鼎”）于</w:t>
      </w:r>
      <w:r>
        <w:rPr>
          <w:rFonts w:hint="eastAsia" w:asciiTheme="minorEastAsia" w:hAnsiTheme="minorEastAsia" w:eastAsiaTheme="minorEastAsia" w:cstheme="minorEastAsia"/>
          <w:color w:val="000000" w:themeColor="text1"/>
          <w:sz w:val="24"/>
          <w:szCs w:val="24"/>
          <w14:textFill>
            <w14:solidFill>
              <w14:schemeClr w14:val="tx1"/>
            </w14:solidFill>
          </w14:textFill>
        </w:rPr>
        <w:t>2024年4月1</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8</w:t>
      </w:r>
      <w:r>
        <w:rPr>
          <w:rFonts w:hint="eastAsia" w:asciiTheme="minorEastAsia" w:hAnsiTheme="minorEastAsia" w:eastAsiaTheme="minorEastAsia" w:cstheme="minorEastAsia"/>
          <w:color w:val="000000" w:themeColor="text1"/>
          <w:sz w:val="24"/>
          <w:szCs w:val="24"/>
          <w14:textFill>
            <w14:solidFill>
              <w14:schemeClr w14:val="tx1"/>
            </w14:solidFill>
          </w14:textFill>
        </w:rPr>
        <w:t>日</w:t>
      </w:r>
      <w:r>
        <w:rPr>
          <w:rFonts w:hint="eastAsia" w:asciiTheme="minorEastAsia" w:hAnsiTheme="minorEastAsia" w:eastAsiaTheme="minorEastAsia" w:cstheme="minorEastAsia"/>
          <w:color w:val="000000"/>
          <w:sz w:val="24"/>
          <w:szCs w:val="24"/>
        </w:rPr>
        <w:t>签署了《股份转让协议》，</w:t>
      </w:r>
      <w:r>
        <w:rPr>
          <w:rFonts w:hint="eastAsia" w:asciiTheme="minorEastAsia" w:hAnsiTheme="minorEastAsia" w:eastAsiaTheme="minorEastAsia" w:cstheme="minorEastAsia"/>
          <w:sz w:val="24"/>
          <w:szCs w:val="24"/>
        </w:rPr>
        <w:t>汇鸿中锦、汇鸿中鼎</w:t>
      </w:r>
      <w:r>
        <w:rPr>
          <w:rFonts w:hint="eastAsia" w:asciiTheme="minorEastAsia" w:hAnsiTheme="minorEastAsia" w:eastAsiaTheme="minorEastAsia" w:cstheme="minorEastAsia"/>
          <w:color w:val="000000"/>
          <w:sz w:val="24"/>
          <w:szCs w:val="24"/>
        </w:rPr>
        <w:t>以协议转让方式分别向苏豪投资转让其持有的本行股份</w:t>
      </w:r>
      <w:r>
        <w:rPr>
          <w:rFonts w:hint="eastAsia" w:asciiTheme="minorEastAsia" w:hAnsiTheme="minorEastAsia" w:eastAsiaTheme="minorEastAsia" w:cstheme="minorEastAsia"/>
          <w:sz w:val="24"/>
          <w:szCs w:val="24"/>
        </w:rPr>
        <w:t>28,201,608</w:t>
      </w:r>
      <w:r>
        <w:rPr>
          <w:rFonts w:hint="eastAsia" w:asciiTheme="minorEastAsia" w:hAnsiTheme="minorEastAsia" w:eastAsiaTheme="minorEastAsia" w:cstheme="minorEastAsia"/>
          <w:color w:val="000000"/>
          <w:sz w:val="24"/>
          <w:szCs w:val="24"/>
        </w:rPr>
        <w:t>股和</w:t>
      </w:r>
      <w:r>
        <w:rPr>
          <w:rFonts w:hint="eastAsia" w:asciiTheme="minorEastAsia" w:hAnsiTheme="minorEastAsia" w:eastAsiaTheme="minorEastAsia" w:cstheme="minorEastAsia"/>
          <w:sz w:val="24"/>
          <w:szCs w:val="24"/>
        </w:rPr>
        <w:t>28,201,608</w:t>
      </w:r>
      <w:r>
        <w:rPr>
          <w:rFonts w:hint="eastAsia" w:asciiTheme="minorEastAsia" w:hAnsiTheme="minorEastAsia" w:eastAsiaTheme="minorEastAsia" w:cstheme="minorEastAsia"/>
          <w:color w:val="000000"/>
          <w:sz w:val="24"/>
          <w:szCs w:val="24"/>
        </w:rPr>
        <w:t>股，合计转让</w:t>
      </w:r>
      <w:r>
        <w:rPr>
          <w:rFonts w:hint="eastAsia" w:asciiTheme="minorEastAsia" w:hAnsiTheme="minorEastAsia" w:eastAsiaTheme="minorEastAsia" w:cstheme="minorEastAsia"/>
          <w:sz w:val="24"/>
          <w:szCs w:val="24"/>
        </w:rPr>
        <w:t>56,403,216</w:t>
      </w:r>
      <w:r>
        <w:rPr>
          <w:rFonts w:hint="eastAsia" w:asciiTheme="minorEastAsia" w:hAnsiTheme="minorEastAsia" w:eastAsiaTheme="minorEastAsia" w:cstheme="minorEastAsia"/>
          <w:color w:val="000000"/>
          <w:sz w:val="24"/>
          <w:szCs w:val="24"/>
        </w:rPr>
        <w:t>股，占本行总股份的1.54%。</w:t>
      </w:r>
    </w:p>
    <w:p>
      <w:pPr>
        <w:pStyle w:val="5"/>
        <w:spacing w:before="0" w:line="560" w:lineRule="exact"/>
        <w:ind w:left="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本次股份变动情况详见下表。</w:t>
      </w:r>
    </w:p>
    <w:tbl>
      <w:tblPr>
        <w:tblStyle w:val="12"/>
        <w:tblW w:w="9826" w:type="dxa"/>
        <w:jc w:val="center"/>
        <w:tblInd w:w="0" w:type="dxa"/>
        <w:tblLayout w:type="fixed"/>
        <w:tblCellMar>
          <w:top w:w="0" w:type="dxa"/>
          <w:left w:w="0" w:type="dxa"/>
          <w:bottom w:w="0" w:type="dxa"/>
          <w:right w:w="0" w:type="dxa"/>
        </w:tblCellMar>
      </w:tblPr>
      <w:tblGrid>
        <w:gridCol w:w="2281"/>
        <w:gridCol w:w="2376"/>
        <w:gridCol w:w="1460"/>
        <w:gridCol w:w="2250"/>
        <w:gridCol w:w="1459"/>
      </w:tblGrid>
      <w:tr>
        <w:tblPrEx>
          <w:tblLayout w:type="fixed"/>
          <w:tblCellMar>
            <w:top w:w="0" w:type="dxa"/>
            <w:left w:w="0" w:type="dxa"/>
            <w:bottom w:w="0" w:type="dxa"/>
            <w:right w:w="0" w:type="dxa"/>
          </w:tblCellMar>
        </w:tblPrEx>
        <w:trPr>
          <w:trHeight w:val="576" w:hRule="exact"/>
          <w:jc w:val="center"/>
        </w:trPr>
        <w:tc>
          <w:tcPr>
            <w:tcW w:w="2281" w:type="dxa"/>
            <w:vMerge w:val="restart"/>
            <w:tcBorders>
              <w:top w:val="single" w:color="000000" w:sz="4" w:space="0"/>
              <w:left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名称</w:t>
            </w:r>
          </w:p>
        </w:tc>
        <w:tc>
          <w:tcPr>
            <w:tcW w:w="3836" w:type="dxa"/>
            <w:gridSpan w:val="2"/>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本次股份变动前</w:t>
            </w:r>
          </w:p>
        </w:tc>
        <w:tc>
          <w:tcPr>
            <w:tcW w:w="3709" w:type="dxa"/>
            <w:gridSpan w:val="2"/>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本次股份变动后</w:t>
            </w:r>
          </w:p>
        </w:tc>
      </w:tr>
      <w:tr>
        <w:tblPrEx>
          <w:tblLayout w:type="fixed"/>
          <w:tblCellMar>
            <w:top w:w="0" w:type="dxa"/>
            <w:left w:w="0" w:type="dxa"/>
            <w:bottom w:w="0" w:type="dxa"/>
            <w:right w:w="0" w:type="dxa"/>
          </w:tblCellMar>
        </w:tblPrEx>
        <w:trPr>
          <w:trHeight w:val="1133" w:hRule="exact"/>
          <w:jc w:val="center"/>
        </w:trPr>
        <w:tc>
          <w:tcPr>
            <w:tcW w:w="2281" w:type="dxa"/>
            <w:vMerge w:val="continue"/>
            <w:tcBorders>
              <w:left w:val="single" w:color="000000" w:sz="4" w:space="0"/>
              <w:bottom w:val="single" w:color="000000" w:sz="4" w:space="0"/>
              <w:right w:val="single" w:color="000000" w:sz="4" w:space="0"/>
            </w:tcBorders>
            <w:vAlign w:val="center"/>
          </w:tcPr>
          <w:p>
            <w:pPr>
              <w:spacing w:line="400" w:lineRule="exact"/>
              <w:jc w:val="center"/>
              <w:rPr>
                <w:rFonts w:hint="eastAsia" w:asciiTheme="minorEastAsia" w:hAnsiTheme="minorEastAsia" w:eastAsiaTheme="minorEastAsia" w:cstheme="minorEastAsia"/>
                <w:sz w:val="24"/>
                <w:szCs w:val="24"/>
              </w:rPr>
            </w:pPr>
          </w:p>
        </w:tc>
        <w:tc>
          <w:tcPr>
            <w:tcW w:w="2376"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持股总数</w:t>
            </w:r>
          </w:p>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（股）</w:t>
            </w:r>
          </w:p>
        </w:tc>
        <w:tc>
          <w:tcPr>
            <w:tcW w:w="1460"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持股比例</w:t>
            </w:r>
          </w:p>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w:t>
            </w:r>
          </w:p>
        </w:tc>
        <w:tc>
          <w:tcPr>
            <w:tcW w:w="2250"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ind w:right="3"/>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持股总数</w:t>
            </w:r>
          </w:p>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（股）</w:t>
            </w:r>
          </w:p>
        </w:tc>
        <w:tc>
          <w:tcPr>
            <w:tcW w:w="1459"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ind w:right="2"/>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持股比例</w:t>
            </w:r>
          </w:p>
          <w:p>
            <w:pPr>
              <w:pStyle w:val="24"/>
              <w:spacing w:line="400" w:lineRule="exact"/>
              <w:ind w:right="4"/>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w:t>
            </w:r>
          </w:p>
        </w:tc>
      </w:tr>
      <w:tr>
        <w:tblPrEx>
          <w:tblLayout w:type="fixed"/>
          <w:tblCellMar>
            <w:top w:w="0" w:type="dxa"/>
            <w:left w:w="0" w:type="dxa"/>
            <w:bottom w:w="0" w:type="dxa"/>
            <w:right w:w="0" w:type="dxa"/>
          </w:tblCellMar>
        </w:tblPrEx>
        <w:trPr>
          <w:trHeight w:val="606" w:hRule="exact"/>
          <w:jc w:val="center"/>
        </w:trPr>
        <w:tc>
          <w:tcPr>
            <w:tcW w:w="2281"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苏豪投资</w:t>
            </w:r>
          </w:p>
        </w:tc>
        <w:tc>
          <w:tcPr>
            <w:tcW w:w="2376"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176,639,543</w:t>
            </w:r>
          </w:p>
        </w:tc>
        <w:tc>
          <w:tcPr>
            <w:tcW w:w="1460"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4.82</w:t>
            </w:r>
          </w:p>
        </w:tc>
        <w:tc>
          <w:tcPr>
            <w:tcW w:w="2250"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ind w:right="103"/>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233,042,759</w:t>
            </w:r>
          </w:p>
        </w:tc>
        <w:tc>
          <w:tcPr>
            <w:tcW w:w="1459"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ind w:right="103"/>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6.36</w:t>
            </w:r>
          </w:p>
        </w:tc>
      </w:tr>
      <w:tr>
        <w:tblPrEx>
          <w:tblLayout w:type="fixed"/>
          <w:tblCellMar>
            <w:top w:w="0" w:type="dxa"/>
            <w:left w:w="0" w:type="dxa"/>
            <w:bottom w:w="0" w:type="dxa"/>
            <w:right w:w="0" w:type="dxa"/>
          </w:tblCellMar>
        </w:tblPrEx>
        <w:trPr>
          <w:trHeight w:val="486" w:hRule="exact"/>
          <w:jc w:val="center"/>
        </w:trPr>
        <w:tc>
          <w:tcPr>
            <w:tcW w:w="2281"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汇鸿中锦</w:t>
            </w:r>
          </w:p>
        </w:tc>
        <w:tc>
          <w:tcPr>
            <w:tcW w:w="2376"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28,201,608</w:t>
            </w:r>
          </w:p>
        </w:tc>
        <w:tc>
          <w:tcPr>
            <w:tcW w:w="1460"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0.77</w:t>
            </w:r>
          </w:p>
        </w:tc>
        <w:tc>
          <w:tcPr>
            <w:tcW w:w="2250"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ind w:right="103"/>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w:t>
            </w:r>
          </w:p>
        </w:tc>
        <w:tc>
          <w:tcPr>
            <w:tcW w:w="1459"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ind w:right="103"/>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w:t>
            </w:r>
          </w:p>
        </w:tc>
      </w:tr>
      <w:tr>
        <w:tblPrEx>
          <w:tblLayout w:type="fixed"/>
          <w:tblCellMar>
            <w:top w:w="0" w:type="dxa"/>
            <w:left w:w="0" w:type="dxa"/>
            <w:bottom w:w="0" w:type="dxa"/>
            <w:right w:w="0" w:type="dxa"/>
          </w:tblCellMar>
        </w:tblPrEx>
        <w:trPr>
          <w:trHeight w:val="626" w:hRule="exact"/>
          <w:jc w:val="center"/>
        </w:trPr>
        <w:tc>
          <w:tcPr>
            <w:tcW w:w="2281"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汇鸿中鼎</w:t>
            </w:r>
          </w:p>
        </w:tc>
        <w:tc>
          <w:tcPr>
            <w:tcW w:w="2376"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ind w:right="101"/>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28,201,608</w:t>
            </w:r>
          </w:p>
        </w:tc>
        <w:tc>
          <w:tcPr>
            <w:tcW w:w="1460"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ind w:right="98"/>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0.77</w:t>
            </w:r>
          </w:p>
        </w:tc>
        <w:tc>
          <w:tcPr>
            <w:tcW w:w="2250"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ind w:right="103"/>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w:t>
            </w:r>
          </w:p>
        </w:tc>
        <w:tc>
          <w:tcPr>
            <w:tcW w:w="1459"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ind w:right="103"/>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w:t>
            </w:r>
          </w:p>
        </w:tc>
      </w:tr>
      <w:tr>
        <w:tblPrEx>
          <w:tblLayout w:type="fixed"/>
          <w:tblCellMar>
            <w:top w:w="0" w:type="dxa"/>
            <w:left w:w="0" w:type="dxa"/>
            <w:bottom w:w="0" w:type="dxa"/>
            <w:right w:w="0" w:type="dxa"/>
          </w:tblCellMar>
        </w:tblPrEx>
        <w:trPr>
          <w:trHeight w:val="606" w:hRule="exact"/>
          <w:jc w:val="center"/>
        </w:trPr>
        <w:tc>
          <w:tcPr>
            <w:tcW w:w="2281"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其他</w:t>
            </w:r>
            <w:r>
              <w:rPr>
                <w:rFonts w:hint="eastAsia" w:asciiTheme="minorEastAsia" w:hAnsiTheme="minorEastAsia" w:eastAsiaTheme="minorEastAsia" w:cstheme="minorEastAsia"/>
                <w:spacing w:val="-61"/>
                <w:sz w:val="24"/>
                <w:szCs w:val="24"/>
              </w:rPr>
              <w:t xml:space="preserve"> </w:t>
            </w:r>
            <w:r>
              <w:rPr>
                <w:rFonts w:hint="eastAsia" w:asciiTheme="minorEastAsia" w:hAnsiTheme="minorEastAsia" w:eastAsiaTheme="minorEastAsia" w:cstheme="minorEastAsia"/>
                <w:sz w:val="24"/>
                <w:szCs w:val="24"/>
              </w:rPr>
              <w:t>A股股东</w:t>
            </w:r>
          </w:p>
        </w:tc>
        <w:tc>
          <w:tcPr>
            <w:tcW w:w="23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3,427,937,221</w:t>
            </w:r>
          </w:p>
        </w:tc>
        <w:tc>
          <w:tcPr>
            <w:tcW w:w="14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bidi="ar"/>
              </w:rPr>
              <w:t>93.64</w:t>
            </w:r>
          </w:p>
        </w:tc>
        <w:tc>
          <w:tcPr>
            <w:tcW w:w="22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bidi="ar"/>
              </w:rPr>
              <w:t>3</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color w:val="000000"/>
                <w:kern w:val="0"/>
                <w:sz w:val="24"/>
                <w:szCs w:val="24"/>
                <w:lang w:bidi="ar"/>
              </w:rPr>
              <w:t>427</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color w:val="000000"/>
                <w:kern w:val="0"/>
                <w:sz w:val="24"/>
                <w:szCs w:val="24"/>
                <w:lang w:bidi="ar"/>
              </w:rPr>
              <w:t>937</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color w:val="000000"/>
                <w:kern w:val="0"/>
                <w:sz w:val="24"/>
                <w:szCs w:val="24"/>
                <w:lang w:bidi="ar"/>
              </w:rPr>
              <w:t>221</w:t>
            </w:r>
          </w:p>
        </w:tc>
        <w:tc>
          <w:tcPr>
            <w:tcW w:w="14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bidi="ar"/>
              </w:rPr>
              <w:t>93.64</w:t>
            </w:r>
          </w:p>
        </w:tc>
      </w:tr>
      <w:tr>
        <w:tblPrEx>
          <w:tblLayout w:type="fixed"/>
          <w:tblCellMar>
            <w:top w:w="0" w:type="dxa"/>
            <w:left w:w="0" w:type="dxa"/>
            <w:bottom w:w="0" w:type="dxa"/>
            <w:right w:w="0" w:type="dxa"/>
          </w:tblCellMar>
        </w:tblPrEx>
        <w:trPr>
          <w:trHeight w:val="637" w:hRule="exact"/>
          <w:jc w:val="center"/>
        </w:trPr>
        <w:tc>
          <w:tcPr>
            <w:tcW w:w="2281" w:type="dxa"/>
            <w:tcBorders>
              <w:top w:val="single" w:color="000000" w:sz="4" w:space="0"/>
              <w:left w:val="single" w:color="000000" w:sz="4" w:space="0"/>
              <w:bottom w:val="single" w:color="000000" w:sz="4" w:space="0"/>
              <w:right w:val="single" w:color="000000" w:sz="4" w:space="0"/>
            </w:tcBorders>
            <w:vAlign w:val="center"/>
          </w:tcPr>
          <w:p>
            <w:pPr>
              <w:pStyle w:val="24"/>
              <w:spacing w:line="4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总股份</w:t>
            </w:r>
          </w:p>
        </w:tc>
        <w:tc>
          <w:tcPr>
            <w:tcW w:w="23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3,660,979,980</w:t>
            </w:r>
          </w:p>
        </w:tc>
        <w:tc>
          <w:tcPr>
            <w:tcW w:w="14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color w:val="000000"/>
                <w:kern w:val="0"/>
                <w:sz w:val="24"/>
                <w:szCs w:val="24"/>
                <w:lang w:bidi="ar"/>
              </w:rPr>
              <w:t>100.00</w:t>
            </w:r>
          </w:p>
        </w:tc>
        <w:tc>
          <w:tcPr>
            <w:tcW w:w="22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color w:val="000000"/>
                <w:kern w:val="0"/>
                <w:sz w:val="24"/>
                <w:szCs w:val="24"/>
                <w:lang w:bidi="ar"/>
              </w:rPr>
              <w:t>3</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b/>
                <w:bCs/>
                <w:color w:val="000000"/>
                <w:kern w:val="0"/>
                <w:sz w:val="24"/>
                <w:szCs w:val="24"/>
                <w:lang w:bidi="ar"/>
              </w:rPr>
              <w:t>660</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b/>
                <w:bCs/>
                <w:color w:val="000000"/>
                <w:kern w:val="0"/>
                <w:sz w:val="24"/>
                <w:szCs w:val="24"/>
                <w:lang w:bidi="ar"/>
              </w:rPr>
              <w:t>979</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b/>
                <w:bCs/>
                <w:color w:val="000000"/>
                <w:kern w:val="0"/>
                <w:sz w:val="24"/>
                <w:szCs w:val="24"/>
                <w:lang w:bidi="ar"/>
              </w:rPr>
              <w:t>980</w:t>
            </w:r>
          </w:p>
        </w:tc>
        <w:tc>
          <w:tcPr>
            <w:tcW w:w="14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color w:val="000000"/>
                <w:kern w:val="0"/>
                <w:sz w:val="24"/>
                <w:szCs w:val="24"/>
                <w:lang w:bidi="ar"/>
              </w:rPr>
              <w:t>100.00</w:t>
            </w:r>
          </w:p>
        </w:tc>
      </w:tr>
    </w:tbl>
    <w:p>
      <w:pPr>
        <w:pStyle w:val="2"/>
        <w:spacing w:line="367" w:lineRule="exact"/>
        <w:jc w:val="left"/>
        <w:rPr>
          <w:rFonts w:hint="eastAsia" w:asciiTheme="minorEastAsia" w:hAnsiTheme="minorEastAsia" w:eastAsiaTheme="minorEastAsia" w:cstheme="minorEastAsia"/>
          <w:bCs w:val="0"/>
          <w:color w:val="000000"/>
          <w:kern w:val="0"/>
          <w:sz w:val="24"/>
          <w:szCs w:val="24"/>
        </w:rPr>
      </w:pPr>
      <w:r>
        <w:rPr>
          <w:rFonts w:hint="eastAsia" w:asciiTheme="minorEastAsia" w:hAnsiTheme="minorEastAsia" w:eastAsiaTheme="minorEastAsia" w:cstheme="minorEastAsia"/>
          <w:bCs w:val="0"/>
          <w:color w:val="000000"/>
          <w:kern w:val="0"/>
          <w:sz w:val="24"/>
          <w:szCs w:val="24"/>
        </w:rPr>
        <w:t>二、转让各方基本情况</w:t>
      </w:r>
    </w:p>
    <w:p>
      <w:pPr>
        <w:spacing w:line="560" w:lineRule="exact"/>
        <w:ind w:firstLine="482" w:firstLineChars="200"/>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（一）转让方</w:t>
      </w:r>
    </w:p>
    <w:p>
      <w:pPr>
        <w:spacing w:line="560" w:lineRule="exact"/>
        <w:ind w:firstLine="482" w:firstLineChars="200"/>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1.汇鸿中锦</w:t>
      </w:r>
    </w:p>
    <w:p>
      <w:pPr>
        <w:rPr>
          <w:rFonts w:hint="eastAsia" w:asciiTheme="minorEastAsia" w:hAnsiTheme="minorEastAsia" w:eastAsiaTheme="minorEastAsia" w:cstheme="minorEastAsia"/>
          <w:b/>
          <w:bCs/>
          <w:sz w:val="24"/>
          <w:szCs w:val="24"/>
        </w:rPr>
      </w:pPr>
    </w:p>
    <w:tbl>
      <w:tblPr>
        <w:tblStyle w:val="12"/>
        <w:tblW w:w="8558" w:type="dxa"/>
        <w:jc w:val="center"/>
        <w:tblInd w:w="0" w:type="dxa"/>
        <w:tblLayout w:type="fixed"/>
        <w:tblCellMar>
          <w:top w:w="0" w:type="dxa"/>
          <w:left w:w="0" w:type="dxa"/>
          <w:bottom w:w="0" w:type="dxa"/>
          <w:right w:w="0" w:type="dxa"/>
        </w:tblCellMar>
      </w:tblPr>
      <w:tblGrid>
        <w:gridCol w:w="2652"/>
        <w:gridCol w:w="5906"/>
      </w:tblGrid>
      <w:tr>
        <w:tblPrEx>
          <w:tblLayout w:type="fixed"/>
          <w:tblCellMar>
            <w:top w:w="0" w:type="dxa"/>
            <w:left w:w="0" w:type="dxa"/>
            <w:bottom w:w="0" w:type="dxa"/>
            <w:right w:w="0" w:type="dxa"/>
          </w:tblCellMar>
        </w:tblPrEx>
        <w:trPr>
          <w:trHeight w:val="555" w:hRule="exact"/>
          <w:jc w:val="center"/>
        </w:trPr>
        <w:tc>
          <w:tcPr>
            <w:tcW w:w="2652"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名称</w:t>
            </w:r>
          </w:p>
        </w:tc>
        <w:tc>
          <w:tcPr>
            <w:tcW w:w="5906"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江苏汇鸿国际集团中锦控股有限公司</w:t>
            </w:r>
          </w:p>
        </w:tc>
      </w:tr>
      <w:tr>
        <w:tblPrEx>
          <w:tblLayout w:type="fixed"/>
          <w:tblCellMar>
            <w:top w:w="0" w:type="dxa"/>
            <w:left w:w="0" w:type="dxa"/>
            <w:bottom w:w="0" w:type="dxa"/>
            <w:right w:w="0" w:type="dxa"/>
          </w:tblCellMar>
        </w:tblPrEx>
        <w:trPr>
          <w:trHeight w:val="536" w:hRule="exact"/>
          <w:jc w:val="center"/>
        </w:trPr>
        <w:tc>
          <w:tcPr>
            <w:tcW w:w="2652"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注册地址</w:t>
            </w:r>
          </w:p>
        </w:tc>
        <w:tc>
          <w:tcPr>
            <w:tcW w:w="5906"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南京市秦淮区白下路91号20-25楼</w:t>
            </w:r>
          </w:p>
        </w:tc>
      </w:tr>
      <w:tr>
        <w:tblPrEx>
          <w:tblLayout w:type="fixed"/>
          <w:tblCellMar>
            <w:top w:w="0" w:type="dxa"/>
            <w:left w:w="0" w:type="dxa"/>
            <w:bottom w:w="0" w:type="dxa"/>
            <w:right w:w="0" w:type="dxa"/>
          </w:tblCellMar>
        </w:tblPrEx>
        <w:trPr>
          <w:trHeight w:val="515" w:hRule="exact"/>
          <w:jc w:val="center"/>
        </w:trPr>
        <w:tc>
          <w:tcPr>
            <w:tcW w:w="2652"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主要负责人</w:t>
            </w:r>
          </w:p>
        </w:tc>
        <w:tc>
          <w:tcPr>
            <w:tcW w:w="5906"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温成刚</w:t>
            </w:r>
          </w:p>
        </w:tc>
      </w:tr>
      <w:tr>
        <w:tblPrEx>
          <w:tblLayout w:type="fixed"/>
          <w:tblCellMar>
            <w:top w:w="0" w:type="dxa"/>
            <w:left w:w="0" w:type="dxa"/>
            <w:bottom w:w="0" w:type="dxa"/>
            <w:right w:w="0" w:type="dxa"/>
          </w:tblCellMar>
        </w:tblPrEx>
        <w:trPr>
          <w:trHeight w:val="515" w:hRule="exact"/>
          <w:jc w:val="center"/>
        </w:trPr>
        <w:tc>
          <w:tcPr>
            <w:tcW w:w="2652"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注册资本/法定股本</w:t>
            </w:r>
          </w:p>
        </w:tc>
        <w:tc>
          <w:tcPr>
            <w:tcW w:w="5906"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人民币12900万元</w:t>
            </w:r>
          </w:p>
        </w:tc>
      </w:tr>
      <w:tr>
        <w:tblPrEx>
          <w:tblLayout w:type="fixed"/>
          <w:tblCellMar>
            <w:top w:w="0" w:type="dxa"/>
            <w:left w:w="0" w:type="dxa"/>
            <w:bottom w:w="0" w:type="dxa"/>
            <w:right w:w="0" w:type="dxa"/>
          </w:tblCellMar>
        </w:tblPrEx>
        <w:trPr>
          <w:trHeight w:val="517" w:hRule="exact"/>
          <w:jc w:val="center"/>
        </w:trPr>
        <w:tc>
          <w:tcPr>
            <w:tcW w:w="2652"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统一社会信用代码</w:t>
            </w:r>
          </w:p>
        </w:tc>
        <w:tc>
          <w:tcPr>
            <w:tcW w:w="5906"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913200001347623184</w:t>
            </w:r>
          </w:p>
        </w:tc>
      </w:tr>
      <w:tr>
        <w:tblPrEx>
          <w:tblLayout w:type="fixed"/>
          <w:tblCellMar>
            <w:top w:w="0" w:type="dxa"/>
            <w:left w:w="0" w:type="dxa"/>
            <w:bottom w:w="0" w:type="dxa"/>
            <w:right w:w="0" w:type="dxa"/>
          </w:tblCellMar>
        </w:tblPrEx>
        <w:trPr>
          <w:trHeight w:val="533" w:hRule="exact"/>
          <w:jc w:val="center"/>
        </w:trPr>
        <w:tc>
          <w:tcPr>
            <w:tcW w:w="2652"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企业类型</w:t>
            </w:r>
          </w:p>
        </w:tc>
        <w:tc>
          <w:tcPr>
            <w:tcW w:w="5906"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有限责任公司</w:t>
            </w:r>
          </w:p>
        </w:tc>
      </w:tr>
      <w:tr>
        <w:tblPrEx>
          <w:tblLayout w:type="fixed"/>
          <w:tblCellMar>
            <w:top w:w="0" w:type="dxa"/>
            <w:left w:w="0" w:type="dxa"/>
            <w:bottom w:w="0" w:type="dxa"/>
            <w:right w:w="0" w:type="dxa"/>
          </w:tblCellMar>
        </w:tblPrEx>
        <w:trPr>
          <w:trHeight w:val="5388" w:hRule="exact"/>
          <w:jc w:val="center"/>
        </w:trPr>
        <w:tc>
          <w:tcPr>
            <w:tcW w:w="2652"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主要经营范围</w:t>
            </w:r>
          </w:p>
        </w:tc>
        <w:tc>
          <w:tcPr>
            <w:tcW w:w="5906"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自营和代理各类商品和技术的进出口业务；承办中外合资经营、合作生产业务，承办来料加工、来样加工、来件装配业务，开展补偿贸易业务，经营转让贸易，易货贸易，为本公司出口商品生产企业组织原辅材料，服装及纺织品的生产，国内贸易；实业投资，实物租赁，仓储（危险品除外），物业管理，室内外装饰，经济信息咨询服务，国际货运代理业务，招标代理；农药销售；初级农产品，粮油销售、食品经营；化妆品销售。第一类医疗器械销售；第二类医疗器械销售；（依法须经批准的项目，经相关部门批准后方可开展经营活动） </w:t>
            </w:r>
          </w:p>
        </w:tc>
      </w:tr>
      <w:tr>
        <w:tblPrEx>
          <w:tblLayout w:type="fixed"/>
          <w:tblCellMar>
            <w:top w:w="0" w:type="dxa"/>
            <w:left w:w="0" w:type="dxa"/>
            <w:bottom w:w="0" w:type="dxa"/>
            <w:right w:w="0" w:type="dxa"/>
          </w:tblCellMar>
        </w:tblPrEx>
        <w:trPr>
          <w:trHeight w:val="554" w:hRule="exact"/>
          <w:jc w:val="center"/>
        </w:trPr>
        <w:tc>
          <w:tcPr>
            <w:tcW w:w="2652"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经营期限</w:t>
            </w:r>
          </w:p>
        </w:tc>
        <w:tc>
          <w:tcPr>
            <w:tcW w:w="5906"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1992年10月10日至无固定期限</w:t>
            </w:r>
          </w:p>
        </w:tc>
      </w:tr>
      <w:tr>
        <w:tblPrEx>
          <w:tblLayout w:type="fixed"/>
          <w:tblCellMar>
            <w:top w:w="0" w:type="dxa"/>
            <w:left w:w="0" w:type="dxa"/>
            <w:bottom w:w="0" w:type="dxa"/>
            <w:right w:w="0" w:type="dxa"/>
          </w:tblCellMar>
        </w:tblPrEx>
        <w:trPr>
          <w:trHeight w:val="1446" w:hRule="exact"/>
          <w:jc w:val="center"/>
        </w:trPr>
        <w:tc>
          <w:tcPr>
            <w:tcW w:w="2652"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b/>
                <w:bCs/>
                <w:sz w:val="24"/>
                <w:szCs w:val="24"/>
              </w:rPr>
            </w:pPr>
          </w:p>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股东名称</w:t>
            </w:r>
          </w:p>
        </w:tc>
        <w:tc>
          <w:tcPr>
            <w:tcW w:w="5906"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1"/>
                <w:sz w:val="24"/>
                <w:szCs w:val="24"/>
              </w:rPr>
              <w:t>江苏汇鸿国际集团股份有限公司（</w:t>
            </w:r>
            <w:r>
              <w:rPr>
                <w:rFonts w:hint="eastAsia" w:asciiTheme="minorEastAsia" w:hAnsiTheme="minorEastAsia" w:eastAsiaTheme="minorEastAsia" w:cstheme="minorEastAsia"/>
                <w:spacing w:val="-90"/>
                <w:sz w:val="24"/>
                <w:szCs w:val="24"/>
              </w:rPr>
              <w:t xml:space="preserve"> </w:t>
            </w:r>
            <w:r>
              <w:rPr>
                <w:rFonts w:hint="eastAsia" w:asciiTheme="minorEastAsia" w:hAnsiTheme="minorEastAsia" w:eastAsiaTheme="minorEastAsia" w:cstheme="minorEastAsia"/>
                <w:spacing w:val="11"/>
                <w:sz w:val="24"/>
                <w:szCs w:val="24"/>
              </w:rPr>
              <w:t>持股</w:t>
            </w:r>
          </w:p>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7"/>
                <w:sz w:val="24"/>
                <w:szCs w:val="24"/>
              </w:rPr>
              <w:t>63.50%）、江苏中锦锦和股权投资合伙企业（有限合伙）（持股36.50</w:t>
            </w:r>
            <w:r>
              <w:rPr>
                <w:rFonts w:hint="eastAsia" w:asciiTheme="minorEastAsia" w:hAnsiTheme="minorEastAsia" w:eastAsiaTheme="minorEastAsia" w:cstheme="minorEastAsia"/>
                <w:sz w:val="24"/>
                <w:szCs w:val="24"/>
              </w:rPr>
              <w:t>%）</w:t>
            </w:r>
          </w:p>
        </w:tc>
      </w:tr>
      <w:tr>
        <w:tblPrEx>
          <w:tblLayout w:type="fixed"/>
          <w:tblCellMar>
            <w:top w:w="0" w:type="dxa"/>
            <w:left w:w="0" w:type="dxa"/>
            <w:bottom w:w="0" w:type="dxa"/>
            <w:right w:w="0" w:type="dxa"/>
          </w:tblCellMar>
        </w:tblPrEx>
        <w:trPr>
          <w:trHeight w:val="515" w:hRule="exact"/>
          <w:jc w:val="center"/>
        </w:trPr>
        <w:tc>
          <w:tcPr>
            <w:tcW w:w="2652"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实际控制人</w:t>
            </w:r>
          </w:p>
        </w:tc>
        <w:tc>
          <w:tcPr>
            <w:tcW w:w="5906"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江苏省</w:t>
            </w:r>
            <w:r>
              <w:rPr>
                <w:rFonts w:hint="eastAsia" w:asciiTheme="minorEastAsia" w:hAnsiTheme="minorEastAsia" w:eastAsiaTheme="minorEastAsia" w:cstheme="minorEastAsia"/>
                <w:sz w:val="24"/>
                <w:szCs w:val="24"/>
                <w:lang w:eastAsia="zh-CN"/>
              </w:rPr>
              <w:t>国资委</w:t>
            </w:r>
          </w:p>
        </w:tc>
      </w:tr>
      <w:tr>
        <w:tblPrEx>
          <w:tblLayout w:type="fixed"/>
          <w:tblCellMar>
            <w:top w:w="0" w:type="dxa"/>
            <w:left w:w="0" w:type="dxa"/>
            <w:bottom w:w="0" w:type="dxa"/>
            <w:right w:w="0" w:type="dxa"/>
          </w:tblCellMar>
        </w:tblPrEx>
        <w:trPr>
          <w:trHeight w:val="582" w:hRule="exact"/>
          <w:jc w:val="center"/>
        </w:trPr>
        <w:tc>
          <w:tcPr>
            <w:tcW w:w="2652"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通讯地址</w:t>
            </w:r>
          </w:p>
        </w:tc>
        <w:tc>
          <w:tcPr>
            <w:tcW w:w="5906"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南京市秦淮区白下路91号20-25楼</w:t>
            </w:r>
          </w:p>
        </w:tc>
      </w:tr>
      <w:tr>
        <w:tblPrEx>
          <w:tblLayout w:type="fixed"/>
          <w:tblCellMar>
            <w:top w:w="0" w:type="dxa"/>
            <w:left w:w="0" w:type="dxa"/>
            <w:bottom w:w="0" w:type="dxa"/>
            <w:right w:w="0" w:type="dxa"/>
          </w:tblCellMar>
        </w:tblPrEx>
        <w:trPr>
          <w:trHeight w:val="474" w:hRule="exact"/>
          <w:jc w:val="center"/>
        </w:trPr>
        <w:tc>
          <w:tcPr>
            <w:tcW w:w="2652"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联系方式</w:t>
            </w:r>
          </w:p>
        </w:tc>
        <w:tc>
          <w:tcPr>
            <w:tcW w:w="5906"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025-84691099</w:t>
            </w:r>
          </w:p>
        </w:tc>
      </w:tr>
    </w:tbl>
    <w:p>
      <w:pPr>
        <w:spacing w:before="9"/>
        <w:rPr>
          <w:rFonts w:hint="eastAsia" w:asciiTheme="minorEastAsia" w:hAnsiTheme="minorEastAsia" w:eastAsiaTheme="minorEastAsia" w:cstheme="minorEastAsia"/>
          <w:b/>
          <w:bCs/>
          <w:sz w:val="24"/>
          <w:szCs w:val="24"/>
        </w:rPr>
      </w:pPr>
    </w:p>
    <w:p>
      <w:pPr>
        <w:spacing w:line="560" w:lineRule="exact"/>
        <w:ind w:firstLine="482" w:firstLineChars="200"/>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2.汇鸿中鼎</w:t>
      </w:r>
    </w:p>
    <w:p>
      <w:pPr>
        <w:rPr>
          <w:rFonts w:hint="eastAsia" w:asciiTheme="minorEastAsia" w:hAnsiTheme="minorEastAsia" w:eastAsiaTheme="minorEastAsia" w:cstheme="minorEastAsia"/>
          <w:b/>
          <w:bCs/>
          <w:sz w:val="24"/>
          <w:szCs w:val="24"/>
        </w:rPr>
      </w:pPr>
    </w:p>
    <w:tbl>
      <w:tblPr>
        <w:tblStyle w:val="12"/>
        <w:tblW w:w="8298" w:type="dxa"/>
        <w:tblInd w:w="120" w:type="dxa"/>
        <w:tblLayout w:type="fixed"/>
        <w:tblCellMar>
          <w:top w:w="0" w:type="dxa"/>
          <w:left w:w="0" w:type="dxa"/>
          <w:bottom w:w="0" w:type="dxa"/>
          <w:right w:w="0" w:type="dxa"/>
        </w:tblCellMar>
      </w:tblPr>
      <w:tblGrid>
        <w:gridCol w:w="2573"/>
        <w:gridCol w:w="5725"/>
      </w:tblGrid>
      <w:tr>
        <w:tblPrEx>
          <w:tblLayout w:type="fixed"/>
          <w:tblCellMar>
            <w:top w:w="0" w:type="dxa"/>
            <w:left w:w="0" w:type="dxa"/>
            <w:bottom w:w="0" w:type="dxa"/>
            <w:right w:w="0" w:type="dxa"/>
          </w:tblCellMar>
        </w:tblPrEx>
        <w:trPr>
          <w:trHeight w:val="565" w:hRule="exact"/>
        </w:trPr>
        <w:tc>
          <w:tcPr>
            <w:tcW w:w="2573"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名称</w:t>
            </w:r>
          </w:p>
        </w:tc>
        <w:tc>
          <w:tcPr>
            <w:tcW w:w="5725"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江苏汇鸿国际集团中鼎控股股份有限公司</w:t>
            </w:r>
          </w:p>
        </w:tc>
      </w:tr>
      <w:tr>
        <w:tblPrEx>
          <w:tblLayout w:type="fixed"/>
          <w:tblCellMar>
            <w:top w:w="0" w:type="dxa"/>
            <w:left w:w="0" w:type="dxa"/>
            <w:bottom w:w="0" w:type="dxa"/>
            <w:right w:w="0" w:type="dxa"/>
          </w:tblCellMar>
        </w:tblPrEx>
        <w:trPr>
          <w:trHeight w:val="534" w:hRule="exact"/>
        </w:trPr>
        <w:tc>
          <w:tcPr>
            <w:tcW w:w="2573"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注册地址</w:t>
            </w:r>
          </w:p>
        </w:tc>
        <w:tc>
          <w:tcPr>
            <w:tcW w:w="5725"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南京市建邺路100号</w:t>
            </w:r>
          </w:p>
        </w:tc>
      </w:tr>
      <w:tr>
        <w:tblPrEx>
          <w:tblLayout w:type="fixed"/>
          <w:tblCellMar>
            <w:top w:w="0" w:type="dxa"/>
            <w:left w:w="0" w:type="dxa"/>
            <w:bottom w:w="0" w:type="dxa"/>
            <w:right w:w="0" w:type="dxa"/>
          </w:tblCellMar>
        </w:tblPrEx>
        <w:trPr>
          <w:trHeight w:val="524" w:hRule="exact"/>
        </w:trPr>
        <w:tc>
          <w:tcPr>
            <w:tcW w:w="2573"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主要负责人</w:t>
            </w:r>
          </w:p>
        </w:tc>
        <w:tc>
          <w:tcPr>
            <w:tcW w:w="5725"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吴盛</w:t>
            </w:r>
          </w:p>
        </w:tc>
      </w:tr>
      <w:tr>
        <w:tblPrEx>
          <w:tblLayout w:type="fixed"/>
          <w:tblCellMar>
            <w:top w:w="0" w:type="dxa"/>
            <w:left w:w="0" w:type="dxa"/>
            <w:bottom w:w="0" w:type="dxa"/>
            <w:right w:w="0" w:type="dxa"/>
          </w:tblCellMar>
        </w:tblPrEx>
        <w:trPr>
          <w:trHeight w:val="584" w:hRule="exact"/>
        </w:trPr>
        <w:tc>
          <w:tcPr>
            <w:tcW w:w="2573"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注册资本/法定股本</w:t>
            </w:r>
          </w:p>
        </w:tc>
        <w:tc>
          <w:tcPr>
            <w:tcW w:w="5725"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人民币27359.26万元</w:t>
            </w:r>
          </w:p>
        </w:tc>
      </w:tr>
      <w:tr>
        <w:tblPrEx>
          <w:tblLayout w:type="fixed"/>
          <w:tblCellMar>
            <w:top w:w="0" w:type="dxa"/>
            <w:left w:w="0" w:type="dxa"/>
            <w:bottom w:w="0" w:type="dxa"/>
            <w:right w:w="0" w:type="dxa"/>
          </w:tblCellMar>
        </w:tblPrEx>
        <w:trPr>
          <w:trHeight w:val="547" w:hRule="exact"/>
        </w:trPr>
        <w:tc>
          <w:tcPr>
            <w:tcW w:w="2573"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统一社会信用代码</w:t>
            </w:r>
          </w:p>
        </w:tc>
        <w:tc>
          <w:tcPr>
            <w:tcW w:w="5725"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9132000013476361XD</w:t>
            </w:r>
          </w:p>
        </w:tc>
      </w:tr>
      <w:tr>
        <w:tblPrEx>
          <w:tblLayout w:type="fixed"/>
          <w:tblCellMar>
            <w:top w:w="0" w:type="dxa"/>
            <w:left w:w="0" w:type="dxa"/>
            <w:bottom w:w="0" w:type="dxa"/>
            <w:right w:w="0" w:type="dxa"/>
          </w:tblCellMar>
        </w:tblPrEx>
        <w:trPr>
          <w:trHeight w:val="626" w:hRule="exact"/>
        </w:trPr>
        <w:tc>
          <w:tcPr>
            <w:tcW w:w="2573"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企业类型</w:t>
            </w:r>
          </w:p>
        </w:tc>
        <w:tc>
          <w:tcPr>
            <w:tcW w:w="5725"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股份有限公司（非上市）</w:t>
            </w:r>
          </w:p>
        </w:tc>
      </w:tr>
      <w:tr>
        <w:tblPrEx>
          <w:tblLayout w:type="fixed"/>
          <w:tblCellMar>
            <w:top w:w="0" w:type="dxa"/>
            <w:left w:w="0" w:type="dxa"/>
            <w:bottom w:w="0" w:type="dxa"/>
            <w:right w:w="0" w:type="dxa"/>
          </w:tblCellMar>
        </w:tblPrEx>
        <w:trPr>
          <w:trHeight w:val="5868" w:hRule="exact"/>
        </w:trPr>
        <w:tc>
          <w:tcPr>
            <w:tcW w:w="2573"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p>
          <w:p>
            <w:pPr>
              <w:pStyle w:val="24"/>
              <w:spacing w:line="440" w:lineRule="exact"/>
              <w:rPr>
                <w:rFonts w:hint="eastAsia" w:asciiTheme="minorEastAsia" w:hAnsiTheme="minorEastAsia" w:eastAsiaTheme="minorEastAsia" w:cstheme="minorEastAsia"/>
                <w:color w:val="000000"/>
                <w:sz w:val="24"/>
                <w:szCs w:val="24"/>
              </w:rPr>
            </w:pPr>
          </w:p>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主要经营范围</w:t>
            </w:r>
          </w:p>
        </w:tc>
        <w:tc>
          <w:tcPr>
            <w:tcW w:w="5725"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xml:space="preserve">危险化学品批发（按许可证所列项目经营），煤炭批发经营，证券投资及实业投资，自营和代理各类商品和技术的进出口，国内贸易，人才培训，仓储，燃料油、钢材和化肥销售，有色金属销售，汽车销售，化妆品及卫生用品销售，石油制品的销售，预包装食品、乳制品（含婴幼儿配方乳粉）、保健品销售，生鲜类、初级农产品销售，家用电器、厨房、卫生间用具及日用杂货销售，珠宝金银首饰的销售，商品的网上销售，农药经营，I类、II类、III类医疗器械销售，专业设计与咨询服务，招标代理。（依法须经批准的项目，经相关部门批准后方可开展经营活动） </w:t>
            </w:r>
          </w:p>
        </w:tc>
      </w:tr>
      <w:tr>
        <w:tblPrEx>
          <w:tblLayout w:type="fixed"/>
          <w:tblCellMar>
            <w:top w:w="0" w:type="dxa"/>
            <w:left w:w="0" w:type="dxa"/>
            <w:bottom w:w="0" w:type="dxa"/>
            <w:right w:w="0" w:type="dxa"/>
          </w:tblCellMar>
        </w:tblPrEx>
        <w:trPr>
          <w:trHeight w:val="585" w:hRule="exact"/>
        </w:trPr>
        <w:tc>
          <w:tcPr>
            <w:tcW w:w="2573"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经营期限</w:t>
            </w:r>
          </w:p>
        </w:tc>
        <w:tc>
          <w:tcPr>
            <w:tcW w:w="5725"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1981年10月15日</w:t>
            </w:r>
            <w:r>
              <w:rPr>
                <w:rFonts w:hint="eastAsia" w:asciiTheme="minorEastAsia" w:hAnsiTheme="minorEastAsia" w:eastAsiaTheme="minorEastAsia" w:cstheme="minorEastAsia"/>
                <w:sz w:val="24"/>
                <w:szCs w:val="24"/>
              </w:rPr>
              <w:t>至无固定期限</w:t>
            </w:r>
          </w:p>
        </w:tc>
      </w:tr>
      <w:tr>
        <w:tblPrEx>
          <w:tblLayout w:type="fixed"/>
          <w:tblCellMar>
            <w:top w:w="0" w:type="dxa"/>
            <w:left w:w="0" w:type="dxa"/>
            <w:bottom w:w="0" w:type="dxa"/>
            <w:right w:w="0" w:type="dxa"/>
          </w:tblCellMar>
        </w:tblPrEx>
        <w:trPr>
          <w:trHeight w:val="5007" w:hRule="exact"/>
        </w:trPr>
        <w:tc>
          <w:tcPr>
            <w:tcW w:w="2573"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股东名称</w:t>
            </w:r>
          </w:p>
        </w:tc>
        <w:tc>
          <w:tcPr>
            <w:tcW w:w="5725"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1"/>
                <w:sz w:val="24"/>
                <w:szCs w:val="24"/>
              </w:rPr>
              <w:t>江苏汇鸿国际集团股份有限公司（</w:t>
            </w:r>
            <w:r>
              <w:rPr>
                <w:rFonts w:hint="eastAsia" w:asciiTheme="minorEastAsia" w:hAnsiTheme="minorEastAsia" w:eastAsiaTheme="minorEastAsia" w:cstheme="minorEastAsia"/>
                <w:spacing w:val="-90"/>
                <w:sz w:val="24"/>
                <w:szCs w:val="24"/>
              </w:rPr>
              <w:t xml:space="preserve"> </w:t>
            </w:r>
            <w:r>
              <w:rPr>
                <w:rFonts w:hint="eastAsia" w:asciiTheme="minorEastAsia" w:hAnsiTheme="minorEastAsia" w:eastAsiaTheme="minorEastAsia" w:cstheme="minorEastAsia"/>
                <w:spacing w:val="11"/>
                <w:sz w:val="24"/>
                <w:szCs w:val="24"/>
              </w:rPr>
              <w:t>持股</w:t>
            </w:r>
          </w:p>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spacing w:val="7"/>
                <w:sz w:val="24"/>
                <w:szCs w:val="24"/>
              </w:rPr>
              <w:t>80.4347%）、江苏鼎裕股权投资中心（有限合伙）（持股16.1118</w:t>
            </w:r>
            <w:r>
              <w:rPr>
                <w:rFonts w:hint="eastAsia" w:asciiTheme="minorEastAsia" w:hAnsiTheme="minorEastAsia" w:eastAsiaTheme="minorEastAsia" w:cstheme="minorEastAsia"/>
                <w:sz w:val="24"/>
                <w:szCs w:val="24"/>
              </w:rPr>
              <w:t>%）、江苏省对外经贸股份有限公司</w:t>
            </w:r>
            <w:r>
              <w:rPr>
                <w:rFonts w:hint="eastAsia" w:asciiTheme="minorEastAsia" w:hAnsiTheme="minorEastAsia" w:eastAsiaTheme="minorEastAsia" w:cstheme="minorEastAsia"/>
                <w:spacing w:val="7"/>
                <w:sz w:val="24"/>
                <w:szCs w:val="24"/>
              </w:rPr>
              <w:t>（持股0.9303</w:t>
            </w:r>
            <w:r>
              <w:rPr>
                <w:rFonts w:hint="eastAsia" w:asciiTheme="minorEastAsia" w:hAnsiTheme="minorEastAsia" w:eastAsiaTheme="minorEastAsia" w:cstheme="minorEastAsia"/>
                <w:sz w:val="24"/>
                <w:szCs w:val="24"/>
              </w:rPr>
              <w:t xml:space="preserve">%）、南京龙灵机械贸易有限公司 </w:t>
            </w:r>
            <w:r>
              <w:rPr>
                <w:rFonts w:hint="eastAsia" w:asciiTheme="minorEastAsia" w:hAnsiTheme="minorEastAsia" w:eastAsiaTheme="minorEastAsia" w:cstheme="minorEastAsia"/>
                <w:spacing w:val="7"/>
                <w:sz w:val="24"/>
                <w:szCs w:val="24"/>
              </w:rPr>
              <w:t>（持股0.4812</w:t>
            </w:r>
            <w:r>
              <w:rPr>
                <w:rFonts w:hint="eastAsia" w:asciiTheme="minorEastAsia" w:hAnsiTheme="minorEastAsia" w:eastAsiaTheme="minorEastAsia" w:cstheme="minorEastAsia"/>
                <w:sz w:val="24"/>
                <w:szCs w:val="24"/>
              </w:rPr>
              <w:t>%）、江苏省海外企业集团有限公司</w:t>
            </w:r>
            <w:r>
              <w:rPr>
                <w:rFonts w:hint="eastAsia" w:asciiTheme="minorEastAsia" w:hAnsiTheme="minorEastAsia" w:eastAsiaTheme="minorEastAsia" w:cstheme="minorEastAsia"/>
                <w:spacing w:val="7"/>
                <w:sz w:val="24"/>
                <w:szCs w:val="24"/>
              </w:rPr>
              <w:t>（持股0.4572</w:t>
            </w:r>
            <w:r>
              <w:rPr>
                <w:rFonts w:hint="eastAsia" w:asciiTheme="minorEastAsia" w:hAnsiTheme="minorEastAsia" w:eastAsiaTheme="minorEastAsia" w:cstheme="minorEastAsia"/>
                <w:sz w:val="24"/>
                <w:szCs w:val="24"/>
              </w:rPr>
              <w:t>%）、宁波鲜天下贸易有限公司</w:t>
            </w:r>
            <w:r>
              <w:rPr>
                <w:rFonts w:hint="eastAsia" w:asciiTheme="minorEastAsia" w:hAnsiTheme="minorEastAsia" w:eastAsiaTheme="minorEastAsia" w:cstheme="minorEastAsia"/>
                <w:spacing w:val="7"/>
                <w:sz w:val="24"/>
                <w:szCs w:val="24"/>
              </w:rPr>
              <w:t>（持股0.4491</w:t>
            </w:r>
            <w:r>
              <w:rPr>
                <w:rFonts w:hint="eastAsia" w:asciiTheme="minorEastAsia" w:hAnsiTheme="minorEastAsia" w:eastAsiaTheme="minorEastAsia" w:cstheme="minorEastAsia"/>
                <w:sz w:val="24"/>
                <w:szCs w:val="24"/>
              </w:rPr>
              <w:t>%）、苏豪弘业股份有限公司</w:t>
            </w:r>
            <w:r>
              <w:rPr>
                <w:rFonts w:hint="eastAsia" w:asciiTheme="minorEastAsia" w:hAnsiTheme="minorEastAsia" w:eastAsiaTheme="minorEastAsia" w:cstheme="minorEastAsia"/>
                <w:spacing w:val="7"/>
                <w:sz w:val="24"/>
                <w:szCs w:val="24"/>
              </w:rPr>
              <w:t>（持股0.4331</w:t>
            </w:r>
            <w:r>
              <w:rPr>
                <w:rFonts w:hint="eastAsia" w:asciiTheme="minorEastAsia" w:hAnsiTheme="minorEastAsia" w:eastAsiaTheme="minorEastAsia" w:cstheme="minorEastAsia"/>
                <w:sz w:val="24"/>
                <w:szCs w:val="24"/>
              </w:rPr>
              <w:t>%）、南京乐多玩具有限公司</w:t>
            </w:r>
            <w:r>
              <w:rPr>
                <w:rFonts w:hint="eastAsia" w:asciiTheme="minorEastAsia" w:hAnsiTheme="minorEastAsia" w:eastAsiaTheme="minorEastAsia" w:cstheme="minorEastAsia"/>
                <w:spacing w:val="7"/>
                <w:sz w:val="24"/>
                <w:szCs w:val="24"/>
              </w:rPr>
              <w:t>（持股0.4331</w:t>
            </w:r>
            <w:r>
              <w:rPr>
                <w:rFonts w:hint="eastAsia" w:asciiTheme="minorEastAsia" w:hAnsiTheme="minorEastAsia" w:eastAsiaTheme="minorEastAsia" w:cstheme="minorEastAsia"/>
                <w:sz w:val="24"/>
                <w:szCs w:val="24"/>
              </w:rPr>
              <w:t>%）、中国外运江苏有限公司</w:t>
            </w:r>
            <w:r>
              <w:rPr>
                <w:rFonts w:hint="eastAsia" w:asciiTheme="minorEastAsia" w:hAnsiTheme="minorEastAsia" w:eastAsiaTheme="minorEastAsia" w:cstheme="minorEastAsia"/>
                <w:spacing w:val="7"/>
                <w:sz w:val="24"/>
                <w:szCs w:val="24"/>
              </w:rPr>
              <w:t>（持股0.1764</w:t>
            </w:r>
            <w:r>
              <w:rPr>
                <w:rFonts w:hint="eastAsia" w:asciiTheme="minorEastAsia" w:hAnsiTheme="minorEastAsia" w:eastAsiaTheme="minorEastAsia" w:cstheme="minorEastAsia"/>
                <w:sz w:val="24"/>
                <w:szCs w:val="24"/>
              </w:rPr>
              <w:t>%）、宿迁市成信胶管有限公司</w:t>
            </w:r>
            <w:r>
              <w:rPr>
                <w:rFonts w:hint="eastAsia" w:asciiTheme="minorEastAsia" w:hAnsiTheme="minorEastAsia" w:eastAsiaTheme="minorEastAsia" w:cstheme="minorEastAsia"/>
                <w:spacing w:val="7"/>
                <w:sz w:val="24"/>
                <w:szCs w:val="24"/>
              </w:rPr>
              <w:t>（持股0.0930</w:t>
            </w:r>
            <w:r>
              <w:rPr>
                <w:rFonts w:hint="eastAsia" w:asciiTheme="minorEastAsia" w:hAnsiTheme="minorEastAsia" w:eastAsiaTheme="minorEastAsia" w:cstheme="minorEastAsia"/>
                <w:sz w:val="24"/>
                <w:szCs w:val="24"/>
              </w:rPr>
              <w:t>%）</w:t>
            </w:r>
          </w:p>
        </w:tc>
      </w:tr>
      <w:tr>
        <w:tblPrEx>
          <w:tblLayout w:type="fixed"/>
          <w:tblCellMar>
            <w:top w:w="0" w:type="dxa"/>
            <w:left w:w="0" w:type="dxa"/>
            <w:bottom w:w="0" w:type="dxa"/>
            <w:right w:w="0" w:type="dxa"/>
          </w:tblCellMar>
        </w:tblPrEx>
        <w:trPr>
          <w:trHeight w:val="565" w:hRule="exact"/>
        </w:trPr>
        <w:tc>
          <w:tcPr>
            <w:tcW w:w="2573"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实际控制人</w:t>
            </w:r>
          </w:p>
        </w:tc>
        <w:tc>
          <w:tcPr>
            <w:tcW w:w="5725"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sz w:val="24"/>
                <w:szCs w:val="24"/>
              </w:rPr>
              <w:t>江苏省</w:t>
            </w:r>
            <w:r>
              <w:rPr>
                <w:rFonts w:hint="eastAsia" w:asciiTheme="minorEastAsia" w:hAnsiTheme="minorEastAsia" w:eastAsiaTheme="minorEastAsia" w:cstheme="minorEastAsia"/>
                <w:sz w:val="24"/>
                <w:szCs w:val="24"/>
                <w:lang w:eastAsia="zh-CN"/>
              </w:rPr>
              <w:t>国资委</w:t>
            </w:r>
          </w:p>
        </w:tc>
      </w:tr>
      <w:tr>
        <w:tblPrEx>
          <w:tblLayout w:type="fixed"/>
          <w:tblCellMar>
            <w:top w:w="0" w:type="dxa"/>
            <w:left w:w="0" w:type="dxa"/>
            <w:bottom w:w="0" w:type="dxa"/>
            <w:right w:w="0" w:type="dxa"/>
          </w:tblCellMar>
        </w:tblPrEx>
        <w:trPr>
          <w:trHeight w:val="548" w:hRule="exact"/>
        </w:trPr>
        <w:tc>
          <w:tcPr>
            <w:tcW w:w="2573"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通讯地址</w:t>
            </w:r>
          </w:p>
        </w:tc>
        <w:tc>
          <w:tcPr>
            <w:tcW w:w="5725"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南京市建邺路100号</w:t>
            </w:r>
          </w:p>
        </w:tc>
      </w:tr>
      <w:tr>
        <w:tblPrEx>
          <w:tblLayout w:type="fixed"/>
          <w:tblCellMar>
            <w:top w:w="0" w:type="dxa"/>
            <w:left w:w="0" w:type="dxa"/>
            <w:bottom w:w="0" w:type="dxa"/>
            <w:right w:w="0" w:type="dxa"/>
          </w:tblCellMar>
        </w:tblPrEx>
        <w:trPr>
          <w:trHeight w:val="595" w:hRule="exact"/>
        </w:trPr>
        <w:tc>
          <w:tcPr>
            <w:tcW w:w="2573"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联系方式</w:t>
            </w:r>
          </w:p>
        </w:tc>
        <w:tc>
          <w:tcPr>
            <w:tcW w:w="5725"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025-84468888</w:t>
            </w:r>
          </w:p>
        </w:tc>
      </w:tr>
    </w:tbl>
    <w:p>
      <w:pPr>
        <w:spacing w:before="8"/>
        <w:rPr>
          <w:rFonts w:hint="eastAsia" w:asciiTheme="minorEastAsia" w:hAnsiTheme="minorEastAsia" w:eastAsiaTheme="minorEastAsia" w:cstheme="minorEastAsia"/>
          <w:b/>
          <w:bCs/>
          <w:sz w:val="24"/>
          <w:szCs w:val="24"/>
        </w:rPr>
      </w:pPr>
    </w:p>
    <w:p>
      <w:pPr>
        <w:spacing w:line="560" w:lineRule="exact"/>
        <w:ind w:firstLine="482" w:firstLineChars="200"/>
        <w:rPr>
          <w:rFonts w:hint="eastAsia" w:asciiTheme="minorEastAsia" w:hAnsiTheme="minorEastAsia" w:eastAsiaTheme="minorEastAsia" w:cstheme="minorEastAsia"/>
          <w:b/>
          <w:bCs/>
          <w:color w:val="000000"/>
          <w:sz w:val="24"/>
          <w:szCs w:val="24"/>
        </w:rPr>
      </w:pPr>
    </w:p>
    <w:p>
      <w:pPr>
        <w:spacing w:line="560" w:lineRule="exact"/>
        <w:ind w:firstLine="482" w:firstLineChars="200"/>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（二）受让方：苏豪投资</w:t>
      </w:r>
    </w:p>
    <w:p>
      <w:pPr>
        <w:rPr>
          <w:rFonts w:hint="eastAsia" w:asciiTheme="minorEastAsia" w:hAnsiTheme="minorEastAsia" w:eastAsiaTheme="minorEastAsia" w:cstheme="minorEastAsia"/>
          <w:b/>
          <w:bCs/>
          <w:sz w:val="24"/>
          <w:szCs w:val="24"/>
        </w:rPr>
      </w:pPr>
    </w:p>
    <w:tbl>
      <w:tblPr>
        <w:tblStyle w:val="12"/>
        <w:tblW w:w="8779" w:type="dxa"/>
        <w:jc w:val="center"/>
        <w:tblInd w:w="0" w:type="dxa"/>
        <w:tblLayout w:type="fixed"/>
        <w:tblCellMar>
          <w:top w:w="0" w:type="dxa"/>
          <w:left w:w="0" w:type="dxa"/>
          <w:bottom w:w="0" w:type="dxa"/>
          <w:right w:w="0" w:type="dxa"/>
        </w:tblCellMar>
      </w:tblPr>
      <w:tblGrid>
        <w:gridCol w:w="2720"/>
        <w:gridCol w:w="6059"/>
      </w:tblGrid>
      <w:tr>
        <w:tblPrEx>
          <w:tblLayout w:type="fixed"/>
          <w:tblCellMar>
            <w:top w:w="0" w:type="dxa"/>
            <w:left w:w="0" w:type="dxa"/>
            <w:bottom w:w="0" w:type="dxa"/>
            <w:right w:w="0" w:type="dxa"/>
          </w:tblCellMar>
        </w:tblPrEx>
        <w:trPr>
          <w:trHeight w:val="528" w:hRule="exact"/>
          <w:jc w:val="center"/>
        </w:trPr>
        <w:tc>
          <w:tcPr>
            <w:tcW w:w="2720"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名称</w:t>
            </w:r>
          </w:p>
        </w:tc>
        <w:tc>
          <w:tcPr>
            <w:tcW w:w="6059"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江苏苏豪投资集团有限公司</w:t>
            </w:r>
          </w:p>
        </w:tc>
      </w:tr>
      <w:tr>
        <w:tblPrEx>
          <w:tblLayout w:type="fixed"/>
          <w:tblCellMar>
            <w:top w:w="0" w:type="dxa"/>
            <w:left w:w="0" w:type="dxa"/>
            <w:bottom w:w="0" w:type="dxa"/>
            <w:right w:w="0" w:type="dxa"/>
          </w:tblCellMar>
        </w:tblPrEx>
        <w:trPr>
          <w:trHeight w:val="529" w:hRule="exact"/>
          <w:jc w:val="center"/>
        </w:trPr>
        <w:tc>
          <w:tcPr>
            <w:tcW w:w="2720"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注册地址</w:t>
            </w:r>
          </w:p>
        </w:tc>
        <w:tc>
          <w:tcPr>
            <w:tcW w:w="6059"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南京市软件大道48号</w:t>
            </w:r>
          </w:p>
        </w:tc>
      </w:tr>
      <w:tr>
        <w:tblPrEx>
          <w:tblLayout w:type="fixed"/>
          <w:tblCellMar>
            <w:top w:w="0" w:type="dxa"/>
            <w:left w:w="0" w:type="dxa"/>
            <w:bottom w:w="0" w:type="dxa"/>
            <w:right w:w="0" w:type="dxa"/>
          </w:tblCellMar>
        </w:tblPrEx>
        <w:trPr>
          <w:trHeight w:val="528" w:hRule="exact"/>
          <w:jc w:val="center"/>
        </w:trPr>
        <w:tc>
          <w:tcPr>
            <w:tcW w:w="2720"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主要负责人</w:t>
            </w:r>
          </w:p>
        </w:tc>
        <w:tc>
          <w:tcPr>
            <w:tcW w:w="6059"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薛炳海</w:t>
            </w:r>
          </w:p>
        </w:tc>
      </w:tr>
      <w:tr>
        <w:tblPrEx>
          <w:tblLayout w:type="fixed"/>
          <w:tblCellMar>
            <w:top w:w="0" w:type="dxa"/>
            <w:left w:w="0" w:type="dxa"/>
            <w:bottom w:w="0" w:type="dxa"/>
            <w:right w:w="0" w:type="dxa"/>
          </w:tblCellMar>
        </w:tblPrEx>
        <w:trPr>
          <w:trHeight w:val="468" w:hRule="exact"/>
          <w:jc w:val="center"/>
        </w:trPr>
        <w:tc>
          <w:tcPr>
            <w:tcW w:w="2720"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注册资本/法定股本</w:t>
            </w:r>
          </w:p>
        </w:tc>
        <w:tc>
          <w:tcPr>
            <w:tcW w:w="6059"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人民币155,000万元</w:t>
            </w:r>
          </w:p>
        </w:tc>
      </w:tr>
      <w:tr>
        <w:tblPrEx>
          <w:tblLayout w:type="fixed"/>
          <w:tblCellMar>
            <w:top w:w="0" w:type="dxa"/>
            <w:left w:w="0" w:type="dxa"/>
            <w:bottom w:w="0" w:type="dxa"/>
            <w:right w:w="0" w:type="dxa"/>
          </w:tblCellMar>
        </w:tblPrEx>
        <w:trPr>
          <w:trHeight w:val="609" w:hRule="exact"/>
          <w:jc w:val="center"/>
        </w:trPr>
        <w:tc>
          <w:tcPr>
            <w:tcW w:w="2720"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统一社会信用代码</w:t>
            </w:r>
          </w:p>
        </w:tc>
        <w:tc>
          <w:tcPr>
            <w:tcW w:w="6059"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91320000714086627D</w:t>
            </w:r>
          </w:p>
        </w:tc>
      </w:tr>
      <w:tr>
        <w:tblPrEx>
          <w:tblLayout w:type="fixed"/>
          <w:tblCellMar>
            <w:top w:w="0" w:type="dxa"/>
            <w:left w:w="0" w:type="dxa"/>
            <w:bottom w:w="0" w:type="dxa"/>
            <w:right w:w="0" w:type="dxa"/>
          </w:tblCellMar>
        </w:tblPrEx>
        <w:trPr>
          <w:trHeight w:val="731" w:hRule="exact"/>
          <w:jc w:val="center"/>
        </w:trPr>
        <w:tc>
          <w:tcPr>
            <w:tcW w:w="2720"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企业类型</w:t>
            </w:r>
          </w:p>
        </w:tc>
        <w:tc>
          <w:tcPr>
            <w:tcW w:w="6059"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有限责任公司（非自然人投资或控股的法人独资）</w:t>
            </w:r>
          </w:p>
        </w:tc>
      </w:tr>
      <w:tr>
        <w:tblPrEx>
          <w:tblLayout w:type="fixed"/>
          <w:tblCellMar>
            <w:top w:w="0" w:type="dxa"/>
            <w:left w:w="0" w:type="dxa"/>
            <w:bottom w:w="0" w:type="dxa"/>
            <w:right w:w="0" w:type="dxa"/>
          </w:tblCellMar>
        </w:tblPrEx>
        <w:trPr>
          <w:trHeight w:val="2454" w:hRule="exact"/>
          <w:jc w:val="center"/>
        </w:trPr>
        <w:tc>
          <w:tcPr>
            <w:tcW w:w="2720"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主要经营范围</w:t>
            </w:r>
          </w:p>
        </w:tc>
        <w:tc>
          <w:tcPr>
            <w:tcW w:w="6059"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实业投资、管理，资产委托管理，企业改制、资产重组策划，投资咨询，科技信息服务，国内贸易，自营和代理各类商品和技术的进出口。（依法须经批准的项目,经相关部门批准后方可开展经营活动）</w:t>
            </w:r>
          </w:p>
        </w:tc>
      </w:tr>
      <w:tr>
        <w:tblPrEx>
          <w:tblLayout w:type="fixed"/>
          <w:tblCellMar>
            <w:top w:w="0" w:type="dxa"/>
            <w:left w:w="0" w:type="dxa"/>
            <w:bottom w:w="0" w:type="dxa"/>
            <w:right w:w="0" w:type="dxa"/>
          </w:tblCellMar>
        </w:tblPrEx>
        <w:trPr>
          <w:trHeight w:val="527" w:hRule="exact"/>
          <w:jc w:val="center"/>
        </w:trPr>
        <w:tc>
          <w:tcPr>
            <w:tcW w:w="2720"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经营期限</w:t>
            </w:r>
          </w:p>
        </w:tc>
        <w:tc>
          <w:tcPr>
            <w:tcW w:w="6059"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1999年5月6日至无固定期限</w:t>
            </w:r>
          </w:p>
        </w:tc>
      </w:tr>
      <w:tr>
        <w:tblPrEx>
          <w:tblLayout w:type="fixed"/>
          <w:tblCellMar>
            <w:top w:w="0" w:type="dxa"/>
            <w:left w:w="0" w:type="dxa"/>
            <w:bottom w:w="0" w:type="dxa"/>
            <w:right w:w="0" w:type="dxa"/>
          </w:tblCellMar>
        </w:tblPrEx>
        <w:trPr>
          <w:trHeight w:val="610" w:hRule="exact"/>
          <w:jc w:val="center"/>
        </w:trPr>
        <w:tc>
          <w:tcPr>
            <w:tcW w:w="2720"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股东名称</w:t>
            </w:r>
          </w:p>
        </w:tc>
        <w:tc>
          <w:tcPr>
            <w:tcW w:w="6059"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江苏省苏豪控股集团有限公司（持股 100%）</w:t>
            </w:r>
          </w:p>
        </w:tc>
      </w:tr>
      <w:tr>
        <w:tblPrEx>
          <w:tblLayout w:type="fixed"/>
          <w:tblCellMar>
            <w:top w:w="0" w:type="dxa"/>
            <w:left w:w="0" w:type="dxa"/>
            <w:bottom w:w="0" w:type="dxa"/>
            <w:right w:w="0" w:type="dxa"/>
          </w:tblCellMar>
        </w:tblPrEx>
        <w:trPr>
          <w:trHeight w:val="609" w:hRule="exact"/>
          <w:jc w:val="center"/>
        </w:trPr>
        <w:tc>
          <w:tcPr>
            <w:tcW w:w="2720"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实际控制人</w:t>
            </w:r>
          </w:p>
        </w:tc>
        <w:tc>
          <w:tcPr>
            <w:tcW w:w="6059"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sz w:val="24"/>
                <w:szCs w:val="24"/>
              </w:rPr>
              <w:t>江苏省</w:t>
            </w:r>
            <w:r>
              <w:rPr>
                <w:rFonts w:hint="eastAsia" w:asciiTheme="minorEastAsia" w:hAnsiTheme="minorEastAsia" w:eastAsiaTheme="minorEastAsia" w:cstheme="minorEastAsia"/>
                <w:sz w:val="24"/>
                <w:szCs w:val="24"/>
                <w:lang w:eastAsia="zh-CN"/>
              </w:rPr>
              <w:t>国资委</w:t>
            </w:r>
          </w:p>
        </w:tc>
      </w:tr>
      <w:tr>
        <w:tblPrEx>
          <w:tblLayout w:type="fixed"/>
          <w:tblCellMar>
            <w:top w:w="0" w:type="dxa"/>
            <w:left w:w="0" w:type="dxa"/>
            <w:bottom w:w="0" w:type="dxa"/>
            <w:right w:w="0" w:type="dxa"/>
          </w:tblCellMar>
        </w:tblPrEx>
        <w:trPr>
          <w:trHeight w:val="669" w:hRule="exact"/>
          <w:jc w:val="center"/>
        </w:trPr>
        <w:tc>
          <w:tcPr>
            <w:tcW w:w="2720"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通讯地址</w:t>
            </w:r>
          </w:p>
        </w:tc>
        <w:tc>
          <w:tcPr>
            <w:tcW w:w="6059"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南京市软件大道48号</w:t>
            </w:r>
          </w:p>
        </w:tc>
      </w:tr>
      <w:tr>
        <w:tblPrEx>
          <w:tblLayout w:type="fixed"/>
          <w:tblCellMar>
            <w:top w:w="0" w:type="dxa"/>
            <w:left w:w="0" w:type="dxa"/>
            <w:bottom w:w="0" w:type="dxa"/>
            <w:right w:w="0" w:type="dxa"/>
          </w:tblCellMar>
        </w:tblPrEx>
        <w:trPr>
          <w:trHeight w:val="609" w:hRule="exact"/>
          <w:jc w:val="center"/>
        </w:trPr>
        <w:tc>
          <w:tcPr>
            <w:tcW w:w="2720"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联系方式</w:t>
            </w:r>
          </w:p>
        </w:tc>
        <w:tc>
          <w:tcPr>
            <w:tcW w:w="6059" w:type="dxa"/>
            <w:tcBorders>
              <w:top w:val="single" w:color="000000" w:sz="4" w:space="0"/>
              <w:left w:val="single" w:color="000000" w:sz="4" w:space="0"/>
              <w:bottom w:val="single" w:color="000000" w:sz="4" w:space="0"/>
              <w:right w:val="single" w:color="000000" w:sz="4" w:space="0"/>
            </w:tcBorders>
            <w:vAlign w:val="center"/>
          </w:tcPr>
          <w:p>
            <w:pPr>
              <w:pStyle w:val="24"/>
              <w:spacing w:line="440" w:lineRule="exac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025-84784456</w:t>
            </w:r>
          </w:p>
        </w:tc>
      </w:tr>
    </w:tbl>
    <w:p>
      <w:pPr>
        <w:tabs>
          <w:tab w:val="left" w:pos="0"/>
        </w:tabs>
        <w:autoSpaceDE w:val="0"/>
        <w:autoSpaceDN w:val="0"/>
        <w:adjustRightInd w:val="0"/>
        <w:snapToGrid w:val="0"/>
        <w:spacing w:line="560" w:lineRule="exact"/>
        <w:ind w:firstLine="482" w:firstLineChars="200"/>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三、《股份转让协议》的主要内容</w:t>
      </w:r>
    </w:p>
    <w:p>
      <w:pPr>
        <w:tabs>
          <w:tab w:val="left" w:pos="0"/>
        </w:tabs>
        <w:autoSpaceDE w:val="0"/>
        <w:autoSpaceDN w:val="0"/>
        <w:adjustRightInd w:val="0"/>
        <w:snapToGrid w:val="0"/>
        <w:spacing w:line="560" w:lineRule="exact"/>
        <w:ind w:firstLine="482" w:firstLineChars="200"/>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（一）本次权益变动的当事人</w:t>
      </w:r>
    </w:p>
    <w:p>
      <w:pPr>
        <w:pStyle w:val="5"/>
        <w:spacing w:before="0" w:line="560" w:lineRule="exact"/>
        <w:ind w:left="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1、转让方：</w:t>
      </w:r>
      <w:r>
        <w:rPr>
          <w:rFonts w:hint="eastAsia" w:asciiTheme="minorEastAsia" w:hAnsiTheme="minorEastAsia" w:eastAsiaTheme="minorEastAsia" w:cstheme="minorEastAsia"/>
          <w:color w:val="000000"/>
          <w:sz w:val="24"/>
          <w:szCs w:val="24"/>
        </w:rPr>
        <w:t>汇鸿中锦</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color w:val="000000"/>
          <w:sz w:val="24"/>
          <w:szCs w:val="24"/>
        </w:rPr>
        <w:t>汇鸿中鼎</w:t>
      </w:r>
    </w:p>
    <w:p>
      <w:pPr>
        <w:pStyle w:val="5"/>
        <w:spacing w:before="0" w:line="560" w:lineRule="exact"/>
        <w:ind w:left="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2、受让方：</w:t>
      </w:r>
      <w:r>
        <w:rPr>
          <w:rFonts w:hint="eastAsia" w:asciiTheme="minorEastAsia" w:hAnsiTheme="minorEastAsia" w:eastAsiaTheme="minorEastAsia" w:cstheme="minorEastAsia"/>
          <w:color w:val="000000"/>
          <w:sz w:val="24"/>
          <w:szCs w:val="24"/>
        </w:rPr>
        <w:t>苏豪投资</w:t>
      </w:r>
    </w:p>
    <w:p>
      <w:pPr>
        <w:tabs>
          <w:tab w:val="left" w:pos="0"/>
        </w:tabs>
        <w:autoSpaceDE w:val="0"/>
        <w:autoSpaceDN w:val="0"/>
        <w:adjustRightInd w:val="0"/>
        <w:snapToGrid w:val="0"/>
        <w:spacing w:line="560" w:lineRule="exact"/>
        <w:ind w:firstLine="482" w:firstLineChars="200"/>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（二）权益变动的数量及比例</w:t>
      </w:r>
    </w:p>
    <w:p>
      <w:pPr>
        <w:tabs>
          <w:tab w:val="left" w:pos="0"/>
        </w:tabs>
        <w:autoSpaceDE w:val="0"/>
        <w:autoSpaceDN w:val="0"/>
        <w:adjustRightInd w:val="0"/>
        <w:snapToGrid w:val="0"/>
        <w:spacing w:line="560" w:lineRule="exact"/>
        <w:ind w:firstLine="482" w:firstLineChars="200"/>
        <w:rPr>
          <w:rFonts w:hint="eastAsia" w:asciiTheme="minorEastAsia" w:hAnsiTheme="minorEastAsia" w:eastAsiaTheme="minorEastAsia" w:cstheme="minorEastAsia"/>
          <w:b/>
          <w:color w:val="000000"/>
          <w:kern w:val="0"/>
          <w:sz w:val="24"/>
          <w:szCs w:val="24"/>
        </w:rPr>
        <w:sectPr>
          <w:pgSz w:w="11910" w:h="16840"/>
          <w:pgMar w:top="1340" w:right="1680" w:bottom="1400" w:left="1680" w:header="0" w:footer="1218" w:gutter="0"/>
          <w:cols w:space="720" w:num="1"/>
        </w:sectPr>
      </w:pPr>
    </w:p>
    <w:p>
      <w:pPr>
        <w:pStyle w:val="5"/>
        <w:spacing w:before="0" w:line="560" w:lineRule="exact"/>
        <w:ind w:left="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本次股份转让的两家转让方（</w:t>
      </w:r>
      <w:r>
        <w:rPr>
          <w:rFonts w:hint="eastAsia" w:asciiTheme="minorEastAsia" w:hAnsiTheme="minorEastAsia" w:eastAsiaTheme="minorEastAsia" w:cstheme="minorEastAsia"/>
          <w:color w:val="000000"/>
          <w:sz w:val="24"/>
          <w:szCs w:val="24"/>
        </w:rPr>
        <w:t>汇鸿中锦</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color w:val="000000"/>
          <w:sz w:val="24"/>
          <w:szCs w:val="24"/>
        </w:rPr>
        <w:t>汇鸿中鼎</w:t>
      </w:r>
      <w:r>
        <w:rPr>
          <w:rFonts w:hint="eastAsia" w:asciiTheme="minorEastAsia" w:hAnsiTheme="minorEastAsia" w:eastAsiaTheme="minorEastAsia" w:cstheme="minorEastAsia"/>
          <w:sz w:val="24"/>
          <w:szCs w:val="24"/>
        </w:rPr>
        <w:t>）将分别向受让方（</w:t>
      </w:r>
      <w:r>
        <w:rPr>
          <w:rFonts w:hint="eastAsia" w:asciiTheme="minorEastAsia" w:hAnsiTheme="minorEastAsia" w:eastAsiaTheme="minorEastAsia" w:cstheme="minorEastAsia"/>
          <w:color w:val="000000"/>
          <w:sz w:val="24"/>
          <w:szCs w:val="24"/>
        </w:rPr>
        <w:t>苏豪投资</w:t>
      </w:r>
      <w:r>
        <w:rPr>
          <w:rFonts w:hint="eastAsia" w:asciiTheme="minorEastAsia" w:hAnsiTheme="minorEastAsia" w:eastAsiaTheme="minorEastAsia" w:cstheme="minorEastAsia"/>
          <w:sz w:val="24"/>
          <w:szCs w:val="24"/>
        </w:rPr>
        <w:t xml:space="preserve">）出售， </w:t>
      </w:r>
      <w:r>
        <w:rPr>
          <w:rFonts w:hint="eastAsia" w:asciiTheme="minorEastAsia" w:hAnsiTheme="minorEastAsia" w:eastAsiaTheme="minorEastAsia" w:cstheme="minorEastAsia"/>
          <w:spacing w:val="33"/>
          <w:sz w:val="24"/>
          <w:szCs w:val="24"/>
        </w:rPr>
        <w:t>且受让方将分别向</w:t>
      </w:r>
      <w:r>
        <w:rPr>
          <w:rFonts w:hint="eastAsia" w:asciiTheme="minorEastAsia" w:hAnsiTheme="minorEastAsia" w:eastAsiaTheme="minorEastAsia" w:cstheme="minorEastAsia"/>
          <w:spacing w:val="-83"/>
          <w:sz w:val="24"/>
          <w:szCs w:val="24"/>
        </w:rPr>
        <w:t xml:space="preserve"> </w:t>
      </w:r>
      <w:r>
        <w:rPr>
          <w:rFonts w:hint="eastAsia" w:asciiTheme="minorEastAsia" w:hAnsiTheme="minorEastAsia" w:eastAsiaTheme="minorEastAsia" w:cstheme="minorEastAsia"/>
          <w:spacing w:val="33"/>
          <w:sz w:val="24"/>
          <w:szCs w:val="24"/>
        </w:rPr>
        <w:t>两家转让方购买转</w:t>
      </w:r>
      <w:r>
        <w:rPr>
          <w:rFonts w:hint="eastAsia" w:asciiTheme="minorEastAsia" w:hAnsiTheme="minorEastAsia" w:eastAsiaTheme="minorEastAsia" w:cstheme="minorEastAsia"/>
          <w:spacing w:val="-83"/>
          <w:sz w:val="24"/>
          <w:szCs w:val="24"/>
        </w:rPr>
        <w:t xml:space="preserve"> </w:t>
      </w:r>
      <w:r>
        <w:rPr>
          <w:rFonts w:hint="eastAsia" w:asciiTheme="minorEastAsia" w:hAnsiTheme="minorEastAsia" w:eastAsiaTheme="minorEastAsia" w:cstheme="minorEastAsia"/>
          <w:spacing w:val="33"/>
          <w:sz w:val="24"/>
          <w:szCs w:val="24"/>
        </w:rPr>
        <w:t>让方持有的本行</w:t>
      </w:r>
      <w:r>
        <w:rPr>
          <w:rFonts w:hint="eastAsia" w:asciiTheme="minorEastAsia" w:hAnsiTheme="minorEastAsia" w:eastAsiaTheme="minorEastAsia" w:cstheme="minorEastAsia"/>
          <w:spacing w:val="31"/>
          <w:sz w:val="24"/>
          <w:szCs w:val="24"/>
        </w:rPr>
        <w:t>股份</w:t>
      </w:r>
      <w:r>
        <w:rPr>
          <w:rFonts w:hint="eastAsia" w:asciiTheme="minorEastAsia" w:hAnsiTheme="minorEastAsia" w:eastAsiaTheme="minorEastAsia" w:cstheme="minorEastAsia"/>
          <w:sz w:val="24"/>
          <w:szCs w:val="24"/>
        </w:rPr>
        <w:t>28,201,608 股和28,201,608</w:t>
      </w:r>
      <w:r>
        <w:rPr>
          <w:rFonts w:hint="eastAsia" w:asciiTheme="minorEastAsia" w:hAnsiTheme="minorEastAsia" w:eastAsiaTheme="minorEastAsia" w:cstheme="minorEastAsia"/>
          <w:spacing w:val="-4"/>
          <w:sz w:val="24"/>
          <w:szCs w:val="24"/>
        </w:rPr>
        <w:t>股（各占本行总</w:t>
      </w:r>
      <w:r>
        <w:rPr>
          <w:rFonts w:hint="eastAsia" w:asciiTheme="minorEastAsia" w:hAnsiTheme="minorEastAsia" w:eastAsiaTheme="minorEastAsia" w:cstheme="minorEastAsia"/>
          <w:sz w:val="24"/>
          <w:szCs w:val="24"/>
        </w:rPr>
        <w:t>股份的0.77%</w:t>
      </w:r>
      <w:r>
        <w:rPr>
          <w:rFonts w:hint="eastAsia" w:asciiTheme="minorEastAsia" w:hAnsiTheme="minorEastAsia" w:eastAsiaTheme="minorEastAsia" w:cstheme="minorEastAsia"/>
          <w:spacing w:val="-8"/>
          <w:sz w:val="24"/>
          <w:szCs w:val="24"/>
        </w:rPr>
        <w:t>、0.77%），合计</w:t>
      </w:r>
      <w:r>
        <w:rPr>
          <w:rFonts w:hint="eastAsia" w:asciiTheme="minorEastAsia" w:hAnsiTheme="minorEastAsia" w:eastAsiaTheme="minorEastAsia" w:cstheme="minorEastAsia"/>
          <w:spacing w:val="-46"/>
          <w:sz w:val="24"/>
          <w:szCs w:val="24"/>
        </w:rPr>
        <w:t xml:space="preserve"> </w:t>
      </w:r>
      <w:r>
        <w:rPr>
          <w:rFonts w:hint="eastAsia" w:asciiTheme="minorEastAsia" w:hAnsiTheme="minorEastAsia" w:eastAsiaTheme="minorEastAsia" w:cstheme="minorEastAsia"/>
          <w:sz w:val="24"/>
          <w:szCs w:val="24"/>
        </w:rPr>
        <w:t>56,403,216股（占本行总股份的1.54%）</w:t>
      </w:r>
      <w:r>
        <w:rPr>
          <w:rFonts w:hint="eastAsia" w:asciiTheme="minorEastAsia" w:hAnsiTheme="minorEastAsia" w:eastAsiaTheme="minorEastAsia" w:cstheme="minorEastAsia"/>
          <w:spacing w:val="-35"/>
          <w:sz w:val="24"/>
          <w:szCs w:val="24"/>
        </w:rPr>
        <w:t>。</w:t>
      </w:r>
    </w:p>
    <w:p>
      <w:pPr>
        <w:spacing w:line="560" w:lineRule="exact"/>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（三）转让价款</w:t>
      </w:r>
    </w:p>
    <w:p>
      <w:pPr>
        <w:pStyle w:val="5"/>
        <w:spacing w:before="0" w:line="560" w:lineRule="exact"/>
        <w:ind w:left="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经各方协商并达成一致，本次权益变动的每股价格为</w:t>
      </w:r>
      <w:r>
        <w:rPr>
          <w:rFonts w:hint="eastAsia" w:asciiTheme="minorEastAsia" w:hAnsiTheme="minorEastAsia" w:eastAsiaTheme="minorEastAsia" w:cstheme="minorEastAsia"/>
          <w:spacing w:val="-50"/>
          <w:sz w:val="24"/>
          <w:szCs w:val="24"/>
        </w:rPr>
        <w:t xml:space="preserve"> </w:t>
      </w:r>
      <w:r>
        <w:rPr>
          <w:rFonts w:hint="eastAsia" w:asciiTheme="minorEastAsia" w:hAnsiTheme="minorEastAsia" w:eastAsiaTheme="minorEastAsia" w:cstheme="minorEastAsia"/>
          <w:sz w:val="24"/>
          <w:szCs w:val="24"/>
        </w:rPr>
        <w:t>2.60元/股，满足</w:t>
      </w:r>
      <w:r>
        <w:rPr>
          <w:rFonts w:hint="eastAsia" w:asciiTheme="minorEastAsia" w:hAnsiTheme="minorEastAsia" w:eastAsiaTheme="minorEastAsia" w:cstheme="minorEastAsia"/>
          <w:color w:val="000000"/>
          <w:sz w:val="24"/>
          <w:szCs w:val="24"/>
        </w:rPr>
        <w:t>上交所</w:t>
      </w:r>
      <w:r>
        <w:rPr>
          <w:rFonts w:hint="eastAsia" w:asciiTheme="minorEastAsia" w:hAnsiTheme="minorEastAsia" w:eastAsiaTheme="minorEastAsia" w:cstheme="minorEastAsia"/>
          <w:spacing w:val="-3"/>
          <w:sz w:val="24"/>
          <w:szCs w:val="24"/>
        </w:rPr>
        <w:t>对协议转让方式的价格下限要求，即不低于《股份转让协议》签署</w:t>
      </w:r>
      <w:r>
        <w:rPr>
          <w:rFonts w:hint="eastAsia" w:asciiTheme="minorEastAsia" w:hAnsiTheme="minorEastAsia" w:eastAsiaTheme="minorEastAsia" w:cstheme="minorEastAsia"/>
          <w:spacing w:val="-111"/>
          <w:sz w:val="24"/>
          <w:szCs w:val="24"/>
        </w:rPr>
        <w:t xml:space="preserve"> </w:t>
      </w:r>
      <w:r>
        <w:rPr>
          <w:rFonts w:hint="eastAsia" w:asciiTheme="minorEastAsia" w:hAnsiTheme="minorEastAsia" w:eastAsiaTheme="minorEastAsia" w:cstheme="minorEastAsia"/>
          <w:sz w:val="24"/>
          <w:szCs w:val="24"/>
        </w:rPr>
        <w:t>日前一日收盘价的</w:t>
      </w:r>
      <w:r>
        <w:rPr>
          <w:rFonts w:hint="eastAsia" w:asciiTheme="minorEastAsia" w:hAnsiTheme="minorEastAsia" w:eastAsiaTheme="minorEastAsia" w:cstheme="minorEastAsia"/>
          <w:spacing w:val="-3"/>
          <w:sz w:val="24"/>
          <w:szCs w:val="24"/>
        </w:rPr>
        <w:t>90%。</w:t>
      </w:r>
    </w:p>
    <w:p>
      <w:pPr>
        <w:pStyle w:val="5"/>
        <w:spacing w:before="0" w:line="560" w:lineRule="exact"/>
        <w:ind w:left="0" w:firstLine="46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5"/>
          <w:sz w:val="24"/>
          <w:szCs w:val="24"/>
        </w:rPr>
        <w:t>各方同意，受让方购买各转让方所持本行股份的每股价格为人民币</w:t>
      </w:r>
      <w:r>
        <w:rPr>
          <w:rFonts w:hint="eastAsia" w:asciiTheme="minorEastAsia" w:hAnsiTheme="minorEastAsia" w:eastAsiaTheme="minorEastAsia" w:cstheme="minorEastAsia"/>
          <w:spacing w:val="-50"/>
          <w:sz w:val="24"/>
          <w:szCs w:val="24"/>
        </w:rPr>
        <w:t xml:space="preserve"> </w:t>
      </w:r>
      <w:r>
        <w:rPr>
          <w:rFonts w:hint="eastAsia" w:asciiTheme="minorEastAsia" w:hAnsiTheme="minorEastAsia" w:eastAsiaTheme="minorEastAsia" w:cstheme="minorEastAsia"/>
          <w:sz w:val="24"/>
          <w:szCs w:val="24"/>
        </w:rPr>
        <w:t>2.60元</w:t>
      </w:r>
      <w:r>
        <w:rPr>
          <w:rFonts w:hint="eastAsia" w:asciiTheme="minorEastAsia" w:hAnsiTheme="minorEastAsia" w:eastAsiaTheme="minorEastAsia" w:cstheme="minorEastAsia"/>
          <w:spacing w:val="-3"/>
          <w:sz w:val="24"/>
          <w:szCs w:val="24"/>
        </w:rPr>
        <w:t>/股，本次股份转让价款总额为人民币</w:t>
      </w:r>
      <w:r>
        <w:rPr>
          <w:rFonts w:hint="eastAsia" w:asciiTheme="minorEastAsia" w:hAnsiTheme="minorEastAsia" w:eastAsiaTheme="minorEastAsia" w:cstheme="minorEastAsia"/>
          <w:sz w:val="24"/>
          <w:szCs w:val="24"/>
        </w:rPr>
        <w:t>146,648,361.60</w:t>
      </w:r>
      <w:r>
        <w:rPr>
          <w:rFonts w:hint="eastAsia" w:asciiTheme="minorEastAsia" w:hAnsiTheme="minorEastAsia" w:eastAsiaTheme="minorEastAsia" w:cstheme="minorEastAsia"/>
          <w:spacing w:val="-5"/>
          <w:sz w:val="24"/>
          <w:szCs w:val="24"/>
        </w:rPr>
        <w:t>元，其中</w:t>
      </w:r>
      <w:r>
        <w:rPr>
          <w:rFonts w:hint="eastAsia" w:asciiTheme="minorEastAsia" w:hAnsiTheme="minorEastAsia" w:eastAsiaTheme="minorEastAsia" w:cstheme="minorEastAsia"/>
          <w:color w:val="000000"/>
          <w:sz w:val="24"/>
          <w:szCs w:val="24"/>
        </w:rPr>
        <w:t>苏豪投资</w:t>
      </w:r>
      <w:r>
        <w:rPr>
          <w:rFonts w:hint="eastAsia" w:asciiTheme="minorEastAsia" w:hAnsiTheme="minorEastAsia" w:eastAsiaTheme="minorEastAsia" w:cstheme="minorEastAsia"/>
          <w:spacing w:val="-5"/>
          <w:sz w:val="24"/>
          <w:szCs w:val="24"/>
        </w:rPr>
        <w:t>向转</w:t>
      </w:r>
      <w:r>
        <w:rPr>
          <w:rFonts w:hint="eastAsia" w:asciiTheme="minorEastAsia" w:hAnsiTheme="minorEastAsia" w:eastAsiaTheme="minorEastAsia" w:cstheme="minorEastAsia"/>
          <w:spacing w:val="-118"/>
          <w:sz w:val="24"/>
          <w:szCs w:val="24"/>
        </w:rPr>
        <w:t xml:space="preserve"> </w:t>
      </w:r>
      <w:r>
        <w:rPr>
          <w:rFonts w:hint="eastAsia" w:asciiTheme="minorEastAsia" w:hAnsiTheme="minorEastAsia" w:eastAsiaTheme="minorEastAsia" w:cstheme="minorEastAsia"/>
          <w:spacing w:val="28"/>
          <w:sz w:val="24"/>
          <w:szCs w:val="24"/>
        </w:rPr>
        <w:t>让方</w:t>
      </w:r>
      <w:r>
        <w:rPr>
          <w:rFonts w:hint="eastAsia" w:asciiTheme="minorEastAsia" w:hAnsiTheme="minorEastAsia" w:eastAsiaTheme="minorEastAsia" w:cstheme="minorEastAsia"/>
          <w:color w:val="000000"/>
          <w:sz w:val="24"/>
          <w:szCs w:val="24"/>
        </w:rPr>
        <w:t>汇鸿中锦</w:t>
      </w:r>
      <w:r>
        <w:rPr>
          <w:rFonts w:hint="eastAsia" w:asciiTheme="minorEastAsia" w:hAnsiTheme="minorEastAsia" w:eastAsiaTheme="minorEastAsia" w:cstheme="minorEastAsia"/>
          <w:spacing w:val="28"/>
          <w:sz w:val="24"/>
          <w:szCs w:val="24"/>
        </w:rPr>
        <w:t>、</w:t>
      </w:r>
      <w:r>
        <w:rPr>
          <w:rFonts w:hint="eastAsia" w:asciiTheme="minorEastAsia" w:hAnsiTheme="minorEastAsia" w:eastAsiaTheme="minorEastAsia" w:cstheme="minorEastAsia"/>
          <w:color w:val="000000"/>
          <w:sz w:val="24"/>
          <w:szCs w:val="24"/>
        </w:rPr>
        <w:t>汇鸿中鼎</w:t>
      </w:r>
      <w:r>
        <w:rPr>
          <w:rFonts w:hint="eastAsia" w:asciiTheme="minorEastAsia" w:hAnsiTheme="minorEastAsia" w:eastAsiaTheme="minorEastAsia" w:cstheme="minorEastAsia"/>
          <w:spacing w:val="28"/>
          <w:sz w:val="24"/>
          <w:szCs w:val="24"/>
        </w:rPr>
        <w:t>支付的价款分别为</w:t>
      </w:r>
      <w:r>
        <w:rPr>
          <w:rFonts w:hint="eastAsia" w:asciiTheme="minorEastAsia" w:hAnsiTheme="minorEastAsia" w:eastAsiaTheme="minorEastAsia" w:cstheme="minorEastAsia"/>
          <w:spacing w:val="27"/>
          <w:sz w:val="24"/>
          <w:szCs w:val="24"/>
        </w:rPr>
        <w:t>人民币73</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pacing w:val="27"/>
          <w:sz w:val="24"/>
          <w:szCs w:val="24"/>
        </w:rPr>
        <w:t>324</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pacing w:val="27"/>
          <w:sz w:val="24"/>
          <w:szCs w:val="24"/>
        </w:rPr>
        <w:t>180.8</w:t>
      </w:r>
      <w:r>
        <w:rPr>
          <w:rFonts w:hint="eastAsia" w:asciiTheme="minorEastAsia" w:hAnsiTheme="minorEastAsia" w:eastAsiaTheme="minorEastAsia" w:cstheme="minorEastAsia"/>
          <w:spacing w:val="16"/>
          <w:sz w:val="24"/>
          <w:szCs w:val="24"/>
        </w:rPr>
        <w:t>元和</w:t>
      </w:r>
      <w:r>
        <w:rPr>
          <w:rFonts w:hint="eastAsia" w:asciiTheme="minorEastAsia" w:hAnsiTheme="minorEastAsia" w:eastAsiaTheme="minorEastAsia" w:cstheme="minorEastAsia"/>
          <w:spacing w:val="27"/>
          <w:sz w:val="24"/>
          <w:szCs w:val="24"/>
        </w:rPr>
        <w:t>73</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pacing w:val="27"/>
          <w:sz w:val="24"/>
          <w:szCs w:val="24"/>
        </w:rPr>
        <w:t>324</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pacing w:val="27"/>
          <w:sz w:val="24"/>
          <w:szCs w:val="24"/>
        </w:rPr>
        <w:t>180.8</w:t>
      </w:r>
      <w:r>
        <w:rPr>
          <w:rFonts w:hint="eastAsia" w:asciiTheme="minorEastAsia" w:hAnsiTheme="minorEastAsia" w:eastAsiaTheme="minorEastAsia" w:cstheme="minorEastAsia"/>
          <w:spacing w:val="16"/>
          <w:sz w:val="24"/>
          <w:szCs w:val="24"/>
        </w:rPr>
        <w:t>元</w:t>
      </w:r>
      <w:r>
        <w:rPr>
          <w:rFonts w:hint="eastAsia" w:asciiTheme="minorEastAsia" w:hAnsiTheme="minorEastAsia" w:eastAsiaTheme="minorEastAsia" w:cstheme="minorEastAsia"/>
          <w:sz w:val="24"/>
          <w:szCs w:val="24"/>
        </w:rPr>
        <w:t>，合计支付价款146,648,361.60元，支付价款的资金来源为自有资金。</w:t>
      </w:r>
    </w:p>
    <w:p>
      <w:pPr>
        <w:spacing w:line="560" w:lineRule="exact"/>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（四）协议成立和生效条件</w:t>
      </w:r>
    </w:p>
    <w:p>
      <w:pPr>
        <w:pStyle w:val="5"/>
        <w:spacing w:before="0" w:line="560" w:lineRule="exact"/>
        <w:ind w:left="0" w:firstLine="468"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3"/>
          <w:sz w:val="24"/>
          <w:szCs w:val="24"/>
        </w:rPr>
        <w:t>《股份转让协议》经各方法定代表人或授权代表人签字，并加盖各方公章后</w:t>
      </w:r>
      <w:r>
        <w:rPr>
          <w:rFonts w:hint="eastAsia" w:asciiTheme="minorEastAsia" w:hAnsiTheme="minorEastAsia" w:eastAsiaTheme="minorEastAsia" w:cstheme="minorEastAsia"/>
          <w:sz w:val="24"/>
          <w:szCs w:val="24"/>
        </w:rPr>
        <w:t>正式生效。</w:t>
      </w:r>
    </w:p>
    <w:p>
      <w:pPr>
        <w:tabs>
          <w:tab w:val="left" w:pos="0"/>
        </w:tabs>
        <w:autoSpaceDE w:val="0"/>
        <w:autoSpaceDN w:val="0"/>
        <w:adjustRightInd w:val="0"/>
        <w:snapToGrid w:val="0"/>
        <w:spacing w:line="560" w:lineRule="exact"/>
        <w:ind w:firstLine="482" w:firstLineChars="200"/>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四、所涉及后续事项</w:t>
      </w:r>
    </w:p>
    <w:p>
      <w:pPr>
        <w:pStyle w:val="5"/>
        <w:spacing w:before="0" w:line="560" w:lineRule="exact"/>
        <w:ind w:left="0" w:firstLine="468"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3"/>
          <w:sz w:val="24"/>
          <w:szCs w:val="24"/>
        </w:rPr>
        <w:t>（一）本次权益变动后，</w:t>
      </w:r>
      <w:r>
        <w:rPr>
          <w:rFonts w:hint="eastAsia" w:asciiTheme="minorEastAsia" w:hAnsiTheme="minorEastAsia" w:eastAsiaTheme="minorEastAsia" w:cstheme="minorEastAsia"/>
          <w:color w:val="000000"/>
          <w:sz w:val="24"/>
          <w:szCs w:val="24"/>
        </w:rPr>
        <w:t>苏豪投资</w:t>
      </w:r>
      <w:r>
        <w:rPr>
          <w:rFonts w:hint="eastAsia" w:asciiTheme="minorEastAsia" w:hAnsiTheme="minorEastAsia" w:eastAsiaTheme="minorEastAsia" w:cstheme="minorEastAsia"/>
          <w:spacing w:val="-3"/>
          <w:sz w:val="24"/>
          <w:szCs w:val="24"/>
        </w:rPr>
        <w:t>持有本行的</w:t>
      </w:r>
      <w:r>
        <w:rPr>
          <w:rFonts w:hint="eastAsia" w:asciiTheme="minorEastAsia" w:hAnsiTheme="minorEastAsia" w:eastAsiaTheme="minorEastAsia" w:cstheme="minorEastAsia"/>
          <w:sz w:val="24"/>
          <w:szCs w:val="24"/>
        </w:rPr>
        <w:t xml:space="preserve">股份数量为 </w:t>
      </w:r>
      <w:r>
        <w:rPr>
          <w:rFonts w:hint="eastAsia" w:asciiTheme="minorEastAsia" w:hAnsiTheme="minorEastAsia" w:eastAsiaTheme="minorEastAsia" w:cstheme="minorEastAsia"/>
          <w:color w:val="000000"/>
          <w:sz w:val="24"/>
          <w:szCs w:val="24"/>
        </w:rPr>
        <w:t>233,042,759</w:t>
      </w:r>
      <w:r>
        <w:rPr>
          <w:rFonts w:hint="eastAsia" w:asciiTheme="minorEastAsia" w:hAnsiTheme="minorEastAsia" w:eastAsiaTheme="minorEastAsia" w:cstheme="minorEastAsia"/>
          <w:sz w:val="24"/>
          <w:szCs w:val="24"/>
        </w:rPr>
        <w:t>股，占本行总股份的6.36%。本次权益变动情况不会导致本行控股股东、实际控制人变化，本行仍无控股股东及实际控制人。</w:t>
      </w:r>
    </w:p>
    <w:p>
      <w:pPr>
        <w:pStyle w:val="5"/>
        <w:spacing w:before="0" w:line="560" w:lineRule="exact"/>
        <w:ind w:left="0" w:firstLine="468" w:firstLineChars="200"/>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spacing w:val="-3"/>
          <w:sz w:val="24"/>
          <w:szCs w:val="24"/>
        </w:rPr>
        <w:t>（二）根据相关规定，</w:t>
      </w:r>
      <w:r>
        <w:rPr>
          <w:rFonts w:hint="eastAsia" w:asciiTheme="minorEastAsia" w:hAnsiTheme="minorEastAsia" w:eastAsiaTheme="minorEastAsia" w:cstheme="minorEastAsia"/>
          <w:color w:val="000000" w:themeColor="text1"/>
          <w:sz w:val="24"/>
          <w:szCs w:val="24"/>
          <w14:textFill>
            <w14:solidFill>
              <w14:schemeClr w14:val="tx1"/>
            </w14:solidFill>
          </w14:textFill>
        </w:rPr>
        <w:t>苏豪投资</w:t>
      </w:r>
      <w:r>
        <w:rPr>
          <w:rFonts w:hint="eastAsia" w:asciiTheme="minorEastAsia" w:hAnsiTheme="minorEastAsia" w:eastAsiaTheme="minorEastAsia" w:cstheme="minorEastAsia"/>
          <w:color w:val="000000" w:themeColor="text1"/>
          <w:spacing w:val="-3"/>
          <w:sz w:val="24"/>
          <w:szCs w:val="24"/>
          <w14:textFill>
            <w14:solidFill>
              <w14:schemeClr w14:val="tx1"/>
            </w14:solidFill>
          </w14:textFill>
        </w:rPr>
        <w:t>需编制《江苏紫金农村商业银行股份有限公司简式权益变动报告书》，</w:t>
      </w:r>
      <w:r>
        <w:rPr>
          <w:rFonts w:hint="eastAsia" w:asciiTheme="minorEastAsia" w:hAnsiTheme="minorEastAsia" w:eastAsiaTheme="minorEastAsia" w:cstheme="minorEastAsia"/>
          <w:color w:val="000000" w:themeColor="text1"/>
          <w:spacing w:val="-6"/>
          <w:sz w:val="24"/>
          <w:szCs w:val="24"/>
          <w14:textFill>
            <w14:solidFill>
              <w14:schemeClr w14:val="tx1"/>
            </w14:solidFill>
          </w14:textFill>
        </w:rPr>
        <w:t>上述信息披露义务人将编制相应的权益变动报告书并于近日另行披露。</w:t>
      </w:r>
    </w:p>
    <w:p>
      <w:pPr>
        <w:pStyle w:val="5"/>
        <w:spacing w:before="0" w:line="560" w:lineRule="exact"/>
        <w:ind w:left="0" w:firstLine="468"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3"/>
          <w:sz w:val="24"/>
          <w:szCs w:val="24"/>
        </w:rPr>
        <w:t>（三）本次股份协议转让尚需经过上交所合规性确认，并</w:t>
      </w:r>
      <w:r>
        <w:rPr>
          <w:rFonts w:hint="eastAsia" w:asciiTheme="minorEastAsia" w:hAnsiTheme="minorEastAsia" w:eastAsiaTheme="minorEastAsia" w:cstheme="minorEastAsia"/>
          <w:spacing w:val="-111"/>
          <w:sz w:val="24"/>
          <w:szCs w:val="24"/>
        </w:rPr>
        <w:t xml:space="preserve"> </w:t>
      </w:r>
      <w:r>
        <w:rPr>
          <w:rFonts w:hint="eastAsia" w:asciiTheme="minorEastAsia" w:hAnsiTheme="minorEastAsia" w:eastAsiaTheme="minorEastAsia" w:cstheme="minorEastAsia"/>
          <w:spacing w:val="-3"/>
          <w:sz w:val="24"/>
          <w:szCs w:val="24"/>
        </w:rPr>
        <w:t>在中国结算上海分公司办理过户登记等手续。本行将密切关注上述事项进展情况，</w:t>
      </w:r>
      <w:r>
        <w:rPr>
          <w:rFonts w:hint="eastAsia" w:asciiTheme="minorEastAsia" w:hAnsiTheme="minorEastAsia" w:eastAsiaTheme="minorEastAsia" w:cstheme="minorEastAsia"/>
          <w:sz w:val="24"/>
          <w:szCs w:val="24"/>
        </w:rPr>
        <w:t>按照法律法规及时履行信息披露义务。</w:t>
      </w:r>
    </w:p>
    <w:p>
      <w:pPr>
        <w:pStyle w:val="5"/>
        <w:spacing w:before="0" w:line="560" w:lineRule="exact"/>
        <w:ind w:left="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特此公告。</w:t>
      </w:r>
    </w:p>
    <w:p>
      <w:pPr>
        <w:widowControl/>
        <w:adjustRightInd w:val="0"/>
        <w:snapToGrid w:val="0"/>
        <w:spacing w:line="560" w:lineRule="exact"/>
        <w:ind w:firstLine="600"/>
        <w:jc w:val="right"/>
        <w:rPr>
          <w:rFonts w:hint="eastAsia" w:asciiTheme="minorEastAsia" w:hAnsiTheme="minorEastAsia" w:eastAsiaTheme="minorEastAsia" w:cstheme="minorEastAsia"/>
          <w:sz w:val="24"/>
          <w:szCs w:val="24"/>
        </w:rPr>
      </w:pPr>
    </w:p>
    <w:p>
      <w:pPr>
        <w:adjustRightInd w:val="0"/>
        <w:snapToGrid w:val="0"/>
        <w:spacing w:line="560" w:lineRule="exact"/>
        <w:ind w:firstLine="482"/>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rPr>
        <w:t>江苏紫金农村商业银行股份有限公司董事会</w:t>
      </w:r>
    </w:p>
    <w:p>
      <w:pPr>
        <w:widowControl/>
        <w:adjustRightInd w:val="0"/>
        <w:snapToGrid w:val="0"/>
        <w:spacing w:line="560" w:lineRule="exact"/>
        <w:ind w:firstLine="600"/>
        <w:jc w:val="right"/>
        <w:rPr>
          <w:rFonts w:ascii="仿宋_GB2312" w:hAnsi="仿宋_GB2312" w:eastAsia="仿宋_GB2312" w:cs="仿宋_GB2312"/>
          <w:color w:val="000000" w:themeColor="text1"/>
          <w:sz w:val="30"/>
          <w:szCs w:val="30"/>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2024年4月18日</w:t>
      </w:r>
    </w:p>
    <w:p>
      <w:pPr>
        <w:spacing w:line="560" w:lineRule="exact"/>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2000019F" w:csb1="00000000"/>
  </w:font>
  <w:font w:name="Segoe UI">
    <w:panose1 w:val="020B0502040204020203"/>
    <w:charset w:val="00"/>
    <w:family w:val="auto"/>
    <w:pitch w:val="default"/>
    <w:sig w:usb0="E10022FF" w:usb1="C000E47F" w:usb2="00000029" w:usb3="00000000" w:csb0="200001DF" w:csb1="20000000"/>
  </w:font>
  <w:font w:name="Microsoft JhengHei">
    <w:panose1 w:val="020B0604030504040204"/>
    <w:charset w:val="88"/>
    <w:family w:val="swiss"/>
    <w:pitch w:val="default"/>
    <w:sig w:usb0="00000087" w:usb1="28AF4000" w:usb2="00000016" w:usb3="00000000" w:csb0="00100009" w:csb1="00000000"/>
  </w:font>
  <w:font w:name="Cambria">
    <w:altName w:val="ksdb"/>
    <w:panose1 w:val="02040503050406030204"/>
    <w:charset w:val="00"/>
    <w:family w:val="roman"/>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ksdb">
    <w:panose1 w:val="02000500000000000000"/>
    <w:charset w:val="00"/>
    <w:family w:val="auto"/>
    <w:pitch w:val="default"/>
    <w:sig w:usb0="00000001"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2331594"/>
    </w:sdtPr>
    <w:sdtContent>
      <w:p>
        <w:pPr>
          <w:pStyle w:val="8"/>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030EAA"/>
    <w:multiLevelType w:val="multilevel"/>
    <w:tmpl w:val="38030EAA"/>
    <w:lvl w:ilvl="0" w:tentative="0">
      <w:start w:val="1"/>
      <w:numFmt w:val="bullet"/>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39385A0C"/>
    <w:multiLevelType w:val="multilevel"/>
    <w:tmpl w:val="39385A0C"/>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974"/>
    <w:rsid w:val="00004DD7"/>
    <w:rsid w:val="00014618"/>
    <w:rsid w:val="00037BBA"/>
    <w:rsid w:val="001002DA"/>
    <w:rsid w:val="00127306"/>
    <w:rsid w:val="00132C0A"/>
    <w:rsid w:val="00134C38"/>
    <w:rsid w:val="00156974"/>
    <w:rsid w:val="00163FFB"/>
    <w:rsid w:val="001674BD"/>
    <w:rsid w:val="00177578"/>
    <w:rsid w:val="001C7CDE"/>
    <w:rsid w:val="001D0CF3"/>
    <w:rsid w:val="002244D6"/>
    <w:rsid w:val="002D3C17"/>
    <w:rsid w:val="002D64B8"/>
    <w:rsid w:val="00316340"/>
    <w:rsid w:val="00331954"/>
    <w:rsid w:val="00384CE9"/>
    <w:rsid w:val="003D42F4"/>
    <w:rsid w:val="00424130"/>
    <w:rsid w:val="004560FD"/>
    <w:rsid w:val="00463C17"/>
    <w:rsid w:val="00492803"/>
    <w:rsid w:val="00495D21"/>
    <w:rsid w:val="004A48FF"/>
    <w:rsid w:val="004C5DAE"/>
    <w:rsid w:val="00513695"/>
    <w:rsid w:val="0054329E"/>
    <w:rsid w:val="00605CCC"/>
    <w:rsid w:val="00660566"/>
    <w:rsid w:val="006A3D47"/>
    <w:rsid w:val="00743E96"/>
    <w:rsid w:val="007469BE"/>
    <w:rsid w:val="007F3164"/>
    <w:rsid w:val="008068CB"/>
    <w:rsid w:val="00817188"/>
    <w:rsid w:val="00860A81"/>
    <w:rsid w:val="008912D0"/>
    <w:rsid w:val="00891FFC"/>
    <w:rsid w:val="008B5C59"/>
    <w:rsid w:val="008C21FF"/>
    <w:rsid w:val="00902301"/>
    <w:rsid w:val="00955A24"/>
    <w:rsid w:val="00972434"/>
    <w:rsid w:val="009A0C8F"/>
    <w:rsid w:val="009A21BA"/>
    <w:rsid w:val="009D5C7C"/>
    <w:rsid w:val="00A1563F"/>
    <w:rsid w:val="00A64F4C"/>
    <w:rsid w:val="00A924BD"/>
    <w:rsid w:val="00B60110"/>
    <w:rsid w:val="00B6380A"/>
    <w:rsid w:val="00B8596A"/>
    <w:rsid w:val="00C653BC"/>
    <w:rsid w:val="00C85925"/>
    <w:rsid w:val="00CA1AB6"/>
    <w:rsid w:val="00CC2BD7"/>
    <w:rsid w:val="00CC66A9"/>
    <w:rsid w:val="00CE1DC9"/>
    <w:rsid w:val="00D077DA"/>
    <w:rsid w:val="00D72E42"/>
    <w:rsid w:val="00DD7B20"/>
    <w:rsid w:val="00E435A5"/>
    <w:rsid w:val="00E66E9F"/>
    <w:rsid w:val="00EB4F18"/>
    <w:rsid w:val="00F7364A"/>
    <w:rsid w:val="00F83409"/>
    <w:rsid w:val="00FB1745"/>
    <w:rsid w:val="00FD5005"/>
    <w:rsid w:val="01343C87"/>
    <w:rsid w:val="016731DD"/>
    <w:rsid w:val="01763DB6"/>
    <w:rsid w:val="019571A4"/>
    <w:rsid w:val="01C67DA4"/>
    <w:rsid w:val="01D47F8D"/>
    <w:rsid w:val="01F84CCA"/>
    <w:rsid w:val="02451546"/>
    <w:rsid w:val="029403CC"/>
    <w:rsid w:val="02BC2489"/>
    <w:rsid w:val="03C97144"/>
    <w:rsid w:val="040F1E36"/>
    <w:rsid w:val="042033D6"/>
    <w:rsid w:val="052460FB"/>
    <w:rsid w:val="05D32A1C"/>
    <w:rsid w:val="05F2734E"/>
    <w:rsid w:val="06125D84"/>
    <w:rsid w:val="067C79B2"/>
    <w:rsid w:val="06C867AC"/>
    <w:rsid w:val="06D67865"/>
    <w:rsid w:val="06F51BFA"/>
    <w:rsid w:val="07044B3D"/>
    <w:rsid w:val="07713742"/>
    <w:rsid w:val="07C628A3"/>
    <w:rsid w:val="083D1B91"/>
    <w:rsid w:val="08552ABB"/>
    <w:rsid w:val="086B0277"/>
    <w:rsid w:val="09654E76"/>
    <w:rsid w:val="09E7414B"/>
    <w:rsid w:val="0A583185"/>
    <w:rsid w:val="0AF5210A"/>
    <w:rsid w:val="0BB66944"/>
    <w:rsid w:val="0BFE4B3A"/>
    <w:rsid w:val="0C30660E"/>
    <w:rsid w:val="0C9462C4"/>
    <w:rsid w:val="0C970F7A"/>
    <w:rsid w:val="0CAA04D6"/>
    <w:rsid w:val="0CC76782"/>
    <w:rsid w:val="0CE65A97"/>
    <w:rsid w:val="0CF3634C"/>
    <w:rsid w:val="0D2D522C"/>
    <w:rsid w:val="0DAD0FFE"/>
    <w:rsid w:val="0DEB3061"/>
    <w:rsid w:val="0EB25028"/>
    <w:rsid w:val="0F075DB7"/>
    <w:rsid w:val="0F347B80"/>
    <w:rsid w:val="0FF521BC"/>
    <w:rsid w:val="101F0E02"/>
    <w:rsid w:val="10297193"/>
    <w:rsid w:val="104B7348"/>
    <w:rsid w:val="1058445F"/>
    <w:rsid w:val="105D08E7"/>
    <w:rsid w:val="10A122D5"/>
    <w:rsid w:val="10AF3F7D"/>
    <w:rsid w:val="10CC699D"/>
    <w:rsid w:val="119D1273"/>
    <w:rsid w:val="11FC4B10"/>
    <w:rsid w:val="121D5045"/>
    <w:rsid w:val="12995C93"/>
    <w:rsid w:val="129B4AD1"/>
    <w:rsid w:val="129D0E16"/>
    <w:rsid w:val="1322106F"/>
    <w:rsid w:val="135A4A4C"/>
    <w:rsid w:val="13656661"/>
    <w:rsid w:val="13781A7E"/>
    <w:rsid w:val="139F773F"/>
    <w:rsid w:val="13CC1508"/>
    <w:rsid w:val="14A624F0"/>
    <w:rsid w:val="14D728AA"/>
    <w:rsid w:val="15096D11"/>
    <w:rsid w:val="152662C1"/>
    <w:rsid w:val="153455D7"/>
    <w:rsid w:val="15D70664"/>
    <w:rsid w:val="15F26C8F"/>
    <w:rsid w:val="16B71ED0"/>
    <w:rsid w:val="16E704A1"/>
    <w:rsid w:val="17170FF0"/>
    <w:rsid w:val="181E3DA1"/>
    <w:rsid w:val="184A22E6"/>
    <w:rsid w:val="186B64BF"/>
    <w:rsid w:val="18935F5E"/>
    <w:rsid w:val="18A20777"/>
    <w:rsid w:val="18BB7122"/>
    <w:rsid w:val="18CC73BC"/>
    <w:rsid w:val="18F44CFE"/>
    <w:rsid w:val="1952091A"/>
    <w:rsid w:val="195E3A0D"/>
    <w:rsid w:val="19744352"/>
    <w:rsid w:val="19971B35"/>
    <w:rsid w:val="19A93527"/>
    <w:rsid w:val="19BD21C8"/>
    <w:rsid w:val="19E2540E"/>
    <w:rsid w:val="19E850E3"/>
    <w:rsid w:val="1A006829"/>
    <w:rsid w:val="1A111C52"/>
    <w:rsid w:val="1A4B52AF"/>
    <w:rsid w:val="1ABA6BE8"/>
    <w:rsid w:val="1AE60D31"/>
    <w:rsid w:val="1B181180"/>
    <w:rsid w:val="1B7B3422"/>
    <w:rsid w:val="1C2019B2"/>
    <w:rsid w:val="1C910991"/>
    <w:rsid w:val="1CC1153B"/>
    <w:rsid w:val="1CEB48FE"/>
    <w:rsid w:val="1D207356"/>
    <w:rsid w:val="1DCC2CF2"/>
    <w:rsid w:val="1E9F5249"/>
    <w:rsid w:val="1ED979AD"/>
    <w:rsid w:val="1EDA1BAB"/>
    <w:rsid w:val="1EF849DE"/>
    <w:rsid w:val="1F5F3A9B"/>
    <w:rsid w:val="2019758B"/>
    <w:rsid w:val="2036635D"/>
    <w:rsid w:val="206E043A"/>
    <w:rsid w:val="208F7F77"/>
    <w:rsid w:val="21066CBD"/>
    <w:rsid w:val="2111724C"/>
    <w:rsid w:val="211B33DF"/>
    <w:rsid w:val="214A3F2E"/>
    <w:rsid w:val="21816606"/>
    <w:rsid w:val="21AD61D1"/>
    <w:rsid w:val="22274816"/>
    <w:rsid w:val="222B321C"/>
    <w:rsid w:val="2240793E"/>
    <w:rsid w:val="228813B7"/>
    <w:rsid w:val="22FA03F1"/>
    <w:rsid w:val="239D567C"/>
    <w:rsid w:val="23AE5916"/>
    <w:rsid w:val="23C50DBF"/>
    <w:rsid w:val="24817E04"/>
    <w:rsid w:val="24A13C25"/>
    <w:rsid w:val="24E20D41"/>
    <w:rsid w:val="251519E5"/>
    <w:rsid w:val="253B247A"/>
    <w:rsid w:val="257C6E0B"/>
    <w:rsid w:val="25AE66E1"/>
    <w:rsid w:val="26085AF6"/>
    <w:rsid w:val="272726CA"/>
    <w:rsid w:val="273419E0"/>
    <w:rsid w:val="27603B29"/>
    <w:rsid w:val="280542B6"/>
    <w:rsid w:val="28187A54"/>
    <w:rsid w:val="28FE6835"/>
    <w:rsid w:val="29780915"/>
    <w:rsid w:val="2A7243B0"/>
    <w:rsid w:val="2A945BEA"/>
    <w:rsid w:val="2ADC1861"/>
    <w:rsid w:val="2B754ED7"/>
    <w:rsid w:val="2BB846C7"/>
    <w:rsid w:val="2BF15B26"/>
    <w:rsid w:val="2C06004A"/>
    <w:rsid w:val="2C1E78EF"/>
    <w:rsid w:val="2C5632CC"/>
    <w:rsid w:val="2C734DFA"/>
    <w:rsid w:val="2CA83FD0"/>
    <w:rsid w:val="2CD825A0"/>
    <w:rsid w:val="2CF61B50"/>
    <w:rsid w:val="2D6C7591"/>
    <w:rsid w:val="2E005886"/>
    <w:rsid w:val="2EBD7AB6"/>
    <w:rsid w:val="2F673ED3"/>
    <w:rsid w:val="2F747966"/>
    <w:rsid w:val="2F9959A7"/>
    <w:rsid w:val="2FE3129F"/>
    <w:rsid w:val="301E66EA"/>
    <w:rsid w:val="30203302"/>
    <w:rsid w:val="308B29B1"/>
    <w:rsid w:val="30A12956"/>
    <w:rsid w:val="30F535ED"/>
    <w:rsid w:val="310338F4"/>
    <w:rsid w:val="314E47F2"/>
    <w:rsid w:val="31696B1C"/>
    <w:rsid w:val="31AC2EBC"/>
    <w:rsid w:val="32195D2C"/>
    <w:rsid w:val="324A05E0"/>
    <w:rsid w:val="32C103D2"/>
    <w:rsid w:val="33910AAB"/>
    <w:rsid w:val="33B466E1"/>
    <w:rsid w:val="343E2DC2"/>
    <w:rsid w:val="34825E35"/>
    <w:rsid w:val="34DD524A"/>
    <w:rsid w:val="34ED54E4"/>
    <w:rsid w:val="34F06469"/>
    <w:rsid w:val="351D0231"/>
    <w:rsid w:val="35446C9F"/>
    <w:rsid w:val="35895362"/>
    <w:rsid w:val="35987B7B"/>
    <w:rsid w:val="36044CAC"/>
    <w:rsid w:val="360949B7"/>
    <w:rsid w:val="361E10D9"/>
    <w:rsid w:val="363C4E06"/>
    <w:rsid w:val="365D0BBE"/>
    <w:rsid w:val="37471E40"/>
    <w:rsid w:val="376400EB"/>
    <w:rsid w:val="38762532"/>
    <w:rsid w:val="387803EF"/>
    <w:rsid w:val="38941AE2"/>
    <w:rsid w:val="389771E3"/>
    <w:rsid w:val="38C86AB9"/>
    <w:rsid w:val="39463B04"/>
    <w:rsid w:val="39856E6C"/>
    <w:rsid w:val="3A4614A9"/>
    <w:rsid w:val="3ACF5B89"/>
    <w:rsid w:val="3B530361"/>
    <w:rsid w:val="3BDF37C8"/>
    <w:rsid w:val="3C1813A4"/>
    <w:rsid w:val="3C1F45B2"/>
    <w:rsid w:val="3C360954"/>
    <w:rsid w:val="3CCF30D1"/>
    <w:rsid w:val="3D2B37EA"/>
    <w:rsid w:val="3E5B60DB"/>
    <w:rsid w:val="3E8D432B"/>
    <w:rsid w:val="3EF25354"/>
    <w:rsid w:val="3F453ADA"/>
    <w:rsid w:val="3F94295F"/>
    <w:rsid w:val="3FDC5738"/>
    <w:rsid w:val="3FED2FEE"/>
    <w:rsid w:val="40616830"/>
    <w:rsid w:val="40667434"/>
    <w:rsid w:val="407654D0"/>
    <w:rsid w:val="40F847A5"/>
    <w:rsid w:val="413B5CBF"/>
    <w:rsid w:val="41415E9E"/>
    <w:rsid w:val="41520337"/>
    <w:rsid w:val="41F37EC0"/>
    <w:rsid w:val="41F60E45"/>
    <w:rsid w:val="42C84A20"/>
    <w:rsid w:val="430F7393"/>
    <w:rsid w:val="439B6F77"/>
    <w:rsid w:val="43A35F21"/>
    <w:rsid w:val="43D86168"/>
    <w:rsid w:val="443800FA"/>
    <w:rsid w:val="449F0DA3"/>
    <w:rsid w:val="45192C6B"/>
    <w:rsid w:val="4523357B"/>
    <w:rsid w:val="460209EA"/>
    <w:rsid w:val="462A2AA8"/>
    <w:rsid w:val="46317690"/>
    <w:rsid w:val="46B06807"/>
    <w:rsid w:val="46FF7608"/>
    <w:rsid w:val="475A449F"/>
    <w:rsid w:val="47C15148"/>
    <w:rsid w:val="47D56367"/>
    <w:rsid w:val="48372B88"/>
    <w:rsid w:val="48E674A9"/>
    <w:rsid w:val="4A2E7440"/>
    <w:rsid w:val="4AD102CE"/>
    <w:rsid w:val="4AE15A10"/>
    <w:rsid w:val="4BE72014"/>
    <w:rsid w:val="4C0473C6"/>
    <w:rsid w:val="4C0F5757"/>
    <w:rsid w:val="4C1A5CE7"/>
    <w:rsid w:val="4C326C11"/>
    <w:rsid w:val="4C426EAB"/>
    <w:rsid w:val="4CE679B9"/>
    <w:rsid w:val="4CF621D2"/>
    <w:rsid w:val="4D203016"/>
    <w:rsid w:val="4DBB5413"/>
    <w:rsid w:val="4E555611"/>
    <w:rsid w:val="4E9E6D0A"/>
    <w:rsid w:val="4EAE4DA6"/>
    <w:rsid w:val="4EE74B80"/>
    <w:rsid w:val="4F350502"/>
    <w:rsid w:val="4F7B53F3"/>
    <w:rsid w:val="4FB045C9"/>
    <w:rsid w:val="500E23E4"/>
    <w:rsid w:val="5066262C"/>
    <w:rsid w:val="50E35A2B"/>
    <w:rsid w:val="51000A73"/>
    <w:rsid w:val="51F27101"/>
    <w:rsid w:val="51F77D06"/>
    <w:rsid w:val="52320449"/>
    <w:rsid w:val="53035F10"/>
    <w:rsid w:val="530968C9"/>
    <w:rsid w:val="53A40EB9"/>
    <w:rsid w:val="53E143AE"/>
    <w:rsid w:val="5425031B"/>
    <w:rsid w:val="549518D3"/>
    <w:rsid w:val="54D526BD"/>
    <w:rsid w:val="54EA355C"/>
    <w:rsid w:val="550D2817"/>
    <w:rsid w:val="5510379B"/>
    <w:rsid w:val="55350158"/>
    <w:rsid w:val="56594A37"/>
    <w:rsid w:val="56AB0FBE"/>
    <w:rsid w:val="56BC6CDA"/>
    <w:rsid w:val="56C31EE8"/>
    <w:rsid w:val="56D34701"/>
    <w:rsid w:val="588056C1"/>
    <w:rsid w:val="58A8585F"/>
    <w:rsid w:val="58CC44BC"/>
    <w:rsid w:val="58DA7055"/>
    <w:rsid w:val="59ED7E16"/>
    <w:rsid w:val="5AA72AC8"/>
    <w:rsid w:val="5ACA1D83"/>
    <w:rsid w:val="5AE75AB0"/>
    <w:rsid w:val="5AF35146"/>
    <w:rsid w:val="5B0A2B6C"/>
    <w:rsid w:val="5B4A5B54"/>
    <w:rsid w:val="5B4C1057"/>
    <w:rsid w:val="5B7E72A8"/>
    <w:rsid w:val="5B902A45"/>
    <w:rsid w:val="5BAE1FF5"/>
    <w:rsid w:val="5C2D6B3E"/>
    <w:rsid w:val="5D3259F5"/>
    <w:rsid w:val="5D381AFC"/>
    <w:rsid w:val="5EC86D90"/>
    <w:rsid w:val="5ED42BA2"/>
    <w:rsid w:val="5FB20F0C"/>
    <w:rsid w:val="5FB70C17"/>
    <w:rsid w:val="5FBF10D2"/>
    <w:rsid w:val="608F2E78"/>
    <w:rsid w:val="61343606"/>
    <w:rsid w:val="613D1D17"/>
    <w:rsid w:val="614B4CAE"/>
    <w:rsid w:val="61826F89"/>
    <w:rsid w:val="62674C7D"/>
    <w:rsid w:val="62AE2E73"/>
    <w:rsid w:val="62C63D9D"/>
    <w:rsid w:val="63041683"/>
    <w:rsid w:val="63416435"/>
    <w:rsid w:val="64500020"/>
    <w:rsid w:val="646060BC"/>
    <w:rsid w:val="65305110"/>
    <w:rsid w:val="654C6FBE"/>
    <w:rsid w:val="65541E4C"/>
    <w:rsid w:val="66A96EFB"/>
    <w:rsid w:val="66D76745"/>
    <w:rsid w:val="67022E0D"/>
    <w:rsid w:val="683055A2"/>
    <w:rsid w:val="688D0395"/>
    <w:rsid w:val="6985092D"/>
    <w:rsid w:val="6B984B15"/>
    <w:rsid w:val="6BCD789C"/>
    <w:rsid w:val="6BE2040C"/>
    <w:rsid w:val="6C6241DE"/>
    <w:rsid w:val="6C6A15EA"/>
    <w:rsid w:val="6CBC7404"/>
    <w:rsid w:val="6D827EB8"/>
    <w:rsid w:val="6E9E14B7"/>
    <w:rsid w:val="6F352D82"/>
    <w:rsid w:val="6FE476A3"/>
    <w:rsid w:val="6FED6CAD"/>
    <w:rsid w:val="7038712D"/>
    <w:rsid w:val="70427A3C"/>
    <w:rsid w:val="721C4D44"/>
    <w:rsid w:val="72997B90"/>
    <w:rsid w:val="72C22F53"/>
    <w:rsid w:val="73651863"/>
    <w:rsid w:val="73663A61"/>
    <w:rsid w:val="73E51DB1"/>
    <w:rsid w:val="73F67ACD"/>
    <w:rsid w:val="744011C6"/>
    <w:rsid w:val="74620891"/>
    <w:rsid w:val="74975458"/>
    <w:rsid w:val="74982ED9"/>
    <w:rsid w:val="750B2E08"/>
    <w:rsid w:val="75874D60"/>
    <w:rsid w:val="762F6E99"/>
    <w:rsid w:val="76BC155A"/>
    <w:rsid w:val="77877D29"/>
    <w:rsid w:val="77A64D5A"/>
    <w:rsid w:val="77D67AA8"/>
    <w:rsid w:val="782B3690"/>
    <w:rsid w:val="78351146"/>
    <w:rsid w:val="783C6553"/>
    <w:rsid w:val="79191277"/>
    <w:rsid w:val="79214247"/>
    <w:rsid w:val="795641E2"/>
    <w:rsid w:val="79697C99"/>
    <w:rsid w:val="79A522A2"/>
    <w:rsid w:val="79A67D23"/>
    <w:rsid w:val="7AA037BE"/>
    <w:rsid w:val="7AB15C57"/>
    <w:rsid w:val="7B6D3E0C"/>
    <w:rsid w:val="7C28453F"/>
    <w:rsid w:val="7C291FC0"/>
    <w:rsid w:val="7C2E3ECA"/>
    <w:rsid w:val="7C8B67E2"/>
    <w:rsid w:val="7CA01BE5"/>
    <w:rsid w:val="7CB55428"/>
    <w:rsid w:val="7CED3003"/>
    <w:rsid w:val="7D1876CA"/>
    <w:rsid w:val="7D276660"/>
    <w:rsid w:val="7DF9223C"/>
    <w:rsid w:val="7E315C19"/>
    <w:rsid w:val="7E4F51C9"/>
    <w:rsid w:val="7E913B8C"/>
    <w:rsid w:val="7EBC1F79"/>
    <w:rsid w:val="7F16390D"/>
    <w:rsid w:val="7F2D5A4D"/>
    <w:rsid w:val="7F532FB0"/>
    <w:rsid w:val="7F5355D5"/>
    <w:rsid w:val="7F990663"/>
    <w:rsid w:val="7FA73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1"/>
    <w:pPr>
      <w:ind w:left="602"/>
      <w:outlineLvl w:val="0"/>
    </w:pPr>
    <w:rPr>
      <w:rFonts w:ascii="Microsoft JhengHei" w:hAnsi="Microsoft JhengHei" w:eastAsia="Microsoft JhengHei"/>
      <w:b/>
      <w:bCs/>
      <w:sz w:val="2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3">
    <w:name w:val="Document Map"/>
    <w:basedOn w:val="1"/>
    <w:link w:val="23"/>
    <w:semiHidden/>
    <w:unhideWhenUsed/>
    <w:qFormat/>
    <w:uiPriority w:val="99"/>
    <w:rPr>
      <w:rFonts w:ascii="宋体"/>
      <w:sz w:val="18"/>
      <w:szCs w:val="18"/>
    </w:rPr>
  </w:style>
  <w:style w:type="paragraph" w:styleId="4">
    <w:name w:val="annotation text"/>
    <w:basedOn w:val="1"/>
    <w:link w:val="20"/>
    <w:semiHidden/>
    <w:unhideWhenUsed/>
    <w:qFormat/>
    <w:uiPriority w:val="99"/>
    <w:pPr>
      <w:jc w:val="left"/>
    </w:pPr>
  </w:style>
  <w:style w:type="paragraph" w:styleId="5">
    <w:name w:val="Body Text"/>
    <w:basedOn w:val="1"/>
    <w:qFormat/>
    <w:uiPriority w:val="1"/>
    <w:pPr>
      <w:spacing w:before="138"/>
      <w:ind w:left="120"/>
    </w:pPr>
    <w:rPr>
      <w:rFonts w:ascii="宋体" w:hAnsi="宋体"/>
      <w:sz w:val="24"/>
    </w:rPr>
  </w:style>
  <w:style w:type="paragraph" w:styleId="6">
    <w:name w:val="Body Text Indent"/>
    <w:basedOn w:val="1"/>
    <w:link w:val="16"/>
    <w:unhideWhenUsed/>
    <w:qFormat/>
    <w:uiPriority w:val="0"/>
    <w:pPr>
      <w:spacing w:after="120"/>
      <w:ind w:left="420" w:leftChars="200"/>
    </w:pPr>
  </w:style>
  <w:style w:type="paragraph" w:styleId="7">
    <w:name w:val="Balloon Text"/>
    <w:basedOn w:val="1"/>
    <w:link w:val="17"/>
    <w:semiHidden/>
    <w:unhideWhenUsed/>
    <w:qFormat/>
    <w:uiPriority w:val="99"/>
    <w:rPr>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itle"/>
    <w:basedOn w:val="1"/>
    <w:next w:val="1"/>
    <w:link w:val="15"/>
    <w:qFormat/>
    <w:uiPriority w:val="0"/>
    <w:pPr>
      <w:spacing w:before="240" w:after="60"/>
      <w:jc w:val="center"/>
      <w:outlineLvl w:val="0"/>
    </w:pPr>
    <w:rPr>
      <w:rFonts w:ascii="Cambria" w:hAnsi="Cambria"/>
      <w:b/>
      <w:bCs/>
      <w:sz w:val="32"/>
      <w:szCs w:val="32"/>
    </w:rPr>
  </w:style>
  <w:style w:type="paragraph" w:styleId="11">
    <w:name w:val="annotation subject"/>
    <w:basedOn w:val="4"/>
    <w:next w:val="4"/>
    <w:link w:val="21"/>
    <w:semiHidden/>
    <w:unhideWhenUsed/>
    <w:qFormat/>
    <w:uiPriority w:val="99"/>
    <w:rPr>
      <w:b/>
      <w:bCs/>
    </w:rPr>
  </w:style>
  <w:style w:type="character" w:styleId="14">
    <w:name w:val="annotation reference"/>
    <w:basedOn w:val="13"/>
    <w:semiHidden/>
    <w:unhideWhenUsed/>
    <w:qFormat/>
    <w:uiPriority w:val="99"/>
    <w:rPr>
      <w:sz w:val="21"/>
      <w:szCs w:val="21"/>
    </w:rPr>
  </w:style>
  <w:style w:type="character" w:customStyle="1" w:styleId="15">
    <w:name w:val="标题 字符"/>
    <w:basedOn w:val="13"/>
    <w:link w:val="10"/>
    <w:qFormat/>
    <w:uiPriority w:val="0"/>
    <w:rPr>
      <w:rFonts w:ascii="Cambria" w:hAnsi="Cambria" w:eastAsia="宋体" w:cs="Times New Roman"/>
      <w:b/>
      <w:bCs/>
      <w:sz w:val="32"/>
      <w:szCs w:val="32"/>
    </w:rPr>
  </w:style>
  <w:style w:type="character" w:customStyle="1" w:styleId="16">
    <w:name w:val="正文文本缩进 字符"/>
    <w:basedOn w:val="13"/>
    <w:link w:val="6"/>
    <w:qFormat/>
    <w:uiPriority w:val="0"/>
    <w:rPr>
      <w:rFonts w:ascii="Times New Roman" w:hAnsi="Times New Roman" w:eastAsia="宋体" w:cs="Times New Roman"/>
      <w:szCs w:val="24"/>
    </w:rPr>
  </w:style>
  <w:style w:type="character" w:customStyle="1" w:styleId="17">
    <w:name w:val="批注框文本 字符"/>
    <w:basedOn w:val="13"/>
    <w:link w:val="7"/>
    <w:semiHidden/>
    <w:qFormat/>
    <w:uiPriority w:val="99"/>
    <w:rPr>
      <w:rFonts w:ascii="Times New Roman" w:hAnsi="Times New Roman"/>
      <w:kern w:val="2"/>
      <w:sz w:val="18"/>
      <w:szCs w:val="18"/>
    </w:rPr>
  </w:style>
  <w:style w:type="character" w:customStyle="1" w:styleId="18">
    <w:name w:val="页眉 字符"/>
    <w:basedOn w:val="13"/>
    <w:link w:val="9"/>
    <w:qFormat/>
    <w:uiPriority w:val="99"/>
    <w:rPr>
      <w:rFonts w:ascii="Times New Roman" w:hAnsi="Times New Roman"/>
      <w:kern w:val="2"/>
      <w:sz w:val="18"/>
      <w:szCs w:val="18"/>
    </w:rPr>
  </w:style>
  <w:style w:type="character" w:customStyle="1" w:styleId="19">
    <w:name w:val="页脚 字符"/>
    <w:basedOn w:val="13"/>
    <w:link w:val="8"/>
    <w:qFormat/>
    <w:uiPriority w:val="99"/>
    <w:rPr>
      <w:rFonts w:ascii="Times New Roman" w:hAnsi="Times New Roman"/>
      <w:kern w:val="2"/>
      <w:sz w:val="18"/>
      <w:szCs w:val="18"/>
    </w:rPr>
  </w:style>
  <w:style w:type="character" w:customStyle="1" w:styleId="20">
    <w:name w:val="批注文字 字符"/>
    <w:basedOn w:val="13"/>
    <w:link w:val="4"/>
    <w:semiHidden/>
    <w:qFormat/>
    <w:uiPriority w:val="99"/>
    <w:rPr>
      <w:rFonts w:ascii="Times New Roman" w:hAnsi="Times New Roman"/>
      <w:kern w:val="2"/>
      <w:sz w:val="21"/>
      <w:szCs w:val="24"/>
    </w:rPr>
  </w:style>
  <w:style w:type="character" w:customStyle="1" w:styleId="21">
    <w:name w:val="批注主题 字符"/>
    <w:basedOn w:val="20"/>
    <w:link w:val="11"/>
    <w:semiHidden/>
    <w:qFormat/>
    <w:uiPriority w:val="99"/>
    <w:rPr>
      <w:rFonts w:ascii="Times New Roman" w:hAnsi="Times New Roman"/>
      <w:b/>
      <w:bCs/>
      <w:kern w:val="2"/>
      <w:sz w:val="21"/>
      <w:szCs w:val="24"/>
    </w:rPr>
  </w:style>
  <w:style w:type="paragraph" w:styleId="22">
    <w:name w:val="List Paragraph"/>
    <w:basedOn w:val="1"/>
    <w:qFormat/>
    <w:uiPriority w:val="34"/>
    <w:pPr>
      <w:ind w:firstLine="420" w:firstLineChars="200"/>
    </w:pPr>
    <w:rPr>
      <w:rFonts w:ascii="Calibri" w:hAnsi="Calibri"/>
      <w:szCs w:val="22"/>
    </w:rPr>
  </w:style>
  <w:style w:type="character" w:customStyle="1" w:styleId="23">
    <w:name w:val="文档结构图 字符"/>
    <w:basedOn w:val="13"/>
    <w:link w:val="3"/>
    <w:semiHidden/>
    <w:qFormat/>
    <w:uiPriority w:val="99"/>
    <w:rPr>
      <w:rFonts w:ascii="宋体" w:hAnsi="Times New Roman"/>
      <w:kern w:val="2"/>
      <w:sz w:val="18"/>
      <w:szCs w:val="18"/>
    </w:rPr>
  </w:style>
  <w:style w:type="paragraph" w:customStyle="1" w:styleId="24">
    <w:name w:val="Table Paragraph"/>
    <w:basedOn w:val="1"/>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495</Words>
  <Characters>2826</Characters>
  <Lines>23</Lines>
  <Paragraphs>6</Paragraphs>
  <TotalTime>3</TotalTime>
  <ScaleCrop>false</ScaleCrop>
  <LinksUpToDate>false</LinksUpToDate>
  <CharactersWithSpaces>3315</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2024-04-17T09:02:00Z</dcterms:created>
  <dc:creator>admin</dc:creator>
  <cp:lastModifiedBy>k</cp:lastModifiedBy>
  <cp:lastPrinted>2020-11-18T08:59:00Z</cp:lastPrinted>
  <dcterms:modified xsi:type="dcterms:W3CDTF">2024-04-18T09:38:06Z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38A3674F7E4F469A99B23698554DD812</vt:lpwstr>
  </property>
</Properties>
</file>