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A86" w:rsidRPr="00F50307" w:rsidRDefault="00F52A86"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F52A86" w:rsidRDefault="00F52A86" w:rsidP="00282E26">
      <w:pPr>
        <w:spacing w:line="360" w:lineRule="auto"/>
        <w:jc w:val="center"/>
        <w:rPr>
          <w:rFonts w:asciiTheme="minorEastAsia" w:hAnsiTheme="minorEastAsia" w:cs="Times New Roman"/>
          <w:b/>
          <w:szCs w:val="21"/>
        </w:rPr>
      </w:pPr>
    </w:p>
    <w:p w:rsidR="00282E26" w:rsidRDefault="00282E26" w:rsidP="00282E26">
      <w:pPr>
        <w:spacing w:line="360" w:lineRule="auto"/>
        <w:jc w:val="center"/>
        <w:rPr>
          <w:rFonts w:asciiTheme="minorEastAsia" w:hAnsiTheme="minorEastAsia" w:cs="Times New Roman"/>
          <w:b/>
          <w:szCs w:val="21"/>
        </w:rPr>
      </w:pPr>
    </w:p>
    <w:p w:rsidR="00282E26" w:rsidRDefault="00282E26" w:rsidP="00282E26">
      <w:pPr>
        <w:spacing w:line="360" w:lineRule="auto"/>
        <w:jc w:val="center"/>
        <w:rPr>
          <w:rFonts w:asciiTheme="minorEastAsia" w:hAnsiTheme="minorEastAsia" w:cs="Times New Roman"/>
          <w:b/>
          <w:szCs w:val="21"/>
        </w:rPr>
      </w:pPr>
    </w:p>
    <w:p w:rsidR="00841A33" w:rsidRPr="00F50307" w:rsidRDefault="00841A33"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F52A86" w:rsidRPr="00F50307" w:rsidRDefault="00F52A86" w:rsidP="00282E26">
      <w:pPr>
        <w:spacing w:line="360" w:lineRule="auto"/>
        <w:jc w:val="center"/>
        <w:rPr>
          <w:rFonts w:asciiTheme="minorEastAsia" w:hAnsiTheme="minorEastAsia" w:cs="Times New Roman"/>
          <w:b/>
          <w:szCs w:val="21"/>
        </w:rPr>
      </w:pPr>
    </w:p>
    <w:p w:rsidR="005E452C" w:rsidRPr="00F50307" w:rsidRDefault="005E452C" w:rsidP="00282E26">
      <w:pPr>
        <w:spacing w:line="360" w:lineRule="auto"/>
        <w:jc w:val="center"/>
        <w:rPr>
          <w:rFonts w:ascii="黑体" w:eastAsia="黑体" w:hAnsi="黑体"/>
          <w:b/>
          <w:bCs/>
          <w:sz w:val="44"/>
          <w:szCs w:val="44"/>
        </w:rPr>
      </w:pPr>
      <w:r w:rsidRPr="00F50307">
        <w:rPr>
          <w:rFonts w:ascii="黑体" w:eastAsia="黑体" w:hAnsi="黑体" w:hint="eastAsia"/>
          <w:b/>
          <w:bCs/>
          <w:sz w:val="44"/>
          <w:szCs w:val="44"/>
        </w:rPr>
        <w:t>江苏紫金农村商业银行股份有限公司</w:t>
      </w:r>
    </w:p>
    <w:p w:rsidR="005E452C" w:rsidRPr="00F50307" w:rsidRDefault="00B06917" w:rsidP="00282E26">
      <w:pPr>
        <w:spacing w:line="360" w:lineRule="auto"/>
        <w:jc w:val="center"/>
        <w:rPr>
          <w:rFonts w:ascii="黑体" w:eastAsia="黑体" w:hAnsi="黑体"/>
          <w:b/>
          <w:bCs/>
          <w:sz w:val="44"/>
          <w:szCs w:val="44"/>
        </w:rPr>
      </w:pPr>
      <w:r w:rsidRPr="00B06917">
        <w:rPr>
          <w:rFonts w:ascii="黑体" w:eastAsia="黑体" w:hAnsi="黑体" w:hint="eastAsia"/>
          <w:b/>
          <w:bCs/>
          <w:sz w:val="44"/>
          <w:szCs w:val="44"/>
        </w:rPr>
        <w:t>202</w:t>
      </w:r>
      <w:r w:rsidR="0089378D">
        <w:rPr>
          <w:rFonts w:ascii="黑体" w:eastAsia="黑体" w:hAnsi="黑体"/>
          <w:b/>
          <w:bCs/>
          <w:sz w:val="44"/>
          <w:szCs w:val="44"/>
        </w:rPr>
        <w:t>6</w:t>
      </w:r>
      <w:r w:rsidRPr="00B06917">
        <w:rPr>
          <w:rFonts w:ascii="黑体" w:eastAsia="黑体" w:hAnsi="黑体" w:hint="eastAsia"/>
          <w:b/>
          <w:bCs/>
          <w:sz w:val="44"/>
          <w:szCs w:val="44"/>
        </w:rPr>
        <w:t>年半年度</w:t>
      </w:r>
      <w:r w:rsidR="005E452C" w:rsidRPr="00F50307">
        <w:rPr>
          <w:rFonts w:ascii="黑体" w:eastAsia="黑体" w:hAnsi="黑体"/>
          <w:b/>
          <w:bCs/>
          <w:sz w:val="44"/>
          <w:szCs w:val="44"/>
        </w:rPr>
        <w:t>第三支柱信</w:t>
      </w:r>
      <w:r w:rsidR="005E452C" w:rsidRPr="00F50307">
        <w:rPr>
          <w:rFonts w:ascii="黑体" w:eastAsia="黑体" w:hAnsi="黑体" w:hint="eastAsia"/>
          <w:b/>
          <w:bCs/>
          <w:sz w:val="44"/>
          <w:szCs w:val="44"/>
        </w:rPr>
        <w:t>息披露报告</w:t>
      </w: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sdt>
      <w:sdtPr>
        <w:rPr>
          <w:rFonts w:asciiTheme="minorHAnsi" w:eastAsiaTheme="minorEastAsia" w:hAnsiTheme="minorHAnsi" w:cstheme="minorBidi"/>
          <w:b w:val="0"/>
          <w:bCs w:val="0"/>
          <w:color w:val="auto"/>
          <w:kern w:val="2"/>
          <w:sz w:val="21"/>
          <w:szCs w:val="22"/>
          <w:lang w:val="zh-CN"/>
        </w:rPr>
        <w:id w:val="591283940"/>
        <w:docPartObj>
          <w:docPartGallery w:val="Table of Contents"/>
          <w:docPartUnique/>
        </w:docPartObj>
      </w:sdtPr>
      <w:sdtEndPr/>
      <w:sdtContent>
        <w:p w:rsidR="00F50307" w:rsidRPr="00462950" w:rsidRDefault="00F50307" w:rsidP="00282E26">
          <w:pPr>
            <w:pStyle w:val="TOC"/>
            <w:spacing w:line="360" w:lineRule="auto"/>
            <w:jc w:val="center"/>
            <w:rPr>
              <w:color w:val="auto"/>
              <w:sz w:val="36"/>
              <w:szCs w:val="32"/>
            </w:rPr>
          </w:pPr>
          <w:r w:rsidRPr="00462950">
            <w:rPr>
              <w:color w:val="auto"/>
              <w:sz w:val="36"/>
              <w:szCs w:val="32"/>
              <w:lang w:val="zh-CN"/>
            </w:rPr>
            <w:t>目录</w:t>
          </w:r>
        </w:p>
        <w:p w:rsidR="00792FB2" w:rsidRPr="00792FB2" w:rsidRDefault="00F50307" w:rsidP="00792FB2">
          <w:pPr>
            <w:pStyle w:val="10"/>
            <w:rPr>
              <w:kern w:val="2"/>
            </w:rPr>
          </w:pPr>
          <w:r w:rsidRPr="00F72CD6">
            <w:fldChar w:fldCharType="begin"/>
          </w:r>
          <w:r w:rsidRPr="00F72CD6">
            <w:instrText xml:space="preserve"> TOC \o "1-3" \h \z \u </w:instrText>
          </w:r>
          <w:r w:rsidRPr="00F72CD6">
            <w:fldChar w:fldCharType="separate"/>
          </w:r>
          <w:hyperlink w:anchor="_Toc237550979" w:history="1">
            <w:r w:rsidR="00792FB2" w:rsidRPr="00792FB2">
              <w:rPr>
                <w:rStyle w:val="a6"/>
                <w:szCs w:val="22"/>
              </w:rPr>
              <w:t xml:space="preserve">1  </w:t>
            </w:r>
            <w:r w:rsidR="00792FB2" w:rsidRPr="00792FB2">
              <w:rPr>
                <w:rStyle w:val="a6"/>
                <w:rFonts w:hint="eastAsia"/>
                <w:szCs w:val="22"/>
              </w:rPr>
              <w:t>引言</w:t>
            </w:r>
            <w:r w:rsidR="00792FB2" w:rsidRPr="00792FB2">
              <w:rPr>
                <w:webHidden/>
              </w:rPr>
              <w:tab/>
            </w:r>
            <w:r w:rsidR="00792FB2" w:rsidRPr="00792FB2">
              <w:rPr>
                <w:webHidden/>
              </w:rPr>
              <w:fldChar w:fldCharType="begin"/>
            </w:r>
            <w:r w:rsidR="00792FB2" w:rsidRPr="00792FB2">
              <w:rPr>
                <w:webHidden/>
              </w:rPr>
              <w:instrText xml:space="preserve"> PAGEREF _Toc237550979 \h </w:instrText>
            </w:r>
            <w:r w:rsidR="00792FB2" w:rsidRPr="00792FB2">
              <w:rPr>
                <w:webHidden/>
              </w:rPr>
            </w:r>
            <w:r w:rsidR="00792FB2" w:rsidRPr="00792FB2">
              <w:rPr>
                <w:webHidden/>
              </w:rPr>
              <w:fldChar w:fldCharType="separate"/>
            </w:r>
            <w:r w:rsidR="00792FB2" w:rsidRPr="00792FB2">
              <w:rPr>
                <w:webHidden/>
              </w:rPr>
              <w:t>1</w:t>
            </w:r>
            <w:r w:rsidR="00792FB2" w:rsidRPr="00792FB2">
              <w:rPr>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0" w:history="1">
            <w:r w:rsidR="00792FB2" w:rsidRPr="00792FB2">
              <w:rPr>
                <w:rStyle w:val="a6"/>
                <w:rFonts w:asciiTheme="minorEastAsia" w:hAnsiTheme="minorEastAsia"/>
                <w:noProof/>
              </w:rPr>
              <w:t xml:space="preserve">1.1  </w:t>
            </w:r>
            <w:r w:rsidR="00792FB2" w:rsidRPr="00792FB2">
              <w:rPr>
                <w:rStyle w:val="a6"/>
                <w:rFonts w:asciiTheme="minorEastAsia" w:hAnsiTheme="minorEastAsia" w:hint="eastAsia"/>
                <w:noProof/>
              </w:rPr>
              <w:t>披露依据</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_Toc237550980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1</w:t>
            </w:r>
            <w:r w:rsidR="00792FB2" w:rsidRPr="00792FB2">
              <w:rPr>
                <w:rFonts w:asciiTheme="minorEastAsia" w:hAnsiTheme="minorEastAsia"/>
                <w:noProof/>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1" w:history="1">
            <w:r w:rsidR="00792FB2" w:rsidRPr="00792FB2">
              <w:rPr>
                <w:rStyle w:val="a6"/>
                <w:rFonts w:asciiTheme="minorEastAsia" w:hAnsiTheme="minorEastAsia"/>
                <w:noProof/>
              </w:rPr>
              <w:t xml:space="preserve">1.2  </w:t>
            </w:r>
            <w:r w:rsidR="00792FB2" w:rsidRPr="00792FB2">
              <w:rPr>
                <w:rStyle w:val="a6"/>
                <w:rFonts w:asciiTheme="minorEastAsia" w:hAnsiTheme="minorEastAsia" w:hint="eastAsia"/>
                <w:noProof/>
              </w:rPr>
              <w:t>披露声明</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_Toc237550981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1</w:t>
            </w:r>
            <w:r w:rsidR="00792FB2" w:rsidRPr="00792FB2">
              <w:rPr>
                <w:rFonts w:asciiTheme="minorEastAsia" w:hAnsiTheme="minorEastAsia"/>
                <w:noProof/>
                <w:webHidden/>
              </w:rPr>
              <w:fldChar w:fldCharType="end"/>
            </w:r>
          </w:hyperlink>
        </w:p>
        <w:p w:rsidR="00792FB2" w:rsidRPr="00792FB2" w:rsidRDefault="000F574D" w:rsidP="00792FB2">
          <w:pPr>
            <w:pStyle w:val="10"/>
            <w:rPr>
              <w:kern w:val="2"/>
            </w:rPr>
          </w:pPr>
          <w:hyperlink w:anchor="_Toc237550982" w:history="1">
            <w:r w:rsidR="00792FB2" w:rsidRPr="00792FB2">
              <w:rPr>
                <w:rStyle w:val="a6"/>
              </w:rPr>
              <w:t xml:space="preserve">2  </w:t>
            </w:r>
            <w:r w:rsidR="00792FB2" w:rsidRPr="00792FB2">
              <w:rPr>
                <w:rStyle w:val="a6"/>
                <w:rFonts w:hint="eastAsia"/>
              </w:rPr>
              <w:t>风险管理、关键审慎监管指标和风险加权资产概览</w:t>
            </w:r>
            <w:r w:rsidR="00792FB2" w:rsidRPr="00792FB2">
              <w:rPr>
                <w:webHidden/>
              </w:rPr>
              <w:tab/>
            </w:r>
            <w:r w:rsidR="00792FB2" w:rsidRPr="00792FB2">
              <w:rPr>
                <w:webHidden/>
              </w:rPr>
              <w:fldChar w:fldCharType="begin"/>
            </w:r>
            <w:r w:rsidR="00792FB2" w:rsidRPr="00792FB2">
              <w:rPr>
                <w:webHidden/>
              </w:rPr>
              <w:instrText xml:space="preserve"> PAGEREF _Toc237550982 \h </w:instrText>
            </w:r>
            <w:r w:rsidR="00792FB2" w:rsidRPr="00792FB2">
              <w:rPr>
                <w:webHidden/>
              </w:rPr>
            </w:r>
            <w:r w:rsidR="00792FB2" w:rsidRPr="00792FB2">
              <w:rPr>
                <w:webHidden/>
              </w:rPr>
              <w:fldChar w:fldCharType="separate"/>
            </w:r>
            <w:r w:rsidR="00792FB2" w:rsidRPr="00792FB2">
              <w:rPr>
                <w:webHidden/>
              </w:rPr>
              <w:t>2</w:t>
            </w:r>
            <w:r w:rsidR="00792FB2" w:rsidRPr="00792FB2">
              <w:rPr>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3" w:history="1">
            <w:r w:rsidR="00792FB2" w:rsidRPr="00792FB2">
              <w:rPr>
                <w:rStyle w:val="a6"/>
                <w:rFonts w:asciiTheme="minorEastAsia" w:hAnsiTheme="minorEastAsia"/>
                <w:noProof/>
              </w:rPr>
              <w:t xml:space="preserve">2.1  KM1 </w:t>
            </w:r>
            <w:r w:rsidR="00792FB2" w:rsidRPr="00792FB2">
              <w:rPr>
                <w:rStyle w:val="a6"/>
                <w:rFonts w:asciiTheme="minorEastAsia" w:hAnsiTheme="minorEastAsia" w:hint="eastAsia"/>
                <w:noProof/>
              </w:rPr>
              <w:t>关键审慎监管指标</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_Toc237550983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2</w:t>
            </w:r>
            <w:r w:rsidR="00792FB2" w:rsidRPr="00792FB2">
              <w:rPr>
                <w:rFonts w:asciiTheme="minorEastAsia" w:hAnsiTheme="minorEastAsia"/>
                <w:noProof/>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4" w:history="1">
            <w:r w:rsidR="00792FB2" w:rsidRPr="00792FB2">
              <w:rPr>
                <w:rStyle w:val="a6"/>
                <w:rFonts w:asciiTheme="minorEastAsia" w:hAnsiTheme="minorEastAsia"/>
                <w:noProof/>
              </w:rPr>
              <w:t xml:space="preserve">2.2  </w:t>
            </w:r>
            <w:r w:rsidR="00792FB2" w:rsidRPr="00792FB2">
              <w:rPr>
                <w:rStyle w:val="a6"/>
                <w:rFonts w:asciiTheme="minorEastAsia" w:hAnsiTheme="minorEastAsia" w:cs="Times New Roman"/>
                <w:noProof/>
              </w:rPr>
              <w:t xml:space="preserve">OV1 </w:t>
            </w:r>
            <w:r w:rsidR="00792FB2" w:rsidRPr="00792FB2">
              <w:rPr>
                <w:rStyle w:val="a6"/>
                <w:rFonts w:asciiTheme="minorEastAsia" w:hAnsiTheme="minorEastAsia" w:hint="eastAsia"/>
                <w:noProof/>
              </w:rPr>
              <w:t>风险加权资产概况</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_Toc237550984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3</w:t>
            </w:r>
            <w:r w:rsidR="00792FB2" w:rsidRPr="00792FB2">
              <w:rPr>
                <w:rFonts w:asciiTheme="minorEastAsia" w:hAnsiTheme="minorEastAsia"/>
                <w:noProof/>
                <w:webHidden/>
              </w:rPr>
              <w:fldChar w:fldCharType="end"/>
            </w:r>
          </w:hyperlink>
        </w:p>
        <w:p w:rsidR="00792FB2" w:rsidRPr="00792FB2" w:rsidRDefault="000F574D" w:rsidP="00792FB2">
          <w:pPr>
            <w:pStyle w:val="10"/>
            <w:rPr>
              <w:kern w:val="2"/>
            </w:rPr>
          </w:pPr>
          <w:hyperlink w:anchor="_Toc237550985" w:history="1">
            <w:r w:rsidR="00792FB2" w:rsidRPr="00792FB2">
              <w:rPr>
                <w:rStyle w:val="a6"/>
              </w:rPr>
              <w:t xml:space="preserve">3  </w:t>
            </w:r>
            <w:r w:rsidR="00792FB2" w:rsidRPr="00792FB2">
              <w:rPr>
                <w:rStyle w:val="a6"/>
                <w:rFonts w:hint="eastAsia"/>
              </w:rPr>
              <w:t>资本构成</w:t>
            </w:r>
            <w:r w:rsidR="00792FB2" w:rsidRPr="00792FB2">
              <w:rPr>
                <w:webHidden/>
              </w:rPr>
              <w:tab/>
            </w:r>
            <w:r w:rsidR="00792FB2" w:rsidRPr="00792FB2">
              <w:rPr>
                <w:webHidden/>
              </w:rPr>
              <w:fldChar w:fldCharType="begin"/>
            </w:r>
            <w:r w:rsidR="00792FB2" w:rsidRPr="00792FB2">
              <w:rPr>
                <w:webHidden/>
              </w:rPr>
              <w:instrText xml:space="preserve"> PAGEREF _Toc237550985 \h </w:instrText>
            </w:r>
            <w:r w:rsidR="00792FB2" w:rsidRPr="00792FB2">
              <w:rPr>
                <w:webHidden/>
              </w:rPr>
            </w:r>
            <w:r w:rsidR="00792FB2" w:rsidRPr="00792FB2">
              <w:rPr>
                <w:webHidden/>
              </w:rPr>
              <w:fldChar w:fldCharType="separate"/>
            </w:r>
            <w:r w:rsidR="00792FB2" w:rsidRPr="00792FB2">
              <w:rPr>
                <w:webHidden/>
              </w:rPr>
              <w:t>4</w:t>
            </w:r>
            <w:r w:rsidR="00792FB2" w:rsidRPr="00792FB2">
              <w:rPr>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6" w:history="1">
            <w:r w:rsidR="00792FB2" w:rsidRPr="00792FB2">
              <w:rPr>
                <w:rStyle w:val="a6"/>
                <w:rFonts w:asciiTheme="minorEastAsia" w:hAnsiTheme="minorEastAsia"/>
                <w:noProof/>
              </w:rPr>
              <w:t xml:space="preserve">3.1  </w:t>
            </w:r>
            <w:r w:rsidR="00792FB2" w:rsidRPr="00792FB2">
              <w:rPr>
                <w:rStyle w:val="a6"/>
                <w:rFonts w:asciiTheme="minorEastAsia" w:hAnsiTheme="minorEastAsia" w:cs="Times New Roman"/>
                <w:noProof/>
              </w:rPr>
              <w:t xml:space="preserve">CCA </w:t>
            </w:r>
            <w:r w:rsidR="00792FB2" w:rsidRPr="00792FB2">
              <w:rPr>
                <w:rStyle w:val="a6"/>
                <w:rFonts w:asciiTheme="minorEastAsia" w:hAnsiTheme="minorEastAsia" w:hint="eastAsia"/>
                <w:noProof/>
              </w:rPr>
              <w:t>资本工具的主要特征</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_Toc237550986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4</w:t>
            </w:r>
            <w:r w:rsidR="00792FB2" w:rsidRPr="00792FB2">
              <w:rPr>
                <w:rFonts w:asciiTheme="minorEastAsia" w:hAnsiTheme="minorEastAsia"/>
                <w:noProof/>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7" w:history="1">
            <w:r w:rsidR="00792FB2" w:rsidRPr="00792FB2">
              <w:rPr>
                <w:rStyle w:val="a6"/>
                <w:rFonts w:asciiTheme="minorEastAsia" w:hAnsiTheme="minorEastAsia"/>
                <w:noProof/>
              </w:rPr>
              <w:t xml:space="preserve">3.2  </w:t>
            </w:r>
            <w:r w:rsidR="00792FB2" w:rsidRPr="00792FB2">
              <w:rPr>
                <w:rStyle w:val="a6"/>
                <w:rFonts w:asciiTheme="minorEastAsia" w:hAnsiTheme="minorEastAsia" w:cs="Times New Roman"/>
                <w:noProof/>
              </w:rPr>
              <w:t xml:space="preserve">CC1 </w:t>
            </w:r>
            <w:r w:rsidR="00792FB2" w:rsidRPr="00792FB2">
              <w:rPr>
                <w:rStyle w:val="a6"/>
                <w:rFonts w:asciiTheme="minorEastAsia" w:hAnsiTheme="minorEastAsia" w:hint="eastAsia"/>
                <w:noProof/>
              </w:rPr>
              <w:t>资本构成</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_Toc237550987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4</w:t>
            </w:r>
            <w:r w:rsidR="00792FB2" w:rsidRPr="00792FB2">
              <w:rPr>
                <w:rFonts w:asciiTheme="minorEastAsia" w:hAnsiTheme="minorEastAsia"/>
                <w:noProof/>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88" w:history="1">
            <w:r w:rsidR="00792FB2" w:rsidRPr="00792FB2">
              <w:rPr>
                <w:rStyle w:val="a6"/>
                <w:rFonts w:asciiTheme="minorEastAsia" w:hAnsiTheme="minorEastAsia"/>
                <w:noProof/>
              </w:rPr>
              <w:t xml:space="preserve">3.3  </w:t>
            </w:r>
            <w:r w:rsidR="00792FB2" w:rsidRPr="00792FB2">
              <w:rPr>
                <w:rStyle w:val="a6"/>
                <w:rFonts w:asciiTheme="minorEastAsia" w:hAnsiTheme="minorEastAsia" w:cs="Times New Roman"/>
                <w:noProof/>
              </w:rPr>
              <w:t xml:space="preserve">CC2 </w:t>
            </w:r>
            <w:r w:rsidR="00792FB2" w:rsidRPr="00792FB2">
              <w:rPr>
                <w:rStyle w:val="a6"/>
                <w:rFonts w:asciiTheme="minorEastAsia" w:hAnsiTheme="minorEastAsia" w:hint="eastAsia"/>
                <w:noProof/>
              </w:rPr>
              <w:t>集团财务并表和监管并表下的资产负债表差异</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_Toc237550988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7</w:t>
            </w:r>
            <w:r w:rsidR="00792FB2" w:rsidRPr="00792FB2">
              <w:rPr>
                <w:rFonts w:asciiTheme="minorEastAsia" w:hAnsiTheme="minorEastAsia"/>
                <w:noProof/>
                <w:webHidden/>
              </w:rPr>
              <w:fldChar w:fldCharType="end"/>
            </w:r>
          </w:hyperlink>
        </w:p>
        <w:p w:rsidR="00792FB2" w:rsidRPr="00792FB2" w:rsidRDefault="000F574D" w:rsidP="00792FB2">
          <w:pPr>
            <w:pStyle w:val="10"/>
            <w:rPr>
              <w:kern w:val="2"/>
            </w:rPr>
          </w:pPr>
          <w:hyperlink w:anchor="_Toc237550989" w:history="1">
            <w:r w:rsidR="00792FB2" w:rsidRPr="00792FB2">
              <w:rPr>
                <w:rStyle w:val="a6"/>
              </w:rPr>
              <w:t xml:space="preserve">4  </w:t>
            </w:r>
            <w:r w:rsidR="00792FB2" w:rsidRPr="00792FB2">
              <w:rPr>
                <w:rStyle w:val="a6"/>
                <w:rFonts w:hint="eastAsia"/>
              </w:rPr>
              <w:t>杠杆率</w:t>
            </w:r>
            <w:r w:rsidR="00792FB2" w:rsidRPr="00792FB2">
              <w:rPr>
                <w:webHidden/>
              </w:rPr>
              <w:tab/>
            </w:r>
            <w:r w:rsidR="00792FB2" w:rsidRPr="00792FB2">
              <w:rPr>
                <w:webHidden/>
              </w:rPr>
              <w:fldChar w:fldCharType="begin"/>
            </w:r>
            <w:r w:rsidR="00792FB2" w:rsidRPr="00792FB2">
              <w:rPr>
                <w:webHidden/>
              </w:rPr>
              <w:instrText xml:space="preserve"> PAGEREF _Toc237550989 \h </w:instrText>
            </w:r>
            <w:r w:rsidR="00792FB2" w:rsidRPr="00792FB2">
              <w:rPr>
                <w:webHidden/>
              </w:rPr>
            </w:r>
            <w:r w:rsidR="00792FB2" w:rsidRPr="00792FB2">
              <w:rPr>
                <w:webHidden/>
              </w:rPr>
              <w:fldChar w:fldCharType="separate"/>
            </w:r>
            <w:r w:rsidR="00792FB2" w:rsidRPr="00792FB2">
              <w:rPr>
                <w:webHidden/>
              </w:rPr>
              <w:t>9</w:t>
            </w:r>
            <w:r w:rsidR="00792FB2" w:rsidRPr="00792FB2">
              <w:rPr>
                <w:webHidden/>
              </w:rPr>
              <w:fldChar w:fldCharType="end"/>
            </w:r>
          </w:hyperlink>
        </w:p>
        <w:p w:rsidR="00792FB2" w:rsidRPr="00792FB2" w:rsidRDefault="000F574D">
          <w:pPr>
            <w:pStyle w:val="20"/>
            <w:tabs>
              <w:tab w:val="right" w:leader="dot" w:pos="8302"/>
            </w:tabs>
            <w:rPr>
              <w:rFonts w:asciiTheme="minorEastAsia" w:hAnsiTheme="minorEastAsia"/>
              <w:noProof/>
              <w:kern w:val="2"/>
            </w:rPr>
          </w:pPr>
          <w:hyperlink w:anchor="_Toc237550990" w:history="1">
            <w:r w:rsidR="00792FB2" w:rsidRPr="00792FB2">
              <w:rPr>
                <w:rStyle w:val="a6"/>
                <w:rFonts w:asciiTheme="minorEastAsia" w:hAnsiTheme="minorEastAsia"/>
                <w:noProof/>
              </w:rPr>
              <w:t xml:space="preserve">4.1  </w:t>
            </w:r>
            <w:r w:rsidR="00792FB2" w:rsidRPr="00792FB2">
              <w:rPr>
                <w:rStyle w:val="a6"/>
                <w:rFonts w:asciiTheme="minorEastAsia" w:hAnsiTheme="minorEastAsia" w:cs="Times New Roman"/>
                <w:noProof/>
              </w:rPr>
              <w:t xml:space="preserve">LR1 </w:t>
            </w:r>
            <w:r w:rsidR="00792FB2" w:rsidRPr="00792FB2">
              <w:rPr>
                <w:rStyle w:val="a6"/>
                <w:rFonts w:asciiTheme="minorEastAsia" w:hAnsiTheme="minorEastAsia" w:hint="eastAsia"/>
                <w:noProof/>
              </w:rPr>
              <w:t>杠杆率监管项目与相关会计项目的差异</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_Toc237550990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9</w:t>
            </w:r>
            <w:r w:rsidR="00792FB2" w:rsidRPr="00792FB2">
              <w:rPr>
                <w:rFonts w:asciiTheme="minorEastAsia" w:hAnsiTheme="minorEastAsia"/>
                <w:noProof/>
                <w:webHidden/>
              </w:rPr>
              <w:fldChar w:fldCharType="end"/>
            </w:r>
          </w:hyperlink>
        </w:p>
        <w:p w:rsidR="00792FB2" w:rsidRDefault="000F574D">
          <w:pPr>
            <w:pStyle w:val="20"/>
            <w:tabs>
              <w:tab w:val="right" w:leader="dot" w:pos="8302"/>
            </w:tabs>
            <w:rPr>
              <w:noProof/>
              <w:kern w:val="2"/>
              <w:sz w:val="21"/>
            </w:rPr>
          </w:pPr>
          <w:hyperlink w:anchor="_Toc237550991" w:history="1">
            <w:r w:rsidR="00792FB2" w:rsidRPr="00792FB2">
              <w:rPr>
                <w:rStyle w:val="a6"/>
                <w:rFonts w:asciiTheme="minorEastAsia" w:hAnsiTheme="minorEastAsia"/>
                <w:noProof/>
              </w:rPr>
              <w:t xml:space="preserve">4.2  </w:t>
            </w:r>
            <w:r w:rsidR="00792FB2" w:rsidRPr="00792FB2">
              <w:rPr>
                <w:rStyle w:val="a6"/>
                <w:rFonts w:asciiTheme="minorEastAsia" w:hAnsiTheme="minorEastAsia" w:cs="Times New Roman"/>
                <w:noProof/>
              </w:rPr>
              <w:t xml:space="preserve">LR2 </w:t>
            </w:r>
            <w:r w:rsidR="00792FB2" w:rsidRPr="00792FB2">
              <w:rPr>
                <w:rStyle w:val="a6"/>
                <w:rFonts w:asciiTheme="minorEastAsia" w:hAnsiTheme="minorEastAsia" w:hint="eastAsia"/>
                <w:noProof/>
              </w:rPr>
              <w:t>杠杆率</w:t>
            </w:r>
            <w:r w:rsidR="00792FB2" w:rsidRPr="00792FB2">
              <w:rPr>
                <w:rFonts w:asciiTheme="minorEastAsia" w:hAnsiTheme="minorEastAsia"/>
                <w:noProof/>
                <w:webHidden/>
              </w:rPr>
              <w:tab/>
            </w:r>
            <w:r w:rsidR="00792FB2" w:rsidRPr="00792FB2">
              <w:rPr>
                <w:rFonts w:asciiTheme="minorEastAsia" w:hAnsiTheme="minorEastAsia"/>
                <w:noProof/>
                <w:webHidden/>
              </w:rPr>
              <w:fldChar w:fldCharType="begin"/>
            </w:r>
            <w:r w:rsidR="00792FB2" w:rsidRPr="00792FB2">
              <w:rPr>
                <w:rFonts w:asciiTheme="minorEastAsia" w:hAnsiTheme="minorEastAsia"/>
                <w:noProof/>
                <w:webHidden/>
              </w:rPr>
              <w:instrText xml:space="preserve"> PAGEREF _Toc237550991 \h </w:instrText>
            </w:r>
            <w:r w:rsidR="00792FB2" w:rsidRPr="00792FB2">
              <w:rPr>
                <w:rFonts w:asciiTheme="minorEastAsia" w:hAnsiTheme="minorEastAsia"/>
                <w:noProof/>
                <w:webHidden/>
              </w:rPr>
            </w:r>
            <w:r w:rsidR="00792FB2" w:rsidRPr="00792FB2">
              <w:rPr>
                <w:rFonts w:asciiTheme="minorEastAsia" w:hAnsiTheme="minorEastAsia"/>
                <w:noProof/>
                <w:webHidden/>
              </w:rPr>
              <w:fldChar w:fldCharType="separate"/>
            </w:r>
            <w:r w:rsidR="00792FB2" w:rsidRPr="00792FB2">
              <w:rPr>
                <w:rFonts w:asciiTheme="minorEastAsia" w:hAnsiTheme="minorEastAsia"/>
                <w:noProof/>
                <w:webHidden/>
              </w:rPr>
              <w:t>10</w:t>
            </w:r>
            <w:r w:rsidR="00792FB2" w:rsidRPr="00792FB2">
              <w:rPr>
                <w:rFonts w:asciiTheme="minorEastAsia" w:hAnsiTheme="minorEastAsia"/>
                <w:noProof/>
                <w:webHidden/>
              </w:rPr>
              <w:fldChar w:fldCharType="end"/>
            </w:r>
          </w:hyperlink>
        </w:p>
        <w:p w:rsidR="00F50307" w:rsidRDefault="00F50307" w:rsidP="00282E26">
          <w:pPr>
            <w:spacing w:line="360" w:lineRule="auto"/>
          </w:pPr>
          <w:r w:rsidRPr="00F72CD6">
            <w:rPr>
              <w:rFonts w:asciiTheme="minorEastAsia" w:hAnsiTheme="minorEastAsia"/>
              <w:b/>
              <w:bCs/>
              <w:sz w:val="24"/>
              <w:szCs w:val="24"/>
              <w:lang w:val="zh-CN"/>
            </w:rPr>
            <w:fldChar w:fldCharType="end"/>
          </w:r>
        </w:p>
      </w:sdtContent>
    </w:sdt>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5E452C" w:rsidRPr="00F50307" w:rsidRDefault="005E452C" w:rsidP="00282E26">
      <w:pPr>
        <w:spacing w:line="360" w:lineRule="auto"/>
        <w:rPr>
          <w:rFonts w:asciiTheme="minorEastAsia" w:hAnsiTheme="minorEastAsia" w:cs="Times New Roman"/>
          <w:color w:val="000000"/>
          <w:szCs w:val="21"/>
        </w:rPr>
      </w:pPr>
    </w:p>
    <w:p w:rsidR="00676F66" w:rsidRDefault="00676F66" w:rsidP="00282E26">
      <w:pPr>
        <w:pStyle w:val="1"/>
        <w:spacing w:before="0" w:after="0" w:line="360" w:lineRule="auto"/>
        <w:rPr>
          <w:rFonts w:asciiTheme="minorEastAsia" w:hAnsiTheme="minorEastAsia"/>
          <w:sz w:val="28"/>
          <w:szCs w:val="24"/>
        </w:rPr>
        <w:sectPr w:rsidR="00676F66" w:rsidSect="00676F66">
          <w:pgSz w:w="11906" w:h="16838"/>
          <w:pgMar w:top="1304" w:right="1797" w:bottom="1304" w:left="1797" w:header="851" w:footer="992" w:gutter="0"/>
          <w:cols w:space="425"/>
          <w:docGrid w:type="lines" w:linePitch="312"/>
        </w:sectPr>
      </w:pPr>
    </w:p>
    <w:p w:rsidR="005E452C" w:rsidRPr="002E660F" w:rsidRDefault="005E452C" w:rsidP="00282E26">
      <w:pPr>
        <w:pStyle w:val="1"/>
        <w:spacing w:before="0" w:after="0" w:line="360" w:lineRule="auto"/>
        <w:rPr>
          <w:rFonts w:asciiTheme="minorEastAsia" w:hAnsiTheme="minorEastAsia"/>
          <w:sz w:val="28"/>
          <w:szCs w:val="24"/>
        </w:rPr>
      </w:pPr>
      <w:bookmarkStart w:id="0" w:name="_Toc237550979"/>
      <w:r w:rsidRPr="002E660F">
        <w:rPr>
          <w:rFonts w:asciiTheme="minorEastAsia" w:hAnsiTheme="minorEastAsia" w:hint="eastAsia"/>
          <w:sz w:val="28"/>
          <w:szCs w:val="24"/>
        </w:rPr>
        <w:lastRenderedPageBreak/>
        <w:t>1</w:t>
      </w:r>
      <w:r w:rsidR="00137392" w:rsidRPr="002E660F">
        <w:rPr>
          <w:rFonts w:asciiTheme="minorEastAsia" w:hAnsiTheme="minorEastAsia"/>
          <w:sz w:val="28"/>
          <w:szCs w:val="24"/>
        </w:rPr>
        <w:t xml:space="preserve">  </w:t>
      </w:r>
      <w:r w:rsidRPr="002E660F">
        <w:rPr>
          <w:rFonts w:asciiTheme="minorEastAsia" w:hAnsiTheme="minorEastAsia" w:hint="eastAsia"/>
          <w:sz w:val="28"/>
          <w:szCs w:val="24"/>
        </w:rPr>
        <w:t>引言</w:t>
      </w:r>
      <w:bookmarkEnd w:id="0"/>
    </w:p>
    <w:p w:rsidR="005E452C" w:rsidRPr="002E660F" w:rsidRDefault="005E452C" w:rsidP="00282E26">
      <w:pPr>
        <w:pStyle w:val="2"/>
        <w:spacing w:before="0" w:after="0" w:line="360" w:lineRule="auto"/>
        <w:rPr>
          <w:rFonts w:asciiTheme="minorEastAsia" w:eastAsiaTheme="minorEastAsia" w:hAnsiTheme="minorEastAsia"/>
          <w:sz w:val="24"/>
          <w:szCs w:val="24"/>
        </w:rPr>
      </w:pPr>
      <w:bookmarkStart w:id="1" w:name="_Toc237550980"/>
      <w:r w:rsidRPr="002E660F">
        <w:rPr>
          <w:rFonts w:asciiTheme="minorEastAsia" w:eastAsiaTheme="minorEastAsia" w:hAnsiTheme="minorEastAsia" w:hint="eastAsia"/>
          <w:sz w:val="24"/>
          <w:szCs w:val="24"/>
        </w:rPr>
        <w:t>1.1</w:t>
      </w:r>
      <w:r w:rsidR="00137392" w:rsidRPr="002E660F">
        <w:rPr>
          <w:rFonts w:asciiTheme="minorEastAsia" w:eastAsiaTheme="minorEastAsia" w:hAnsiTheme="minorEastAsia"/>
          <w:sz w:val="24"/>
          <w:szCs w:val="24"/>
        </w:rPr>
        <w:t xml:space="preserve">  </w:t>
      </w:r>
      <w:r w:rsidRPr="002E660F">
        <w:rPr>
          <w:rFonts w:asciiTheme="minorEastAsia" w:eastAsiaTheme="minorEastAsia" w:hAnsiTheme="minorEastAsia" w:hint="eastAsia"/>
          <w:sz w:val="24"/>
          <w:szCs w:val="24"/>
        </w:rPr>
        <w:t>披露依据</w:t>
      </w:r>
      <w:bookmarkEnd w:id="1"/>
    </w:p>
    <w:p w:rsidR="005E452C" w:rsidRPr="002E660F" w:rsidRDefault="005E452C"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本报告根据国家金融监督管理总局令第4号《商业银行资本管理办法》编制并披露。</w:t>
      </w:r>
    </w:p>
    <w:p w:rsidR="005E452C" w:rsidRPr="002E660F" w:rsidRDefault="005E452C" w:rsidP="00282E26">
      <w:pPr>
        <w:pStyle w:val="2"/>
        <w:spacing w:before="0" w:after="0" w:line="360" w:lineRule="auto"/>
        <w:rPr>
          <w:rFonts w:asciiTheme="minorEastAsia" w:eastAsiaTheme="minorEastAsia" w:hAnsiTheme="minorEastAsia"/>
          <w:sz w:val="24"/>
          <w:szCs w:val="24"/>
        </w:rPr>
      </w:pPr>
      <w:bookmarkStart w:id="2" w:name="_Toc237550981"/>
      <w:r w:rsidRPr="002E660F">
        <w:rPr>
          <w:rFonts w:asciiTheme="minorEastAsia" w:eastAsiaTheme="minorEastAsia" w:hAnsiTheme="minorEastAsia" w:hint="eastAsia"/>
          <w:sz w:val="24"/>
          <w:szCs w:val="24"/>
        </w:rPr>
        <w:t>1.2</w:t>
      </w:r>
      <w:r w:rsidR="00137392" w:rsidRPr="002E660F">
        <w:rPr>
          <w:rFonts w:asciiTheme="minorEastAsia" w:eastAsiaTheme="minorEastAsia" w:hAnsiTheme="minorEastAsia"/>
          <w:sz w:val="24"/>
          <w:szCs w:val="24"/>
        </w:rPr>
        <w:t xml:space="preserve">  </w:t>
      </w:r>
      <w:r w:rsidRPr="002E660F">
        <w:rPr>
          <w:rFonts w:asciiTheme="minorEastAsia" w:eastAsiaTheme="minorEastAsia" w:hAnsiTheme="minorEastAsia" w:hint="eastAsia"/>
          <w:sz w:val="24"/>
          <w:szCs w:val="24"/>
        </w:rPr>
        <w:t>披露声明</w:t>
      </w:r>
      <w:bookmarkEnd w:id="2"/>
    </w:p>
    <w:p w:rsidR="005E452C" w:rsidRPr="002E660F" w:rsidRDefault="005E452C"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本公司已建立第三支柱信息披露管理治理架构</w:t>
      </w:r>
      <w:r w:rsidR="00F52A86" w:rsidRPr="002E660F">
        <w:rPr>
          <w:rFonts w:asciiTheme="minorEastAsia" w:hAnsiTheme="minorEastAsia" w:cs="Times New Roman" w:hint="eastAsia"/>
          <w:color w:val="000000"/>
          <w:sz w:val="24"/>
          <w:szCs w:val="24"/>
        </w:rPr>
        <w:t>，</w:t>
      </w:r>
      <w:r w:rsidRPr="002E660F">
        <w:rPr>
          <w:rFonts w:asciiTheme="minorEastAsia" w:hAnsiTheme="minorEastAsia" w:cs="Times New Roman" w:hint="eastAsia"/>
          <w:color w:val="000000"/>
          <w:sz w:val="24"/>
          <w:szCs w:val="24"/>
        </w:rPr>
        <w:t>由本公司董事会批准并由高级管理层实施有效的内部控制流程，对信息披露内容进行合理审查，确保第三支柱披露信息真实、可靠。</w:t>
      </w:r>
    </w:p>
    <w:p w:rsidR="00F50307" w:rsidRPr="002E660F" w:rsidRDefault="005E452C"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本报告是按照国家金融监督管理总局《商业银行资本管理办法》正文第九章信息披露及附件22商业银行信息披露内容和要求</w:t>
      </w:r>
      <w:r w:rsidR="00625B55" w:rsidRPr="002E660F">
        <w:rPr>
          <w:rFonts w:asciiTheme="minorEastAsia" w:hAnsiTheme="minorEastAsia" w:cs="Times New Roman" w:hint="eastAsia"/>
          <w:color w:val="000000"/>
          <w:sz w:val="24"/>
          <w:szCs w:val="24"/>
        </w:rPr>
        <w:t>编制</w:t>
      </w:r>
      <w:r w:rsidR="00625B55">
        <w:rPr>
          <w:rFonts w:asciiTheme="minorEastAsia" w:hAnsiTheme="minorEastAsia" w:cs="Times New Roman" w:hint="eastAsia"/>
          <w:color w:val="000000"/>
          <w:sz w:val="24"/>
          <w:szCs w:val="24"/>
        </w:rPr>
        <w:t>，</w:t>
      </w:r>
      <w:r w:rsidRPr="002E660F">
        <w:rPr>
          <w:rFonts w:asciiTheme="minorEastAsia" w:hAnsiTheme="minorEastAsia" w:cs="Times New Roman" w:hint="eastAsia"/>
          <w:color w:val="000000"/>
          <w:sz w:val="24"/>
          <w:szCs w:val="24"/>
        </w:rPr>
        <w:t>而非财务会计准则。因此，报告中的部分资料并不能与同期财务报告的信息直接进行比较。</w:t>
      </w:r>
    </w:p>
    <w:p w:rsidR="005E452C" w:rsidRPr="002E660F" w:rsidRDefault="00F50307"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本报告除特别注明外，均以千元为单位，因四舍五入可能存在数据尾差。</w:t>
      </w:r>
    </w:p>
    <w:p w:rsidR="00F52A86" w:rsidRPr="002E660F" w:rsidRDefault="00F52A86"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Default="00885336" w:rsidP="00282E26">
      <w:pPr>
        <w:spacing w:line="360" w:lineRule="auto"/>
        <w:rPr>
          <w:rFonts w:asciiTheme="minorEastAsia" w:hAnsiTheme="minorEastAsia" w:cs="Times New Roman"/>
          <w:color w:val="000000"/>
          <w:sz w:val="24"/>
          <w:szCs w:val="24"/>
        </w:rPr>
      </w:pPr>
    </w:p>
    <w:p w:rsidR="002A644A" w:rsidRPr="002E660F" w:rsidRDefault="002A644A" w:rsidP="00282E26">
      <w:pPr>
        <w:spacing w:line="360" w:lineRule="auto"/>
        <w:rPr>
          <w:rFonts w:asciiTheme="minorEastAsia" w:hAnsiTheme="minorEastAsia" w:cs="Times New Roman"/>
          <w:color w:val="000000"/>
          <w:sz w:val="24"/>
          <w:szCs w:val="24"/>
        </w:rPr>
      </w:pPr>
    </w:p>
    <w:p w:rsidR="00885336" w:rsidRDefault="00885336" w:rsidP="00282E26">
      <w:pPr>
        <w:spacing w:line="360" w:lineRule="auto"/>
        <w:rPr>
          <w:rFonts w:asciiTheme="minorEastAsia" w:hAnsiTheme="minorEastAsia" w:cs="Times New Roman"/>
          <w:color w:val="000000"/>
          <w:sz w:val="24"/>
          <w:szCs w:val="24"/>
        </w:rPr>
      </w:pPr>
    </w:p>
    <w:p w:rsidR="00282E26" w:rsidRDefault="00282E26" w:rsidP="00282E26">
      <w:pPr>
        <w:spacing w:line="360" w:lineRule="auto"/>
        <w:rPr>
          <w:rFonts w:asciiTheme="minorEastAsia" w:hAnsiTheme="minorEastAsia" w:cs="Times New Roman"/>
          <w:color w:val="000000"/>
          <w:sz w:val="24"/>
          <w:szCs w:val="24"/>
        </w:rPr>
      </w:pPr>
    </w:p>
    <w:p w:rsidR="00282E26" w:rsidRDefault="00282E26" w:rsidP="00282E26">
      <w:pPr>
        <w:spacing w:line="360" w:lineRule="auto"/>
        <w:rPr>
          <w:rFonts w:asciiTheme="minorEastAsia" w:hAnsiTheme="minorEastAsia" w:cs="Times New Roman"/>
          <w:color w:val="000000"/>
          <w:sz w:val="24"/>
          <w:szCs w:val="24"/>
        </w:rPr>
      </w:pPr>
    </w:p>
    <w:p w:rsidR="00282E26" w:rsidRDefault="00282E26" w:rsidP="00282E26">
      <w:pPr>
        <w:spacing w:line="360" w:lineRule="auto"/>
        <w:rPr>
          <w:rFonts w:asciiTheme="minorEastAsia" w:hAnsiTheme="minorEastAsia" w:cs="Times New Roman"/>
          <w:color w:val="000000"/>
          <w:sz w:val="24"/>
          <w:szCs w:val="24"/>
        </w:rPr>
      </w:pPr>
    </w:p>
    <w:p w:rsidR="00282E26" w:rsidRDefault="00282E26" w:rsidP="00282E26">
      <w:pPr>
        <w:spacing w:line="360" w:lineRule="auto"/>
        <w:rPr>
          <w:rFonts w:asciiTheme="minorEastAsia" w:hAnsiTheme="minorEastAsia" w:cs="Times New Roman"/>
          <w:color w:val="000000"/>
          <w:sz w:val="24"/>
          <w:szCs w:val="24"/>
        </w:rPr>
      </w:pPr>
    </w:p>
    <w:p w:rsidR="009C296A" w:rsidRPr="002E660F" w:rsidRDefault="009C296A" w:rsidP="00282E26">
      <w:pPr>
        <w:spacing w:line="360" w:lineRule="auto"/>
        <w:rPr>
          <w:rFonts w:asciiTheme="minorEastAsia" w:hAnsiTheme="minorEastAsia" w:cs="Times New Roman"/>
          <w:color w:val="000000"/>
          <w:sz w:val="24"/>
          <w:szCs w:val="24"/>
        </w:rPr>
      </w:pPr>
    </w:p>
    <w:p w:rsidR="00F52A86" w:rsidRPr="002E660F" w:rsidRDefault="00F52A86" w:rsidP="00282E26">
      <w:pPr>
        <w:pStyle w:val="1"/>
        <w:spacing w:before="0" w:after="0" w:line="360" w:lineRule="auto"/>
        <w:rPr>
          <w:rFonts w:asciiTheme="minorEastAsia" w:hAnsiTheme="minorEastAsia"/>
          <w:sz w:val="28"/>
          <w:szCs w:val="28"/>
        </w:rPr>
      </w:pPr>
      <w:bookmarkStart w:id="3" w:name="_Toc237550982"/>
      <w:r w:rsidRPr="002E660F">
        <w:rPr>
          <w:rFonts w:asciiTheme="minorEastAsia" w:hAnsiTheme="minorEastAsia" w:hint="eastAsia"/>
          <w:sz w:val="28"/>
          <w:szCs w:val="28"/>
        </w:rPr>
        <w:lastRenderedPageBreak/>
        <w:t>2</w:t>
      </w:r>
      <w:r w:rsidR="00137392" w:rsidRPr="002E660F">
        <w:rPr>
          <w:rFonts w:asciiTheme="minorEastAsia" w:hAnsiTheme="minorEastAsia"/>
          <w:sz w:val="28"/>
          <w:szCs w:val="28"/>
        </w:rPr>
        <w:t xml:space="preserve">  </w:t>
      </w:r>
      <w:r w:rsidRPr="002E660F">
        <w:rPr>
          <w:rFonts w:asciiTheme="minorEastAsia" w:hAnsiTheme="minorEastAsia" w:hint="eastAsia"/>
          <w:sz w:val="28"/>
          <w:szCs w:val="28"/>
        </w:rPr>
        <w:t>风险管理、关键审慎监管指标和风险加权资产概览</w:t>
      </w:r>
      <w:bookmarkEnd w:id="3"/>
    </w:p>
    <w:p w:rsidR="00F52A86" w:rsidRPr="002E660F" w:rsidRDefault="00F52A86" w:rsidP="00282E26">
      <w:pPr>
        <w:pStyle w:val="2"/>
        <w:spacing w:before="0" w:after="0" w:line="360" w:lineRule="auto"/>
        <w:rPr>
          <w:rFonts w:asciiTheme="minorEastAsia" w:eastAsiaTheme="minorEastAsia" w:hAnsiTheme="minorEastAsia"/>
          <w:sz w:val="24"/>
          <w:szCs w:val="24"/>
        </w:rPr>
      </w:pPr>
      <w:bookmarkStart w:id="4" w:name="_Toc237550983"/>
      <w:r w:rsidRPr="002E660F">
        <w:rPr>
          <w:rFonts w:asciiTheme="minorEastAsia" w:eastAsiaTheme="minorEastAsia" w:hAnsiTheme="minorEastAsia" w:hint="eastAsia"/>
          <w:sz w:val="24"/>
          <w:szCs w:val="24"/>
        </w:rPr>
        <w:t>2.1</w:t>
      </w:r>
      <w:r w:rsidR="00137392" w:rsidRPr="002E660F">
        <w:rPr>
          <w:rFonts w:asciiTheme="minorEastAsia" w:eastAsiaTheme="minorEastAsia" w:hAnsiTheme="minorEastAsia"/>
          <w:sz w:val="24"/>
          <w:szCs w:val="24"/>
        </w:rPr>
        <w:t xml:space="preserve">  </w:t>
      </w:r>
      <w:r w:rsidR="005F40AD" w:rsidRPr="005F40AD">
        <w:rPr>
          <w:rFonts w:asciiTheme="minorEastAsia" w:eastAsiaTheme="minorEastAsia" w:hAnsiTheme="minorEastAsia"/>
          <w:sz w:val="24"/>
          <w:szCs w:val="24"/>
        </w:rPr>
        <w:t>KM1</w:t>
      </w:r>
      <w:r w:rsidR="005F40AD">
        <w:rPr>
          <w:rFonts w:asciiTheme="minorEastAsia" w:eastAsiaTheme="minorEastAsia" w:hAnsiTheme="minorEastAsia"/>
          <w:sz w:val="24"/>
          <w:szCs w:val="24"/>
        </w:rPr>
        <w:t xml:space="preserve"> </w:t>
      </w:r>
      <w:r w:rsidRPr="002E660F">
        <w:rPr>
          <w:rFonts w:asciiTheme="minorEastAsia" w:eastAsiaTheme="minorEastAsia" w:hAnsiTheme="minorEastAsia" w:hint="eastAsia"/>
          <w:sz w:val="24"/>
          <w:szCs w:val="24"/>
        </w:rPr>
        <w:t>关键审慎监管指标</w:t>
      </w:r>
      <w:bookmarkEnd w:id="4"/>
    </w:p>
    <w:p w:rsidR="00F52A86" w:rsidRPr="002E660F" w:rsidRDefault="00F52A86"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关键审慎监管指标包括资本充足率、杠杆率以及流动性风险相关的指标。本公司关键审慎监管指标概览如下：</w:t>
      </w:r>
    </w:p>
    <w:p w:rsidR="00F52A86" w:rsidRPr="002A644A" w:rsidRDefault="00F52A86" w:rsidP="00282E26">
      <w:pPr>
        <w:spacing w:line="360" w:lineRule="auto"/>
        <w:ind w:firstLineChars="200" w:firstLine="482"/>
        <w:rPr>
          <w:rFonts w:asciiTheme="minorEastAsia" w:hAnsiTheme="minorEastAsia" w:cs="Times New Roman"/>
          <w:b/>
          <w:color w:val="000000"/>
          <w:sz w:val="24"/>
          <w:szCs w:val="24"/>
        </w:rPr>
      </w:pPr>
      <w:r w:rsidRPr="002A644A">
        <w:rPr>
          <w:rFonts w:asciiTheme="minorEastAsia" w:hAnsiTheme="minorEastAsia" w:cs="Times New Roman" w:hint="eastAsia"/>
          <w:b/>
          <w:color w:val="000000"/>
          <w:sz w:val="24"/>
          <w:szCs w:val="24"/>
        </w:rPr>
        <w:t>表格KM1：监管并表关键审慎监管指标</w:t>
      </w:r>
    </w:p>
    <w:p w:rsidR="003A07B5" w:rsidRPr="002E660F" w:rsidRDefault="003A07B5" w:rsidP="00282E26">
      <w:pPr>
        <w:spacing w:line="360" w:lineRule="auto"/>
        <w:ind w:firstLineChars="200" w:firstLine="480"/>
        <w:jc w:val="right"/>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单位：人民币千元，百分比除外</w:t>
      </w:r>
    </w:p>
    <w:tbl>
      <w:tblPr>
        <w:tblW w:w="11241" w:type="dxa"/>
        <w:jc w:val="center"/>
        <w:tblLook w:val="04A0" w:firstRow="1" w:lastRow="0" w:firstColumn="1" w:lastColumn="0" w:noHBand="0" w:noVBand="1"/>
      </w:tblPr>
      <w:tblGrid>
        <w:gridCol w:w="532"/>
        <w:gridCol w:w="2607"/>
        <w:gridCol w:w="1620"/>
        <w:gridCol w:w="1620"/>
        <w:gridCol w:w="1621"/>
        <w:gridCol w:w="1620"/>
        <w:gridCol w:w="1621"/>
      </w:tblGrid>
      <w:tr w:rsidR="0089378D" w:rsidRPr="0089378D" w:rsidTr="0089378D">
        <w:trPr>
          <w:trHeight w:val="270"/>
          <w:tblHeader/>
          <w:jc w:val="center"/>
        </w:trPr>
        <w:tc>
          <w:tcPr>
            <w:tcW w:w="31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c</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d</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e</w:t>
            </w:r>
          </w:p>
        </w:tc>
      </w:tr>
      <w:tr w:rsidR="0089378D" w:rsidRPr="0089378D" w:rsidTr="0089378D">
        <w:trPr>
          <w:trHeight w:val="510"/>
          <w:tblHeader/>
          <w:jc w:val="center"/>
        </w:trPr>
        <w:tc>
          <w:tcPr>
            <w:tcW w:w="3139"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w:t>
            </w:r>
            <w:r w:rsidRPr="0089378D">
              <w:rPr>
                <w:rFonts w:ascii="宋体" w:eastAsia="宋体" w:hAnsi="宋体" w:cs="宋体" w:hint="eastAsia"/>
                <w:color w:val="000000"/>
                <w:kern w:val="0"/>
                <w:szCs w:val="21"/>
              </w:rPr>
              <w:br/>
              <w:t>6月30日</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w:t>
            </w:r>
            <w:r w:rsidRPr="0089378D">
              <w:rPr>
                <w:rFonts w:ascii="宋体" w:eastAsia="宋体" w:hAnsi="宋体" w:cs="宋体" w:hint="eastAsia"/>
                <w:color w:val="000000"/>
                <w:kern w:val="0"/>
                <w:szCs w:val="21"/>
              </w:rPr>
              <w:br/>
              <w:t>3月31日</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2025年</w:t>
            </w:r>
            <w:r w:rsidRPr="0089378D">
              <w:rPr>
                <w:rFonts w:ascii="宋体" w:eastAsia="宋体" w:hAnsi="宋体" w:cs="宋体" w:hint="eastAsia"/>
                <w:color w:val="000000"/>
                <w:kern w:val="0"/>
                <w:szCs w:val="21"/>
              </w:rPr>
              <w:br/>
              <w:t>12月31日</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2025年</w:t>
            </w:r>
            <w:r w:rsidRPr="0089378D">
              <w:rPr>
                <w:rFonts w:ascii="宋体" w:eastAsia="宋体" w:hAnsi="宋体" w:cs="宋体" w:hint="eastAsia"/>
                <w:color w:val="000000"/>
                <w:kern w:val="0"/>
                <w:szCs w:val="21"/>
              </w:rPr>
              <w:br/>
              <w:t>9月30日</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2025年</w:t>
            </w:r>
            <w:r w:rsidRPr="0089378D">
              <w:rPr>
                <w:rFonts w:ascii="宋体" w:eastAsia="宋体" w:hAnsi="宋体" w:cs="宋体" w:hint="eastAsia"/>
                <w:color w:val="000000"/>
                <w:kern w:val="0"/>
                <w:szCs w:val="21"/>
              </w:rPr>
              <w:br/>
              <w:t>6月30日</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可用资本（数额）</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核心一级资本净额</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20,846,625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20,489,972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19,997,554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20,176,035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20,197,108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一级资本净额</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20,846,625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20,489,972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19,997,554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20,176,035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20,197,108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资本净额</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24,873,011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24,705,617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24,109,000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23,334,854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24,256,581 </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风险加权资产（数额）</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风险加权资产</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197,668,504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193,518,825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188,269,592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186,459,862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183,812,984 </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资本充足率</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核心一级资本充足率（%）</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10.55</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10.59</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10.62</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10.82</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10.99</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一级资本充足率（%）</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10.55</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10.59</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10.62</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10.82</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10.99</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7</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资本充足率（%）</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12.58</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12.77</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12.81</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12.51</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13.20</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其他各级资本要求</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8</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储备资本要求（%）</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9</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逆周期资本要求（%）</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0.00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0.00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0.00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0.00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0.00</w:t>
            </w:r>
          </w:p>
        </w:tc>
      </w:tr>
      <w:tr w:rsidR="0089378D" w:rsidRPr="0089378D" w:rsidTr="0089378D">
        <w:trPr>
          <w:trHeight w:val="51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10</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全球系统重要性银行或国内系统重要性银行附加资本要求（%）</w:t>
            </w:r>
          </w:p>
        </w:tc>
        <w:tc>
          <w:tcPr>
            <w:tcW w:w="1620" w:type="dxa"/>
            <w:tcBorders>
              <w:top w:val="nil"/>
              <w:left w:val="nil"/>
              <w:bottom w:val="single" w:sz="4" w:space="0" w:color="auto"/>
              <w:right w:val="single" w:sz="4" w:space="0" w:color="auto"/>
            </w:tcBorders>
            <w:shd w:val="clear" w:color="000000" w:fill="E7E6E6"/>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620" w:type="dxa"/>
            <w:tcBorders>
              <w:top w:val="nil"/>
              <w:left w:val="nil"/>
              <w:bottom w:val="single" w:sz="4" w:space="0" w:color="auto"/>
              <w:right w:val="single" w:sz="4" w:space="0" w:color="auto"/>
            </w:tcBorders>
            <w:shd w:val="clear" w:color="000000" w:fill="E7E6E6"/>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621" w:type="dxa"/>
            <w:tcBorders>
              <w:top w:val="nil"/>
              <w:left w:val="nil"/>
              <w:bottom w:val="single" w:sz="4" w:space="0" w:color="auto"/>
              <w:right w:val="single" w:sz="4" w:space="0" w:color="auto"/>
            </w:tcBorders>
            <w:shd w:val="clear" w:color="000000" w:fill="E7E6E6"/>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620" w:type="dxa"/>
            <w:tcBorders>
              <w:top w:val="nil"/>
              <w:left w:val="nil"/>
              <w:bottom w:val="single" w:sz="4" w:space="0" w:color="auto"/>
              <w:right w:val="single" w:sz="4" w:space="0" w:color="auto"/>
            </w:tcBorders>
            <w:shd w:val="clear" w:color="000000" w:fill="E7E6E6"/>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621" w:type="dxa"/>
            <w:tcBorders>
              <w:top w:val="nil"/>
              <w:left w:val="nil"/>
              <w:bottom w:val="single" w:sz="4" w:space="0" w:color="auto"/>
              <w:right w:val="single" w:sz="4" w:space="0" w:color="auto"/>
            </w:tcBorders>
            <w:shd w:val="clear" w:color="000000" w:fill="E7E6E6"/>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11</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其他各级资本要求（%）（8+9+10）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r>
      <w:tr w:rsidR="0089378D" w:rsidRPr="0089378D" w:rsidTr="0089378D">
        <w:trPr>
          <w:trHeight w:val="765"/>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12</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满足最低资本要求后的可用核心一级资本净额占风险加权资产的比例（%）</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4.55</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4.59</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4.62</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4.51</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4.99</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杠杆率</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13</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调整后表内外资产余额</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324,808,699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317,983,564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316,697,881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309,599,786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292,633,892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14</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杠杆率（%）</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6.42</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6.44</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6.31</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6.52</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6.90</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14a</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杠杆率a（%）</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6.42</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6.44</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6.31</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6.52</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6.90</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流动性覆盖率</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15</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合格优质流动性资产</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29,227,877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22,667,737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26,544,718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22,922,237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26,267,147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16</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现金净流出量</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24,551,699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16,752,458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20,584,624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14,899,647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19,639,668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17</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流动性覆盖率（%）</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119.05</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135.31</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128.95</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153.84</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133.75</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净稳定资金比例</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18</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可用稳定资金合计</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209,473,000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212,778,659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208,758,670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203,518,090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197,495,053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lastRenderedPageBreak/>
              <w:t>19</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所需稳定资金合计</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159,844,181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156,978,045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156,040,444 </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151,534,481 </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148,322,097 </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w:t>
            </w:r>
          </w:p>
        </w:tc>
        <w:tc>
          <w:tcPr>
            <w:tcW w:w="260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净稳定资金比例（%）</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131.05</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135.55</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133.78</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134.30</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133.15</w:t>
            </w:r>
          </w:p>
        </w:tc>
      </w:tr>
      <w:tr w:rsidR="0089378D" w:rsidRPr="0089378D" w:rsidTr="0089378D">
        <w:trPr>
          <w:trHeight w:val="270"/>
          <w:jc w:val="center"/>
        </w:trPr>
        <w:tc>
          <w:tcPr>
            <w:tcW w:w="11241" w:type="dxa"/>
            <w:gridSpan w:val="7"/>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流动性比例</w:t>
            </w:r>
          </w:p>
        </w:tc>
      </w:tr>
      <w:tr w:rsidR="0089378D" w:rsidRPr="0089378D" w:rsidTr="0089378D">
        <w:trPr>
          <w:trHeight w:val="270"/>
          <w:jc w:val="center"/>
        </w:trPr>
        <w:tc>
          <w:tcPr>
            <w:tcW w:w="532" w:type="dxa"/>
            <w:tcBorders>
              <w:top w:val="nil"/>
              <w:left w:val="single" w:sz="4" w:space="0" w:color="auto"/>
              <w:bottom w:val="single" w:sz="4" w:space="0" w:color="auto"/>
              <w:right w:val="single" w:sz="4" w:space="0" w:color="auto"/>
            </w:tcBorders>
            <w:shd w:val="clear" w:color="000000" w:fill="FFFFFF"/>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21</w:t>
            </w:r>
          </w:p>
        </w:tc>
        <w:tc>
          <w:tcPr>
            <w:tcW w:w="2607" w:type="dxa"/>
            <w:tcBorders>
              <w:top w:val="nil"/>
              <w:left w:val="nil"/>
              <w:bottom w:val="single" w:sz="4" w:space="0" w:color="auto"/>
              <w:right w:val="single" w:sz="4" w:space="0" w:color="auto"/>
            </w:tcBorders>
            <w:shd w:val="clear" w:color="000000" w:fill="FFFFFF"/>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流动性比例（%）</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88.74</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84.14</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87.48</w:t>
            </w:r>
          </w:p>
        </w:tc>
        <w:tc>
          <w:tcPr>
            <w:tcW w:w="1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74.67</w:t>
            </w:r>
          </w:p>
        </w:tc>
        <w:tc>
          <w:tcPr>
            <w:tcW w:w="1621"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86.31</w:t>
            </w:r>
          </w:p>
        </w:tc>
      </w:tr>
    </w:tbl>
    <w:p w:rsidR="00A21C1A" w:rsidRPr="002E660F" w:rsidRDefault="00F52A86" w:rsidP="00A21C1A">
      <w:pPr>
        <w:pStyle w:val="2"/>
        <w:spacing w:before="0" w:after="0" w:line="360" w:lineRule="auto"/>
        <w:rPr>
          <w:rFonts w:asciiTheme="minorEastAsia" w:eastAsiaTheme="minorEastAsia" w:hAnsiTheme="minorEastAsia"/>
          <w:sz w:val="24"/>
          <w:szCs w:val="24"/>
        </w:rPr>
      </w:pPr>
      <w:bookmarkStart w:id="5" w:name="_Toc237550984"/>
      <w:r w:rsidRPr="002E660F">
        <w:rPr>
          <w:rFonts w:asciiTheme="minorEastAsia" w:eastAsiaTheme="minorEastAsia" w:hAnsiTheme="minorEastAsia" w:hint="eastAsia"/>
          <w:sz w:val="24"/>
          <w:szCs w:val="24"/>
        </w:rPr>
        <w:t>2.2</w:t>
      </w:r>
      <w:r w:rsidR="00137392" w:rsidRPr="002E660F">
        <w:rPr>
          <w:rFonts w:asciiTheme="minorEastAsia" w:eastAsiaTheme="minorEastAsia" w:hAnsiTheme="minorEastAsia"/>
          <w:sz w:val="24"/>
          <w:szCs w:val="24"/>
        </w:rPr>
        <w:t xml:space="preserve">  </w:t>
      </w:r>
      <w:r w:rsidR="00A21C1A" w:rsidRPr="002A644A">
        <w:rPr>
          <w:rFonts w:asciiTheme="minorEastAsia" w:hAnsiTheme="minorEastAsia" w:cs="Times New Roman" w:hint="eastAsia"/>
          <w:color w:val="000000"/>
          <w:sz w:val="24"/>
          <w:szCs w:val="24"/>
        </w:rPr>
        <w:t>OV1</w:t>
      </w:r>
      <w:r w:rsidR="00A21C1A">
        <w:rPr>
          <w:rFonts w:asciiTheme="minorEastAsia" w:hAnsiTheme="minorEastAsia" w:cs="Times New Roman" w:hint="eastAsia"/>
          <w:color w:val="000000"/>
          <w:sz w:val="24"/>
          <w:szCs w:val="24"/>
        </w:rPr>
        <w:t xml:space="preserve"> </w:t>
      </w:r>
      <w:r w:rsidR="00A21C1A" w:rsidRPr="002E660F">
        <w:rPr>
          <w:rFonts w:asciiTheme="minorEastAsia" w:eastAsiaTheme="minorEastAsia" w:hAnsiTheme="minorEastAsia" w:hint="eastAsia"/>
          <w:sz w:val="24"/>
          <w:szCs w:val="24"/>
        </w:rPr>
        <w:t>风险加权资产概况</w:t>
      </w:r>
      <w:bookmarkEnd w:id="5"/>
    </w:p>
    <w:p w:rsidR="00F52A86" w:rsidRPr="002E660F" w:rsidRDefault="00F52A86"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下表列示本公司第一支柱风险加权资产和资本要求。</w:t>
      </w:r>
    </w:p>
    <w:p w:rsidR="00F52A86" w:rsidRPr="002A644A" w:rsidRDefault="00F52A86" w:rsidP="00282E26">
      <w:pPr>
        <w:spacing w:line="360" w:lineRule="auto"/>
        <w:ind w:firstLineChars="200" w:firstLine="482"/>
        <w:rPr>
          <w:rFonts w:asciiTheme="minorEastAsia" w:hAnsiTheme="minorEastAsia" w:cs="Times New Roman"/>
          <w:b/>
          <w:color w:val="000000"/>
          <w:sz w:val="24"/>
          <w:szCs w:val="24"/>
        </w:rPr>
      </w:pPr>
      <w:r w:rsidRPr="002A644A">
        <w:rPr>
          <w:rFonts w:asciiTheme="minorEastAsia" w:hAnsiTheme="minorEastAsia" w:cs="Times New Roman" w:hint="eastAsia"/>
          <w:b/>
          <w:color w:val="000000"/>
          <w:sz w:val="24"/>
          <w:szCs w:val="24"/>
        </w:rPr>
        <w:t>表格OV1：风险加权资产概况</w:t>
      </w:r>
    </w:p>
    <w:p w:rsidR="003A07B5" w:rsidRPr="002E660F" w:rsidRDefault="003A07B5" w:rsidP="00282E26">
      <w:pPr>
        <w:spacing w:line="360" w:lineRule="auto"/>
        <w:ind w:firstLineChars="200" w:firstLine="480"/>
        <w:jc w:val="right"/>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单位：人民币千元</w:t>
      </w:r>
    </w:p>
    <w:tbl>
      <w:tblPr>
        <w:tblW w:w="10300" w:type="dxa"/>
        <w:jc w:val="center"/>
        <w:tblLook w:val="04A0" w:firstRow="1" w:lastRow="0" w:firstColumn="1" w:lastColumn="0" w:noHBand="0" w:noVBand="1"/>
      </w:tblPr>
      <w:tblGrid>
        <w:gridCol w:w="1080"/>
        <w:gridCol w:w="4060"/>
        <w:gridCol w:w="1720"/>
        <w:gridCol w:w="1720"/>
        <w:gridCol w:w="1720"/>
      </w:tblGrid>
      <w:tr w:rsidR="0089378D" w:rsidRPr="0089378D" w:rsidTr="0089378D">
        <w:trPr>
          <w:trHeight w:val="270"/>
          <w:jc w:val="center"/>
        </w:trPr>
        <w:tc>
          <w:tcPr>
            <w:tcW w:w="51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c</w:t>
            </w:r>
          </w:p>
        </w:tc>
      </w:tr>
      <w:tr w:rsidR="0089378D" w:rsidRPr="0089378D" w:rsidTr="0089378D">
        <w:trPr>
          <w:trHeight w:val="270"/>
          <w:jc w:val="center"/>
        </w:trPr>
        <w:tc>
          <w:tcPr>
            <w:tcW w:w="5140"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3440" w:type="dxa"/>
            <w:gridSpan w:val="2"/>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风险加权资产</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最低资本要求</w:t>
            </w:r>
          </w:p>
        </w:tc>
      </w:tr>
      <w:tr w:rsidR="0089378D" w:rsidRPr="0089378D" w:rsidTr="0089378D">
        <w:trPr>
          <w:trHeight w:val="510"/>
          <w:jc w:val="center"/>
        </w:trPr>
        <w:tc>
          <w:tcPr>
            <w:tcW w:w="5140"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w:t>
            </w:r>
            <w:r w:rsidRPr="0089378D">
              <w:rPr>
                <w:rFonts w:ascii="宋体" w:eastAsia="宋体" w:hAnsi="宋体" w:cs="宋体" w:hint="eastAsia"/>
                <w:color w:val="000000"/>
                <w:kern w:val="0"/>
                <w:szCs w:val="21"/>
              </w:rPr>
              <w:br/>
              <w:t>6月30日</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w:t>
            </w:r>
            <w:r w:rsidRPr="0089378D">
              <w:rPr>
                <w:rFonts w:ascii="宋体" w:eastAsia="宋体" w:hAnsi="宋体" w:cs="宋体" w:hint="eastAsia"/>
                <w:color w:val="000000"/>
                <w:kern w:val="0"/>
                <w:szCs w:val="21"/>
              </w:rPr>
              <w:br/>
              <w:t>3月31日</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w:t>
            </w:r>
            <w:r w:rsidRPr="0089378D">
              <w:rPr>
                <w:rFonts w:ascii="宋体" w:eastAsia="宋体" w:hAnsi="宋体" w:cs="宋体" w:hint="eastAsia"/>
                <w:color w:val="000000"/>
                <w:kern w:val="0"/>
                <w:szCs w:val="21"/>
              </w:rPr>
              <w:br/>
              <w:t>6月30日</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w:t>
            </w:r>
          </w:p>
        </w:tc>
        <w:tc>
          <w:tcPr>
            <w:tcW w:w="40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信用风险</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189,690,112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185,309,960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15,175,209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w:t>
            </w:r>
          </w:p>
        </w:tc>
        <w:tc>
          <w:tcPr>
            <w:tcW w:w="40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市场风险</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575,943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806,416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46,075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w:t>
            </w:r>
          </w:p>
        </w:tc>
        <w:tc>
          <w:tcPr>
            <w:tcW w:w="40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操作风险</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7,402,449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7,402,449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592,196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w:t>
            </w:r>
          </w:p>
        </w:tc>
        <w:tc>
          <w:tcPr>
            <w:tcW w:w="40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交易账簿和银行账簿间转换的资本要求</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w:t>
            </w:r>
          </w:p>
        </w:tc>
        <w:tc>
          <w:tcPr>
            <w:tcW w:w="40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合计</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197,668,504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193,518,825 </w:t>
            </w:r>
          </w:p>
        </w:tc>
        <w:tc>
          <w:tcPr>
            <w:tcW w:w="17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15,813,480 </w:t>
            </w:r>
          </w:p>
        </w:tc>
      </w:tr>
    </w:tbl>
    <w:p w:rsidR="003A07B5" w:rsidRPr="002E660F" w:rsidRDefault="003A07B5" w:rsidP="00282E26">
      <w:pPr>
        <w:spacing w:line="360" w:lineRule="auto"/>
        <w:jc w:val="left"/>
        <w:rPr>
          <w:rFonts w:asciiTheme="minorEastAsia" w:hAnsiTheme="minorEastAsia" w:cs="Times New Roman"/>
          <w:color w:val="000000"/>
          <w:sz w:val="24"/>
          <w:szCs w:val="24"/>
        </w:rPr>
      </w:pPr>
    </w:p>
    <w:p w:rsidR="00885336" w:rsidRPr="002E660F" w:rsidRDefault="00885336" w:rsidP="00282E26">
      <w:pPr>
        <w:spacing w:line="360" w:lineRule="auto"/>
        <w:jc w:val="left"/>
        <w:rPr>
          <w:rFonts w:asciiTheme="minorEastAsia" w:hAnsiTheme="minorEastAsia" w:cs="Times New Roman"/>
          <w:color w:val="000000"/>
          <w:sz w:val="24"/>
          <w:szCs w:val="24"/>
        </w:rPr>
      </w:pPr>
    </w:p>
    <w:p w:rsidR="00885336" w:rsidRPr="002E660F" w:rsidRDefault="00885336" w:rsidP="00282E26">
      <w:pPr>
        <w:spacing w:line="360" w:lineRule="auto"/>
        <w:jc w:val="left"/>
        <w:rPr>
          <w:rFonts w:asciiTheme="minorEastAsia" w:hAnsiTheme="minorEastAsia" w:cs="Times New Roman"/>
          <w:color w:val="000000"/>
          <w:sz w:val="24"/>
          <w:szCs w:val="24"/>
        </w:rPr>
      </w:pPr>
    </w:p>
    <w:p w:rsidR="00885336" w:rsidRPr="002E660F" w:rsidRDefault="00885336" w:rsidP="00282E26">
      <w:pPr>
        <w:spacing w:line="360" w:lineRule="auto"/>
        <w:jc w:val="left"/>
        <w:rPr>
          <w:rFonts w:asciiTheme="minorEastAsia" w:hAnsiTheme="minorEastAsia" w:cs="Times New Roman"/>
          <w:color w:val="000000"/>
          <w:sz w:val="24"/>
          <w:szCs w:val="24"/>
        </w:rPr>
      </w:pPr>
    </w:p>
    <w:p w:rsidR="00D76F9F" w:rsidRDefault="00D76F9F" w:rsidP="00282E26">
      <w:pPr>
        <w:spacing w:line="360" w:lineRule="auto"/>
        <w:jc w:val="left"/>
        <w:rPr>
          <w:rFonts w:asciiTheme="minorEastAsia" w:hAnsiTheme="minorEastAsia" w:cs="Times New Roman"/>
          <w:color w:val="000000"/>
          <w:sz w:val="24"/>
          <w:szCs w:val="24"/>
        </w:rPr>
      </w:pPr>
    </w:p>
    <w:p w:rsidR="00D76F9F" w:rsidRDefault="00D76F9F" w:rsidP="00282E26">
      <w:pPr>
        <w:spacing w:line="360" w:lineRule="auto"/>
        <w:jc w:val="left"/>
        <w:rPr>
          <w:rFonts w:asciiTheme="minorEastAsia" w:hAnsiTheme="minorEastAsia" w:cs="Times New Roman"/>
          <w:color w:val="000000"/>
          <w:sz w:val="24"/>
          <w:szCs w:val="24"/>
        </w:rPr>
      </w:pPr>
    </w:p>
    <w:p w:rsidR="00D76F9F" w:rsidRDefault="00D76F9F" w:rsidP="00282E26">
      <w:pPr>
        <w:spacing w:line="360" w:lineRule="auto"/>
        <w:jc w:val="left"/>
        <w:rPr>
          <w:rFonts w:asciiTheme="minorEastAsia" w:hAnsiTheme="minorEastAsia" w:cs="Times New Roman"/>
          <w:color w:val="000000"/>
          <w:sz w:val="24"/>
          <w:szCs w:val="24"/>
        </w:rPr>
      </w:pPr>
    </w:p>
    <w:p w:rsidR="00D76F9F" w:rsidRDefault="00D76F9F" w:rsidP="00282E26">
      <w:pPr>
        <w:spacing w:line="360" w:lineRule="auto"/>
        <w:jc w:val="left"/>
        <w:rPr>
          <w:rFonts w:asciiTheme="minorEastAsia" w:hAnsiTheme="minorEastAsia" w:cs="Times New Roman"/>
          <w:color w:val="000000"/>
          <w:sz w:val="24"/>
          <w:szCs w:val="24"/>
        </w:rPr>
      </w:pPr>
    </w:p>
    <w:p w:rsidR="00D76F9F" w:rsidRDefault="00D76F9F" w:rsidP="00282E26">
      <w:pPr>
        <w:spacing w:line="360" w:lineRule="auto"/>
        <w:jc w:val="left"/>
        <w:rPr>
          <w:rFonts w:asciiTheme="minorEastAsia" w:hAnsiTheme="minorEastAsia" w:cs="Times New Roman"/>
          <w:color w:val="000000"/>
          <w:sz w:val="24"/>
          <w:szCs w:val="24"/>
        </w:rPr>
      </w:pPr>
    </w:p>
    <w:p w:rsidR="00676F66" w:rsidRDefault="00676F66" w:rsidP="00282E26">
      <w:pPr>
        <w:spacing w:line="360" w:lineRule="auto"/>
        <w:jc w:val="left"/>
        <w:rPr>
          <w:rFonts w:asciiTheme="minorEastAsia" w:hAnsiTheme="minorEastAsia" w:cs="Times New Roman"/>
          <w:color w:val="000000"/>
          <w:sz w:val="24"/>
          <w:szCs w:val="24"/>
        </w:rPr>
      </w:pPr>
    </w:p>
    <w:p w:rsidR="00D76F9F" w:rsidRDefault="00D76F9F" w:rsidP="00282E26">
      <w:pPr>
        <w:spacing w:line="360" w:lineRule="auto"/>
        <w:jc w:val="left"/>
        <w:rPr>
          <w:rFonts w:asciiTheme="minorEastAsia" w:hAnsiTheme="minorEastAsia" w:cs="Times New Roman"/>
          <w:color w:val="000000"/>
          <w:sz w:val="24"/>
          <w:szCs w:val="24"/>
        </w:rPr>
      </w:pPr>
    </w:p>
    <w:p w:rsidR="00D76F9F" w:rsidRPr="002E660F" w:rsidRDefault="00D76F9F" w:rsidP="00282E26">
      <w:pPr>
        <w:spacing w:line="360" w:lineRule="auto"/>
        <w:jc w:val="left"/>
        <w:rPr>
          <w:rFonts w:asciiTheme="minorEastAsia" w:hAnsiTheme="minorEastAsia" w:cs="Times New Roman"/>
          <w:color w:val="000000"/>
          <w:sz w:val="24"/>
          <w:szCs w:val="24"/>
        </w:rPr>
      </w:pPr>
    </w:p>
    <w:p w:rsidR="00885336" w:rsidRDefault="00885336" w:rsidP="00282E26">
      <w:pPr>
        <w:spacing w:line="360" w:lineRule="auto"/>
        <w:jc w:val="left"/>
        <w:rPr>
          <w:rFonts w:asciiTheme="minorEastAsia" w:hAnsiTheme="minorEastAsia" w:cs="Times New Roman"/>
          <w:color w:val="000000"/>
          <w:sz w:val="24"/>
          <w:szCs w:val="24"/>
        </w:rPr>
      </w:pPr>
    </w:p>
    <w:p w:rsidR="003F1ED3" w:rsidRDefault="003F1ED3" w:rsidP="00282E26">
      <w:pPr>
        <w:spacing w:line="360" w:lineRule="auto"/>
        <w:jc w:val="left"/>
        <w:rPr>
          <w:rFonts w:asciiTheme="minorEastAsia" w:hAnsiTheme="minorEastAsia" w:cs="Times New Roman"/>
          <w:color w:val="000000"/>
          <w:sz w:val="24"/>
          <w:szCs w:val="24"/>
        </w:rPr>
      </w:pPr>
    </w:p>
    <w:p w:rsidR="003F1ED3" w:rsidRPr="002E660F" w:rsidRDefault="003F1ED3" w:rsidP="00282E26">
      <w:pPr>
        <w:spacing w:line="360" w:lineRule="auto"/>
        <w:jc w:val="left"/>
        <w:rPr>
          <w:rFonts w:asciiTheme="minorEastAsia" w:hAnsiTheme="minorEastAsia" w:cs="Times New Roman"/>
          <w:color w:val="000000"/>
          <w:sz w:val="24"/>
          <w:szCs w:val="24"/>
        </w:rPr>
      </w:pPr>
    </w:p>
    <w:p w:rsidR="00885336" w:rsidRPr="002E660F" w:rsidRDefault="00885336" w:rsidP="00282E26">
      <w:pPr>
        <w:spacing w:line="360" w:lineRule="auto"/>
        <w:jc w:val="left"/>
        <w:rPr>
          <w:rFonts w:asciiTheme="minorEastAsia" w:hAnsiTheme="minorEastAsia" w:cs="Times New Roman"/>
          <w:color w:val="000000"/>
          <w:sz w:val="24"/>
          <w:szCs w:val="24"/>
        </w:rPr>
      </w:pPr>
    </w:p>
    <w:p w:rsidR="003A07B5" w:rsidRPr="002E660F" w:rsidRDefault="003A07B5" w:rsidP="00282E26">
      <w:pPr>
        <w:pStyle w:val="1"/>
        <w:spacing w:before="0" w:after="0" w:line="360" w:lineRule="auto"/>
        <w:rPr>
          <w:rFonts w:asciiTheme="minorEastAsia" w:hAnsiTheme="minorEastAsia"/>
          <w:sz w:val="28"/>
          <w:szCs w:val="24"/>
        </w:rPr>
      </w:pPr>
      <w:bookmarkStart w:id="6" w:name="_Toc237550985"/>
      <w:r w:rsidRPr="002E660F">
        <w:rPr>
          <w:rFonts w:asciiTheme="minorEastAsia" w:hAnsiTheme="minorEastAsia" w:hint="eastAsia"/>
          <w:sz w:val="28"/>
          <w:szCs w:val="24"/>
        </w:rPr>
        <w:t>3</w:t>
      </w:r>
      <w:r w:rsidR="00137392" w:rsidRPr="002E660F">
        <w:rPr>
          <w:rFonts w:asciiTheme="minorEastAsia" w:hAnsiTheme="minorEastAsia"/>
          <w:sz w:val="28"/>
          <w:szCs w:val="24"/>
        </w:rPr>
        <w:t xml:space="preserve">  </w:t>
      </w:r>
      <w:r w:rsidRPr="002E660F">
        <w:rPr>
          <w:rFonts w:asciiTheme="minorEastAsia" w:hAnsiTheme="minorEastAsia" w:hint="eastAsia"/>
          <w:sz w:val="28"/>
          <w:szCs w:val="24"/>
        </w:rPr>
        <w:t>资本构成</w:t>
      </w:r>
      <w:bookmarkEnd w:id="6"/>
    </w:p>
    <w:p w:rsidR="003A07B5" w:rsidRPr="002E660F" w:rsidRDefault="003A07B5" w:rsidP="00282E26">
      <w:pPr>
        <w:pStyle w:val="2"/>
        <w:spacing w:before="0" w:after="0" w:line="360" w:lineRule="auto"/>
        <w:rPr>
          <w:rFonts w:asciiTheme="minorEastAsia" w:eastAsiaTheme="minorEastAsia" w:hAnsiTheme="minorEastAsia"/>
          <w:sz w:val="24"/>
          <w:szCs w:val="24"/>
        </w:rPr>
      </w:pPr>
      <w:bookmarkStart w:id="7" w:name="_Toc237550986"/>
      <w:r w:rsidRPr="002E660F">
        <w:rPr>
          <w:rFonts w:asciiTheme="minorEastAsia" w:eastAsiaTheme="minorEastAsia" w:hAnsiTheme="minorEastAsia" w:hint="eastAsia"/>
          <w:sz w:val="24"/>
          <w:szCs w:val="24"/>
        </w:rPr>
        <w:t>3.1</w:t>
      </w:r>
      <w:r w:rsidR="00137392" w:rsidRPr="002E660F">
        <w:rPr>
          <w:rFonts w:asciiTheme="minorEastAsia" w:eastAsiaTheme="minorEastAsia" w:hAnsiTheme="minorEastAsia"/>
          <w:sz w:val="24"/>
          <w:szCs w:val="24"/>
        </w:rPr>
        <w:t xml:space="preserve">  </w:t>
      </w:r>
      <w:r w:rsidR="005F40AD" w:rsidRPr="002A644A">
        <w:rPr>
          <w:rFonts w:asciiTheme="minorEastAsia" w:hAnsiTheme="minorEastAsia" w:cs="Times New Roman" w:hint="eastAsia"/>
          <w:color w:val="000000"/>
          <w:sz w:val="24"/>
          <w:szCs w:val="24"/>
        </w:rPr>
        <w:t>CC</w:t>
      </w:r>
      <w:r w:rsidR="005F40AD">
        <w:rPr>
          <w:rFonts w:asciiTheme="minorEastAsia" w:hAnsiTheme="minorEastAsia" w:cs="Times New Roman"/>
          <w:color w:val="000000"/>
          <w:sz w:val="24"/>
          <w:szCs w:val="24"/>
        </w:rPr>
        <w:t xml:space="preserve">A </w:t>
      </w:r>
      <w:r w:rsidRPr="002E660F">
        <w:rPr>
          <w:rFonts w:asciiTheme="minorEastAsia" w:eastAsiaTheme="minorEastAsia" w:hAnsiTheme="minorEastAsia" w:hint="eastAsia"/>
          <w:sz w:val="24"/>
          <w:szCs w:val="24"/>
        </w:rPr>
        <w:t>资本工具的主要特征</w:t>
      </w:r>
      <w:bookmarkEnd w:id="7"/>
    </w:p>
    <w:p w:rsidR="003A07B5" w:rsidRPr="002E660F" w:rsidRDefault="003A07B5"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本表所披露的本公司资本工具主要特征已在官方网站公开披露，详情请见紫金农商银行官网投资者关系专栏。（官网链接：</w:t>
      </w:r>
      <w:r w:rsidRPr="002E660F">
        <w:rPr>
          <w:rFonts w:asciiTheme="minorEastAsia" w:hAnsiTheme="minorEastAsia" w:cs="Times New Roman"/>
          <w:color w:val="000000"/>
          <w:sz w:val="24"/>
          <w:szCs w:val="24"/>
        </w:rPr>
        <w:t>http://www.zjrcbank.com</w:t>
      </w:r>
      <w:r w:rsidRPr="002E660F">
        <w:rPr>
          <w:rFonts w:asciiTheme="minorEastAsia" w:hAnsiTheme="minorEastAsia" w:cs="Times New Roman" w:hint="eastAsia"/>
          <w:color w:val="000000"/>
          <w:sz w:val="24"/>
          <w:szCs w:val="24"/>
        </w:rPr>
        <w:t>）</w:t>
      </w:r>
    </w:p>
    <w:p w:rsidR="003A07B5" w:rsidRPr="002E660F" w:rsidRDefault="003A07B5" w:rsidP="00282E26">
      <w:pPr>
        <w:pStyle w:val="2"/>
        <w:spacing w:before="0" w:after="0" w:line="360" w:lineRule="auto"/>
        <w:rPr>
          <w:rFonts w:asciiTheme="minorEastAsia" w:eastAsiaTheme="minorEastAsia" w:hAnsiTheme="minorEastAsia"/>
          <w:sz w:val="24"/>
          <w:szCs w:val="24"/>
        </w:rPr>
      </w:pPr>
      <w:bookmarkStart w:id="8" w:name="_Toc237550987"/>
      <w:r w:rsidRPr="002E660F">
        <w:rPr>
          <w:rFonts w:asciiTheme="minorEastAsia" w:eastAsiaTheme="minorEastAsia" w:hAnsiTheme="minorEastAsia" w:hint="eastAsia"/>
          <w:sz w:val="24"/>
          <w:szCs w:val="24"/>
        </w:rPr>
        <w:t>3.2</w:t>
      </w:r>
      <w:r w:rsidR="00137392" w:rsidRPr="002E660F">
        <w:rPr>
          <w:rFonts w:asciiTheme="minorEastAsia" w:eastAsiaTheme="minorEastAsia" w:hAnsiTheme="minorEastAsia"/>
          <w:sz w:val="24"/>
          <w:szCs w:val="24"/>
        </w:rPr>
        <w:t xml:space="preserve">  </w:t>
      </w:r>
      <w:r w:rsidR="005F40AD" w:rsidRPr="002A644A">
        <w:rPr>
          <w:rFonts w:asciiTheme="minorEastAsia" w:hAnsiTheme="minorEastAsia" w:cs="Times New Roman" w:hint="eastAsia"/>
          <w:color w:val="000000"/>
          <w:sz w:val="24"/>
          <w:szCs w:val="24"/>
        </w:rPr>
        <w:t>CC1</w:t>
      </w:r>
      <w:r w:rsidR="005F40AD">
        <w:rPr>
          <w:rFonts w:asciiTheme="minorEastAsia" w:hAnsiTheme="minorEastAsia" w:cs="Times New Roman" w:hint="eastAsia"/>
          <w:color w:val="000000"/>
          <w:sz w:val="24"/>
          <w:szCs w:val="24"/>
        </w:rPr>
        <w:t xml:space="preserve"> </w:t>
      </w:r>
      <w:r w:rsidRPr="002E660F">
        <w:rPr>
          <w:rFonts w:asciiTheme="minorEastAsia" w:eastAsiaTheme="minorEastAsia" w:hAnsiTheme="minorEastAsia" w:hint="eastAsia"/>
          <w:sz w:val="24"/>
          <w:szCs w:val="24"/>
        </w:rPr>
        <w:t>资本构成</w:t>
      </w:r>
      <w:bookmarkEnd w:id="8"/>
    </w:p>
    <w:p w:rsidR="003A07B5" w:rsidRPr="002E660F" w:rsidRDefault="003A07B5"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下表列示本公司资本构成、最低监管资本要求及其与监管并表下的资产负债表的对应关系等。</w:t>
      </w:r>
    </w:p>
    <w:p w:rsidR="00F52A86" w:rsidRDefault="003A07B5" w:rsidP="00282E26">
      <w:pPr>
        <w:spacing w:line="360" w:lineRule="auto"/>
        <w:ind w:firstLineChars="200" w:firstLine="482"/>
        <w:rPr>
          <w:rFonts w:asciiTheme="minorEastAsia" w:hAnsiTheme="minorEastAsia" w:cs="Times New Roman"/>
          <w:b/>
          <w:color w:val="000000"/>
          <w:sz w:val="24"/>
          <w:szCs w:val="24"/>
        </w:rPr>
      </w:pPr>
      <w:r w:rsidRPr="002A644A">
        <w:rPr>
          <w:rFonts w:asciiTheme="minorEastAsia" w:hAnsiTheme="minorEastAsia" w:cs="Times New Roman" w:hint="eastAsia"/>
          <w:b/>
          <w:color w:val="000000"/>
          <w:sz w:val="24"/>
          <w:szCs w:val="24"/>
        </w:rPr>
        <w:t>表格CC1：资本构成</w:t>
      </w:r>
    </w:p>
    <w:p w:rsidR="00D76F9F" w:rsidRPr="00D76F9F" w:rsidRDefault="003A07B5" w:rsidP="00D76F9F">
      <w:pPr>
        <w:spacing w:line="360" w:lineRule="auto"/>
        <w:ind w:firstLineChars="200" w:firstLine="480"/>
        <w:jc w:val="right"/>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单位：人民币千元，百分比除外</w:t>
      </w:r>
    </w:p>
    <w:tbl>
      <w:tblPr>
        <w:tblW w:w="10206" w:type="dxa"/>
        <w:jc w:val="center"/>
        <w:tblLook w:val="04A0" w:firstRow="1" w:lastRow="0" w:firstColumn="1" w:lastColumn="0" w:noHBand="0" w:noVBand="1"/>
      </w:tblPr>
      <w:tblGrid>
        <w:gridCol w:w="1226"/>
        <w:gridCol w:w="4655"/>
        <w:gridCol w:w="2977"/>
        <w:gridCol w:w="1348"/>
      </w:tblGrid>
      <w:tr w:rsidR="0089378D" w:rsidRPr="0089378D" w:rsidTr="0089378D">
        <w:trPr>
          <w:trHeight w:val="270"/>
          <w:tblHeader/>
          <w:jc w:val="center"/>
        </w:trPr>
        <w:tc>
          <w:tcPr>
            <w:tcW w:w="58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w:t>
            </w:r>
          </w:p>
        </w:tc>
      </w:tr>
      <w:tr w:rsidR="0089378D" w:rsidRPr="0089378D" w:rsidTr="0089378D">
        <w:trPr>
          <w:trHeight w:val="270"/>
          <w:tblHeader/>
          <w:jc w:val="center"/>
        </w:trPr>
        <w:tc>
          <w:tcPr>
            <w:tcW w:w="5881"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数额</w:t>
            </w:r>
          </w:p>
        </w:tc>
        <w:tc>
          <w:tcPr>
            <w:tcW w:w="1348" w:type="dxa"/>
            <w:vMerge w:val="restart"/>
            <w:tcBorders>
              <w:top w:val="nil"/>
              <w:left w:val="single" w:sz="4" w:space="0" w:color="auto"/>
              <w:bottom w:val="single" w:sz="4" w:space="0" w:color="000000"/>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代码</w:t>
            </w:r>
          </w:p>
        </w:tc>
      </w:tr>
      <w:tr w:rsidR="0089378D" w:rsidRPr="0089378D" w:rsidTr="0089378D">
        <w:trPr>
          <w:trHeight w:val="270"/>
          <w:tblHeader/>
          <w:jc w:val="center"/>
        </w:trPr>
        <w:tc>
          <w:tcPr>
            <w:tcW w:w="5881"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2026年6月30日</w:t>
            </w:r>
          </w:p>
        </w:tc>
        <w:tc>
          <w:tcPr>
            <w:tcW w:w="1348" w:type="dxa"/>
            <w:vMerge/>
            <w:tcBorders>
              <w:top w:val="nil"/>
              <w:left w:val="single" w:sz="4" w:space="0" w:color="auto"/>
              <w:bottom w:val="single" w:sz="4" w:space="0" w:color="000000"/>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核心一级资本</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实收资本和资本公积可计入部分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6,968,190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e+g+k</w:t>
            </w:r>
          </w:p>
        </w:tc>
      </w:tr>
      <w:tr w:rsidR="006A5106"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w:t>
            </w:r>
          </w:p>
        </w:tc>
        <w:tc>
          <w:tcPr>
            <w:tcW w:w="4655"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留存收益</w:t>
            </w:r>
          </w:p>
        </w:tc>
        <w:tc>
          <w:tcPr>
            <w:tcW w:w="2977"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widowControl/>
              <w:jc w:val="right"/>
              <w:rPr>
                <w:rFonts w:ascii="宋体" w:eastAsia="宋体" w:hAnsi="宋体" w:cs="宋体"/>
                <w:color w:val="000000"/>
                <w:kern w:val="0"/>
                <w:szCs w:val="21"/>
              </w:rPr>
            </w:pPr>
            <w:r w:rsidRPr="006A5106">
              <w:rPr>
                <w:rFonts w:ascii="宋体" w:eastAsia="宋体" w:hAnsi="宋体" w:cs="宋体" w:hint="eastAsia"/>
                <w:color w:val="000000"/>
                <w:kern w:val="0"/>
                <w:szCs w:val="21"/>
              </w:rPr>
              <w:t xml:space="preserve">               13,981,616 </w:t>
            </w:r>
          </w:p>
        </w:tc>
        <w:tc>
          <w:tcPr>
            <w:tcW w:w="1348"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6A5106"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2a</w:t>
            </w:r>
          </w:p>
        </w:tc>
        <w:tc>
          <w:tcPr>
            <w:tcW w:w="4655"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盈余公积</w:t>
            </w:r>
          </w:p>
        </w:tc>
        <w:tc>
          <w:tcPr>
            <w:tcW w:w="2977"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3,548,340 </w:t>
            </w:r>
          </w:p>
        </w:tc>
        <w:tc>
          <w:tcPr>
            <w:tcW w:w="1348"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h</w:t>
            </w:r>
          </w:p>
        </w:tc>
      </w:tr>
      <w:tr w:rsidR="006A5106"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2b</w:t>
            </w:r>
          </w:p>
        </w:tc>
        <w:tc>
          <w:tcPr>
            <w:tcW w:w="4655"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一般风险准备</w:t>
            </w:r>
          </w:p>
        </w:tc>
        <w:tc>
          <w:tcPr>
            <w:tcW w:w="2977"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7,383,060 </w:t>
            </w:r>
          </w:p>
        </w:tc>
        <w:tc>
          <w:tcPr>
            <w:tcW w:w="1348"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i</w:t>
            </w:r>
          </w:p>
        </w:tc>
      </w:tr>
      <w:tr w:rsidR="006A5106"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2c</w:t>
            </w:r>
          </w:p>
        </w:tc>
        <w:tc>
          <w:tcPr>
            <w:tcW w:w="4655"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未分配利润</w:t>
            </w:r>
          </w:p>
        </w:tc>
        <w:tc>
          <w:tcPr>
            <w:tcW w:w="2977"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3,050,216 </w:t>
            </w:r>
          </w:p>
        </w:tc>
        <w:tc>
          <w:tcPr>
            <w:tcW w:w="1348"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j</w:t>
            </w:r>
          </w:p>
        </w:tc>
      </w:tr>
      <w:tr w:rsidR="006A5106"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w:t>
            </w:r>
          </w:p>
        </w:tc>
        <w:tc>
          <w:tcPr>
            <w:tcW w:w="4655"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累计其他综合收益</w:t>
            </w:r>
          </w:p>
        </w:tc>
        <w:tc>
          <w:tcPr>
            <w:tcW w:w="2977"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151,565 </w:t>
            </w:r>
          </w:p>
        </w:tc>
        <w:tc>
          <w:tcPr>
            <w:tcW w:w="1348"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少数股东资本可计入部分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扣除前的核心一级资本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21,101,371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核心一级资本：扣除项</w:t>
            </w: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审慎估值调整</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商誉（扣除递延税负债）</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a-c</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其他无形资产（土地使用权除外）（扣除递延税负债）</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40,090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b-d</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依赖未来盈利的由经营亏损引起的净递延税资产</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10</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对未按公允价值计量的项目进行套期形成的现金流储备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损失准备缺口</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12</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资产证券化销售利得</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13</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自身信用风险变化导致其负债公允价值变化带来的未实现损益</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确定受益类的养老金资产净额（扣除递延税负债）</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直接或间接持有本银行的股票</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银行间或银行与其他金融机构间通过协议相互持有的核心一级资本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lastRenderedPageBreak/>
              <w:t>17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对未并表金融机构小额少数资本投资中的核心一级资本中应扣除金额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对未并表金融机构大额少数资本投资中的核心一级资本中应扣除金额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其他依赖于银行未来盈利的净递延税资产中应扣除金额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102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对未并表金融机构大额少数资本投资中的核心一级资本和其他依赖于银行未来盈利的净递延税资产的未扣除部分超过核心一级资本15%的应扣除金额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214,656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其中：应在对金融机构大额少数资本投资中扣除的金额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84,930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22</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其中：应在其他依赖于银行未来盈利的净递延税资产中扣除的金额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129,726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23</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其他应在核心一级资本中扣除的项目合计</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应从其他一级资本和二级资本中扣除的未扣缺口</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核心一级资本扣除项总和</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254,746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核心一级资本净额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20,846,625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其他一级资本</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其他一级资本工具及其溢价</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其中：权益部分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其中：负债部分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30</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少数股东资本可计入部分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扣除前的其他一级资本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其他一级资本:扣除项</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32</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直接或间接持有的本银行其他一级资本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33</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银行间或银行与其他金融机构间通过协议相互持有的其他一级资本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对未并表金融机构小额少数资本投资中的其他一级资本中应扣除金额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对未并表金融机构大额少数资本投资中的其他一级资本中应扣除金额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其他应在其他一级资本中扣除的项目合计</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应从二级资本中扣除的未扣缺口</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其他一级资本扣除项总和</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其他一级资本净额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40</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一级资本净额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20,846,625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二级资本</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二级资本工具及其溢价</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1,999,659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42</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少数股东资本可计入部分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43</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超额损失准备可计入部分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2,026,727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lastRenderedPageBreak/>
              <w:t>44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扣除前的二级资本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4,026,386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二级资本：扣除项</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直接或间接持有的本银行的二级资本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银行间或银行与其他金融机构间通过协议相互持有的其他一级资本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对未并表金融机构小额少数资本投资中的二级资本中应扣除金额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对未并表金融机构大额少数资本投资中的二级资本</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其他应在二级资本中扣除的项目合计</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50</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二级资本扣除项总和</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二级资本净额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4,026,386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52</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总资本净额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24,873,011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53</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风险加权资产</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197,668,504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资本充足率和其他各级资本要求</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核心一级资本充足率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10.55</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一级资本充足率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10.55</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资本充足率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12.58</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其他各级资本要求（%）</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其中：储备资本要求</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2.50</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其中：逆周期资本要求</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0.00</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60</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其中：全球系统重要性银行或国内系统重要性银行附加资本要求</w:t>
            </w:r>
          </w:p>
        </w:tc>
        <w:tc>
          <w:tcPr>
            <w:tcW w:w="2977" w:type="dxa"/>
            <w:tcBorders>
              <w:top w:val="nil"/>
              <w:left w:val="nil"/>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61</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满足最低资本要求后的可用核心一级资本净额占风险加权资产的比例（%）</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4.55</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我国最低监管资本要求</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62</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核心一级资本充足率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5.00</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63</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一级资本充足率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6.00</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64</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资本充足率</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8.00</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门槛扣除项中未扣除部分</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65</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对未并表金融机构的小额少数资本投资中未扣除部分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66</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对未并表金融机构的大额少数资本投资中未扣除部分</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1,237,216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5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67</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其他依赖于银行未来盈利的净递延税资产（扣除递延税负债）</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1,889,778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20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可计入二级资本的超额损失准备的限额</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68</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权重法下，实际计提的超额损失准备金额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2,026,727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69</w:t>
            </w:r>
          </w:p>
        </w:tc>
        <w:tc>
          <w:tcPr>
            <w:tcW w:w="4655"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权重法下，可计入二级资本超额损失准备的数额</w:t>
            </w:r>
          </w:p>
        </w:tc>
        <w:tc>
          <w:tcPr>
            <w:tcW w:w="2977"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2,026,727 </w:t>
            </w:r>
          </w:p>
        </w:tc>
        <w:tc>
          <w:tcPr>
            <w:tcW w:w="1348"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bl>
    <w:p w:rsidR="003A07B5" w:rsidRPr="002E660F" w:rsidRDefault="000A3596" w:rsidP="00282E26">
      <w:pPr>
        <w:pStyle w:val="2"/>
        <w:spacing w:before="0" w:after="0" w:line="360" w:lineRule="auto"/>
        <w:rPr>
          <w:rFonts w:asciiTheme="minorEastAsia" w:eastAsiaTheme="minorEastAsia" w:hAnsiTheme="minorEastAsia"/>
          <w:sz w:val="24"/>
          <w:szCs w:val="24"/>
        </w:rPr>
      </w:pPr>
      <w:r w:rsidRPr="002E660F">
        <w:rPr>
          <w:rFonts w:asciiTheme="minorEastAsia" w:eastAsiaTheme="minorEastAsia" w:hAnsiTheme="minorEastAsia" w:hint="eastAsia"/>
          <w:sz w:val="24"/>
          <w:szCs w:val="24"/>
        </w:rPr>
        <w:lastRenderedPageBreak/>
        <w:t xml:space="preserve"> </w:t>
      </w:r>
      <w:bookmarkStart w:id="9" w:name="_Toc237550988"/>
      <w:r w:rsidR="003A07B5" w:rsidRPr="002E660F">
        <w:rPr>
          <w:rFonts w:asciiTheme="minorEastAsia" w:eastAsiaTheme="minorEastAsia" w:hAnsiTheme="minorEastAsia" w:hint="eastAsia"/>
          <w:sz w:val="24"/>
          <w:szCs w:val="24"/>
        </w:rPr>
        <w:t>3.3</w:t>
      </w:r>
      <w:r w:rsidR="00137392" w:rsidRPr="002E660F">
        <w:rPr>
          <w:rFonts w:asciiTheme="minorEastAsia" w:eastAsiaTheme="minorEastAsia" w:hAnsiTheme="minorEastAsia"/>
          <w:sz w:val="24"/>
          <w:szCs w:val="24"/>
        </w:rPr>
        <w:t xml:space="preserve">  </w:t>
      </w:r>
      <w:r w:rsidR="005F40AD" w:rsidRPr="002A644A">
        <w:rPr>
          <w:rFonts w:asciiTheme="minorEastAsia" w:hAnsiTheme="minorEastAsia" w:cs="Times New Roman" w:hint="eastAsia"/>
          <w:color w:val="000000"/>
          <w:sz w:val="24"/>
          <w:szCs w:val="24"/>
        </w:rPr>
        <w:t>CC2</w:t>
      </w:r>
      <w:r w:rsidR="005F40AD">
        <w:rPr>
          <w:rFonts w:asciiTheme="minorEastAsia" w:hAnsiTheme="minorEastAsia" w:cs="Times New Roman" w:hint="eastAsia"/>
          <w:color w:val="000000"/>
          <w:sz w:val="24"/>
          <w:szCs w:val="24"/>
        </w:rPr>
        <w:t xml:space="preserve"> </w:t>
      </w:r>
      <w:r w:rsidR="003A07B5" w:rsidRPr="002E660F">
        <w:rPr>
          <w:rFonts w:asciiTheme="minorEastAsia" w:eastAsiaTheme="minorEastAsia" w:hAnsiTheme="minorEastAsia" w:hint="eastAsia"/>
          <w:sz w:val="24"/>
          <w:szCs w:val="24"/>
        </w:rPr>
        <w:t>集团财务并表和监管并表下的资产负债表差异</w:t>
      </w:r>
      <w:bookmarkEnd w:id="9"/>
    </w:p>
    <w:p w:rsidR="003A07B5" w:rsidRPr="002E660F" w:rsidRDefault="003A07B5"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下表列示本公司财务并表和监管并表下的资产负债表，以及资产负债表与表格CC1披露的资本构成之间的关系。</w:t>
      </w:r>
    </w:p>
    <w:p w:rsidR="003A07B5" w:rsidRPr="002A644A" w:rsidRDefault="003A07B5" w:rsidP="00282E26">
      <w:pPr>
        <w:spacing w:line="360" w:lineRule="auto"/>
        <w:ind w:firstLineChars="200" w:firstLine="482"/>
        <w:rPr>
          <w:rFonts w:asciiTheme="minorEastAsia" w:hAnsiTheme="minorEastAsia" w:cs="Times New Roman"/>
          <w:b/>
          <w:color w:val="000000"/>
          <w:sz w:val="24"/>
          <w:szCs w:val="24"/>
        </w:rPr>
      </w:pPr>
      <w:r w:rsidRPr="002A644A">
        <w:rPr>
          <w:rFonts w:asciiTheme="minorEastAsia" w:hAnsiTheme="minorEastAsia" w:cs="Times New Roman" w:hint="eastAsia"/>
          <w:b/>
          <w:color w:val="000000"/>
          <w:sz w:val="24"/>
          <w:szCs w:val="24"/>
        </w:rPr>
        <w:t>表格CC2：</w:t>
      </w:r>
      <w:r w:rsidR="00207FB9" w:rsidRPr="002A644A">
        <w:rPr>
          <w:rFonts w:asciiTheme="minorEastAsia" w:hAnsiTheme="minorEastAsia" w:cs="Times New Roman" w:hint="eastAsia"/>
          <w:b/>
          <w:color w:val="000000"/>
          <w:sz w:val="24"/>
          <w:szCs w:val="24"/>
        </w:rPr>
        <w:t>集团财务并表和监管并表下的资产负债表差异</w:t>
      </w:r>
    </w:p>
    <w:p w:rsidR="00207FB9" w:rsidRPr="002E660F" w:rsidRDefault="00207FB9" w:rsidP="00282E26">
      <w:pPr>
        <w:spacing w:line="360" w:lineRule="auto"/>
        <w:ind w:firstLineChars="200" w:firstLine="480"/>
        <w:jc w:val="right"/>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单位：人民币千元</w:t>
      </w:r>
    </w:p>
    <w:tbl>
      <w:tblPr>
        <w:tblW w:w="10320" w:type="dxa"/>
        <w:jc w:val="center"/>
        <w:tblLook w:val="04A0" w:firstRow="1" w:lastRow="0" w:firstColumn="1" w:lastColumn="0" w:noHBand="0" w:noVBand="1"/>
      </w:tblPr>
      <w:tblGrid>
        <w:gridCol w:w="1080"/>
        <w:gridCol w:w="4320"/>
        <w:gridCol w:w="1900"/>
        <w:gridCol w:w="1900"/>
        <w:gridCol w:w="1120"/>
      </w:tblGrid>
      <w:tr w:rsidR="0089378D" w:rsidRPr="0089378D" w:rsidTr="0089378D">
        <w:trPr>
          <w:trHeight w:val="270"/>
          <w:tblHeader/>
          <w:jc w:val="center"/>
        </w:trPr>
        <w:tc>
          <w:tcPr>
            <w:tcW w:w="54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c</w:t>
            </w:r>
          </w:p>
        </w:tc>
      </w:tr>
      <w:tr w:rsidR="0089378D" w:rsidRPr="0089378D" w:rsidTr="0089378D">
        <w:trPr>
          <w:trHeight w:val="270"/>
          <w:tblHeader/>
          <w:jc w:val="center"/>
        </w:trPr>
        <w:tc>
          <w:tcPr>
            <w:tcW w:w="5400"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4920" w:type="dxa"/>
            <w:gridSpan w:val="3"/>
            <w:tcBorders>
              <w:top w:val="single" w:sz="4" w:space="0" w:color="auto"/>
              <w:left w:val="nil"/>
              <w:bottom w:val="single" w:sz="4" w:space="0" w:color="auto"/>
              <w:right w:val="single" w:sz="4" w:space="0" w:color="000000"/>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2026年6月30日</w:t>
            </w:r>
          </w:p>
        </w:tc>
      </w:tr>
      <w:tr w:rsidR="0089378D" w:rsidRPr="0089378D" w:rsidTr="0089378D">
        <w:trPr>
          <w:trHeight w:val="510"/>
          <w:tblHeader/>
          <w:jc w:val="center"/>
        </w:trPr>
        <w:tc>
          <w:tcPr>
            <w:tcW w:w="5400"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财务并表范围下的资产负债表</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监管并表范围下的资产负债表</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代码</w:t>
            </w:r>
          </w:p>
        </w:tc>
      </w:tr>
      <w:tr w:rsidR="0089378D" w:rsidRPr="0089378D" w:rsidTr="0089378D">
        <w:trPr>
          <w:trHeight w:val="27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资产</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现金及存放中央银行款项</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12,695,836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12,695,836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存放同业款项</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2,859,930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2,859,930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拆出资金</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7,490,367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7,490,367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衍生金融资产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买入返售金融资产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9,377,857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9,377,857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发放贷款和垫款</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195,682,323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195,682,323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7</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金融投资</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64,273,384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64,273,384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8</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其中：交易性金融资产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3,587,798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3,587,798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9</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其中：债权投资</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13,617,381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13,617,381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10</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其中：其他债权投资</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47,068,205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47,068,205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11</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其中：其他权益工具投资</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12</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长期股权投资</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1,322,146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1,322,146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13</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固定资产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919,922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919,922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14</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在建工程</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57,039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57,039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15</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使用权资产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102,470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102,470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16</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商誉</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17</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无形资产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104,916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104,916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18</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其中：土地使用权</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64,826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64,826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19</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其中：其他无形资产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40,090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40,090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递延所得税资产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2,019,503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2,019,503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21</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其他资产</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329,54</w:t>
            </w:r>
            <w:r w:rsidR="006A5106">
              <w:rPr>
                <w:rFonts w:ascii="宋体" w:eastAsia="宋体" w:hAnsi="宋体" w:cs="宋体"/>
                <w:color w:val="000000"/>
                <w:kern w:val="0"/>
                <w:szCs w:val="21"/>
              </w:rPr>
              <w:t>7</w:t>
            </w:r>
            <w:r w:rsidRPr="0089378D">
              <w:rPr>
                <w:rFonts w:ascii="宋体" w:eastAsia="宋体" w:hAnsi="宋体" w:cs="宋体" w:hint="eastAsia"/>
                <w:color w:val="000000"/>
                <w:kern w:val="0"/>
                <w:szCs w:val="21"/>
              </w:rPr>
              <w:t xml:space="preserve">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329,54</w:t>
            </w:r>
            <w:r w:rsidR="006A5106">
              <w:rPr>
                <w:rFonts w:ascii="宋体" w:eastAsia="宋体" w:hAnsi="宋体" w:cs="宋体"/>
                <w:color w:val="000000"/>
                <w:kern w:val="0"/>
                <w:szCs w:val="21"/>
              </w:rPr>
              <w:t>7</w:t>
            </w:r>
            <w:r w:rsidRPr="0089378D">
              <w:rPr>
                <w:rFonts w:ascii="宋体" w:eastAsia="宋体" w:hAnsi="宋体" w:cs="宋体" w:hint="eastAsia"/>
                <w:color w:val="000000"/>
                <w:kern w:val="0"/>
                <w:szCs w:val="21"/>
              </w:rPr>
              <w:t xml:space="preserve">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22</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资产合计</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297,235,2</w:t>
            </w:r>
            <w:r w:rsidR="006A5106">
              <w:rPr>
                <w:rFonts w:ascii="宋体" w:eastAsia="宋体" w:hAnsi="宋体" w:cs="宋体"/>
                <w:b/>
                <w:bCs/>
                <w:color w:val="000000"/>
                <w:kern w:val="0"/>
                <w:szCs w:val="21"/>
              </w:rPr>
              <w:t>40</w:t>
            </w:r>
            <w:r w:rsidRPr="0089378D">
              <w:rPr>
                <w:rFonts w:ascii="宋体" w:eastAsia="宋体" w:hAnsi="宋体" w:cs="宋体" w:hint="eastAsia"/>
                <w:b/>
                <w:bCs/>
                <w:color w:val="000000"/>
                <w:kern w:val="0"/>
                <w:szCs w:val="21"/>
              </w:rPr>
              <w:t xml:space="preserve">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297,235,2</w:t>
            </w:r>
            <w:r w:rsidR="006A5106">
              <w:rPr>
                <w:rFonts w:ascii="宋体" w:eastAsia="宋体" w:hAnsi="宋体" w:cs="宋体"/>
                <w:b/>
                <w:bCs/>
                <w:color w:val="000000"/>
                <w:kern w:val="0"/>
                <w:szCs w:val="21"/>
              </w:rPr>
              <w:t>40</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负债</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23</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向中央银行借款</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9,698,354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9,698,354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24</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同业及其他金融机构存放款项</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1,215,154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1,215,154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25</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拆入资金</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3,000,806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3,000,806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26</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卖出回购金融资产款</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8,769,020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8,769,020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27</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吸收存款</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233,885,524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233,885,524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28</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应付债券</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18,570,735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18,570,735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29</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应付职工薪酬</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41,410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41,410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30</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应交税费</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227,992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227,992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lastRenderedPageBreak/>
              <w:t>31</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租赁负债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106,146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106,146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32</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递延所得税负债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81,239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81,239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33</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其中：与商誉相关的递延所得税负债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c</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34</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其中：与无形资产相关的递延所得税负债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d</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35</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预计负债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89,761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89,761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36</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其他负债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404,639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404,639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37</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负债合计</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276,090,780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276,090,780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股东权益</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38</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股本</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3,661,023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3,661,023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e</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39</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其他权益工具</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329,624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329,624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k</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40</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ind w:firstLineChars="100" w:firstLine="210"/>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其中：优先股</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41</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永续债</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42</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资本公积</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2,977,543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2,977,543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g</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43</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其他综合收益</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194,654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194,654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6A5106"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44</w:t>
            </w:r>
          </w:p>
        </w:tc>
        <w:tc>
          <w:tcPr>
            <w:tcW w:w="43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盈余公积</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widowControl/>
              <w:jc w:val="right"/>
              <w:rPr>
                <w:rFonts w:ascii="宋体" w:eastAsia="宋体" w:hAnsi="宋体" w:cs="宋体"/>
                <w:color w:val="000000"/>
                <w:kern w:val="0"/>
                <w:szCs w:val="21"/>
              </w:rPr>
            </w:pPr>
            <w:r w:rsidRPr="006A5106">
              <w:rPr>
                <w:rFonts w:ascii="宋体" w:eastAsia="宋体" w:hAnsi="宋体" w:cs="宋体" w:hint="eastAsia"/>
                <w:color w:val="000000"/>
                <w:kern w:val="0"/>
                <w:szCs w:val="21"/>
              </w:rPr>
              <w:t xml:space="preserve">       3,548,340 </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3,548,340 </w:t>
            </w:r>
          </w:p>
        </w:tc>
        <w:tc>
          <w:tcPr>
            <w:tcW w:w="11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h</w:t>
            </w:r>
          </w:p>
        </w:tc>
      </w:tr>
      <w:tr w:rsidR="006A5106"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45</w:t>
            </w:r>
          </w:p>
        </w:tc>
        <w:tc>
          <w:tcPr>
            <w:tcW w:w="43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一般风险准备</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7,383,060 </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7,383,060 </w:t>
            </w:r>
          </w:p>
        </w:tc>
        <w:tc>
          <w:tcPr>
            <w:tcW w:w="11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i</w:t>
            </w:r>
          </w:p>
        </w:tc>
      </w:tr>
      <w:tr w:rsidR="006A5106"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46</w:t>
            </w:r>
          </w:p>
        </w:tc>
        <w:tc>
          <w:tcPr>
            <w:tcW w:w="43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未分配利润</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3,050,216 </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jc w:val="right"/>
              <w:rPr>
                <w:rFonts w:ascii="宋体" w:eastAsia="宋体" w:hAnsi="宋体" w:cs="宋体" w:hint="eastAsia"/>
                <w:color w:val="000000"/>
                <w:kern w:val="0"/>
                <w:szCs w:val="21"/>
              </w:rPr>
            </w:pPr>
            <w:r w:rsidRPr="006A5106">
              <w:rPr>
                <w:rFonts w:ascii="宋体" w:eastAsia="宋体" w:hAnsi="宋体" w:cs="宋体" w:hint="eastAsia"/>
                <w:color w:val="000000"/>
                <w:kern w:val="0"/>
                <w:szCs w:val="21"/>
              </w:rPr>
              <w:t xml:space="preserve">       3,050,216 </w:t>
            </w:r>
          </w:p>
        </w:tc>
        <w:tc>
          <w:tcPr>
            <w:tcW w:w="11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j</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47</w:t>
            </w:r>
          </w:p>
        </w:tc>
        <w:tc>
          <w:tcPr>
            <w:tcW w:w="43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少数股东权益</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11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6A5106"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48</w:t>
            </w:r>
          </w:p>
        </w:tc>
        <w:tc>
          <w:tcPr>
            <w:tcW w:w="43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股东权益合计</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widowControl/>
              <w:jc w:val="right"/>
              <w:rPr>
                <w:rFonts w:ascii="宋体" w:eastAsia="宋体" w:hAnsi="宋体" w:cs="宋体"/>
                <w:b/>
                <w:bCs/>
                <w:color w:val="000000"/>
                <w:kern w:val="0"/>
                <w:szCs w:val="21"/>
              </w:rPr>
            </w:pPr>
            <w:r w:rsidRPr="006A5106">
              <w:rPr>
                <w:rFonts w:ascii="宋体" w:eastAsia="宋体" w:hAnsi="宋体" w:cs="宋体" w:hint="eastAsia"/>
                <w:b/>
                <w:bCs/>
                <w:color w:val="000000"/>
                <w:kern w:val="0"/>
                <w:szCs w:val="21"/>
              </w:rPr>
              <w:t xml:space="preserve">    21,144,460 </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widowControl/>
              <w:jc w:val="right"/>
              <w:rPr>
                <w:rFonts w:ascii="宋体" w:eastAsia="宋体" w:hAnsi="宋体" w:cs="宋体"/>
                <w:b/>
                <w:bCs/>
                <w:color w:val="000000"/>
                <w:kern w:val="0"/>
                <w:szCs w:val="21"/>
              </w:rPr>
            </w:pPr>
            <w:r w:rsidRPr="006A5106">
              <w:rPr>
                <w:rFonts w:ascii="宋体" w:eastAsia="宋体" w:hAnsi="宋体" w:cs="宋体" w:hint="eastAsia"/>
                <w:b/>
                <w:bCs/>
                <w:color w:val="000000"/>
                <w:kern w:val="0"/>
                <w:szCs w:val="21"/>
              </w:rPr>
              <w:t xml:space="preserve">    21,144,460 </w:t>
            </w:r>
          </w:p>
        </w:tc>
        <w:tc>
          <w:tcPr>
            <w:tcW w:w="11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r w:rsidR="006A5106"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A5106" w:rsidRPr="0089378D" w:rsidRDefault="006A5106" w:rsidP="006A5106">
            <w:pPr>
              <w:widowControl/>
              <w:jc w:val="center"/>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49</w:t>
            </w:r>
          </w:p>
        </w:tc>
        <w:tc>
          <w:tcPr>
            <w:tcW w:w="43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负债和股东权益总计</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widowControl/>
              <w:jc w:val="right"/>
              <w:rPr>
                <w:rFonts w:ascii="宋体" w:eastAsia="宋体" w:hAnsi="宋体" w:cs="宋体" w:hint="eastAsia"/>
                <w:b/>
                <w:bCs/>
                <w:color w:val="000000"/>
                <w:kern w:val="0"/>
                <w:szCs w:val="21"/>
              </w:rPr>
            </w:pPr>
            <w:r w:rsidRPr="006A5106">
              <w:rPr>
                <w:rFonts w:ascii="宋体" w:eastAsia="宋体" w:hAnsi="宋体" w:cs="宋体" w:hint="eastAsia"/>
                <w:b/>
                <w:bCs/>
                <w:color w:val="000000"/>
                <w:kern w:val="0"/>
                <w:szCs w:val="21"/>
              </w:rPr>
              <w:t xml:space="preserve">   297,235,240 </w:t>
            </w:r>
          </w:p>
        </w:tc>
        <w:tc>
          <w:tcPr>
            <w:tcW w:w="1900" w:type="dxa"/>
            <w:tcBorders>
              <w:top w:val="nil"/>
              <w:left w:val="nil"/>
              <w:bottom w:val="single" w:sz="4" w:space="0" w:color="auto"/>
              <w:right w:val="single" w:sz="4" w:space="0" w:color="auto"/>
            </w:tcBorders>
            <w:shd w:val="clear" w:color="auto" w:fill="auto"/>
            <w:vAlign w:val="center"/>
            <w:hideMark/>
          </w:tcPr>
          <w:p w:rsidR="006A5106" w:rsidRPr="006A5106" w:rsidRDefault="006A5106" w:rsidP="006A5106">
            <w:pPr>
              <w:widowControl/>
              <w:jc w:val="right"/>
              <w:rPr>
                <w:rFonts w:ascii="宋体" w:eastAsia="宋体" w:hAnsi="宋体" w:cs="宋体" w:hint="eastAsia"/>
                <w:b/>
                <w:bCs/>
                <w:color w:val="000000"/>
                <w:kern w:val="0"/>
                <w:szCs w:val="21"/>
              </w:rPr>
            </w:pPr>
            <w:r w:rsidRPr="006A5106">
              <w:rPr>
                <w:rFonts w:ascii="宋体" w:eastAsia="宋体" w:hAnsi="宋体" w:cs="宋体" w:hint="eastAsia"/>
                <w:b/>
                <w:bCs/>
                <w:color w:val="000000"/>
                <w:kern w:val="0"/>
                <w:szCs w:val="21"/>
              </w:rPr>
              <w:t xml:space="preserve">   297,235,240 </w:t>
            </w:r>
          </w:p>
        </w:tc>
        <w:tc>
          <w:tcPr>
            <w:tcW w:w="1120" w:type="dxa"/>
            <w:tcBorders>
              <w:top w:val="nil"/>
              <w:left w:val="nil"/>
              <w:bottom w:val="single" w:sz="4" w:space="0" w:color="auto"/>
              <w:right w:val="single" w:sz="4" w:space="0" w:color="auto"/>
            </w:tcBorders>
            <w:shd w:val="clear" w:color="auto" w:fill="auto"/>
            <w:vAlign w:val="center"/>
            <w:hideMark/>
          </w:tcPr>
          <w:p w:rsidR="006A5106" w:rsidRPr="0089378D" w:rsidRDefault="006A5106" w:rsidP="006A5106">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r>
    </w:tbl>
    <w:p w:rsidR="00207FB9" w:rsidRPr="002E660F" w:rsidRDefault="00207FB9"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885336" w:rsidRDefault="00885336" w:rsidP="00282E26">
      <w:pPr>
        <w:spacing w:line="360" w:lineRule="auto"/>
        <w:rPr>
          <w:rFonts w:asciiTheme="minorEastAsia" w:hAnsiTheme="minorEastAsia" w:cs="Times New Roman"/>
          <w:color w:val="000000"/>
          <w:sz w:val="24"/>
          <w:szCs w:val="24"/>
        </w:rPr>
      </w:pPr>
    </w:p>
    <w:p w:rsidR="006A56DB" w:rsidRDefault="006A56DB" w:rsidP="00282E26">
      <w:pPr>
        <w:spacing w:line="360" w:lineRule="auto"/>
        <w:rPr>
          <w:rFonts w:asciiTheme="minorEastAsia" w:hAnsiTheme="minorEastAsia" w:cs="Times New Roman"/>
          <w:color w:val="000000"/>
          <w:sz w:val="24"/>
          <w:szCs w:val="24"/>
        </w:rPr>
      </w:pPr>
    </w:p>
    <w:p w:rsidR="006A56DB" w:rsidRDefault="006A56DB" w:rsidP="00282E26">
      <w:pPr>
        <w:spacing w:line="360" w:lineRule="auto"/>
        <w:rPr>
          <w:rFonts w:asciiTheme="minorEastAsia" w:hAnsiTheme="minorEastAsia" w:cs="Times New Roman"/>
          <w:color w:val="000000"/>
          <w:sz w:val="24"/>
          <w:szCs w:val="24"/>
        </w:rPr>
      </w:pPr>
    </w:p>
    <w:p w:rsidR="006A56DB" w:rsidRDefault="006A56DB"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Pr="002E660F" w:rsidRDefault="00841A33" w:rsidP="00282E26">
      <w:pPr>
        <w:spacing w:line="360" w:lineRule="auto"/>
        <w:rPr>
          <w:rFonts w:asciiTheme="minorEastAsia" w:hAnsiTheme="minorEastAsia" w:cs="Times New Roman"/>
          <w:color w:val="000000"/>
          <w:sz w:val="24"/>
          <w:szCs w:val="24"/>
        </w:rPr>
      </w:pPr>
    </w:p>
    <w:p w:rsidR="00885336" w:rsidRPr="002E660F" w:rsidRDefault="00885336" w:rsidP="00282E26">
      <w:pPr>
        <w:spacing w:line="360" w:lineRule="auto"/>
        <w:rPr>
          <w:rFonts w:asciiTheme="minorEastAsia" w:hAnsiTheme="minorEastAsia" w:cs="Times New Roman"/>
          <w:color w:val="000000"/>
          <w:sz w:val="24"/>
          <w:szCs w:val="24"/>
        </w:rPr>
      </w:pPr>
    </w:p>
    <w:p w:rsidR="00207FB9" w:rsidRPr="002E660F" w:rsidRDefault="00207FB9" w:rsidP="00282E26">
      <w:pPr>
        <w:pStyle w:val="1"/>
        <w:spacing w:before="0" w:after="0" w:line="360" w:lineRule="auto"/>
        <w:rPr>
          <w:rFonts w:asciiTheme="minorEastAsia" w:hAnsiTheme="minorEastAsia"/>
          <w:sz w:val="28"/>
          <w:szCs w:val="24"/>
        </w:rPr>
      </w:pPr>
      <w:bookmarkStart w:id="10" w:name="_Toc237550989"/>
      <w:r w:rsidRPr="002E660F">
        <w:rPr>
          <w:rFonts w:asciiTheme="minorEastAsia" w:hAnsiTheme="minorEastAsia"/>
          <w:sz w:val="28"/>
          <w:szCs w:val="24"/>
        </w:rPr>
        <w:lastRenderedPageBreak/>
        <w:t>4</w:t>
      </w:r>
      <w:r w:rsidR="00137392" w:rsidRPr="002E660F">
        <w:rPr>
          <w:rFonts w:asciiTheme="minorEastAsia" w:hAnsiTheme="minorEastAsia"/>
          <w:sz w:val="28"/>
          <w:szCs w:val="24"/>
        </w:rPr>
        <w:t xml:space="preserve">  </w:t>
      </w:r>
      <w:r w:rsidRPr="002E660F">
        <w:rPr>
          <w:rFonts w:asciiTheme="minorEastAsia" w:hAnsiTheme="minorEastAsia" w:hint="eastAsia"/>
          <w:sz w:val="28"/>
          <w:szCs w:val="24"/>
        </w:rPr>
        <w:t>杠杆率</w:t>
      </w:r>
      <w:bookmarkEnd w:id="10"/>
    </w:p>
    <w:p w:rsidR="00F50307" w:rsidRPr="002E660F" w:rsidRDefault="00F50307" w:rsidP="00282E26">
      <w:pPr>
        <w:pStyle w:val="2"/>
        <w:spacing w:before="0" w:after="0" w:line="360" w:lineRule="auto"/>
        <w:rPr>
          <w:rFonts w:asciiTheme="minorEastAsia" w:eastAsiaTheme="minorEastAsia" w:hAnsiTheme="minorEastAsia"/>
          <w:sz w:val="24"/>
          <w:szCs w:val="24"/>
        </w:rPr>
      </w:pPr>
      <w:bookmarkStart w:id="11" w:name="_Toc237550990"/>
      <w:r w:rsidRPr="002E660F">
        <w:rPr>
          <w:rFonts w:asciiTheme="minorEastAsia" w:eastAsiaTheme="minorEastAsia" w:hAnsiTheme="minorEastAsia" w:hint="eastAsia"/>
          <w:sz w:val="24"/>
          <w:szCs w:val="24"/>
        </w:rPr>
        <w:t>4.1</w:t>
      </w:r>
      <w:r w:rsidR="00137392" w:rsidRPr="002E660F">
        <w:rPr>
          <w:rFonts w:asciiTheme="minorEastAsia" w:eastAsiaTheme="minorEastAsia" w:hAnsiTheme="minorEastAsia"/>
          <w:sz w:val="24"/>
          <w:szCs w:val="24"/>
        </w:rPr>
        <w:t xml:space="preserve">  </w:t>
      </w:r>
      <w:r w:rsidR="005F40AD" w:rsidRPr="002A644A">
        <w:rPr>
          <w:rFonts w:asciiTheme="minorEastAsia" w:hAnsiTheme="minorEastAsia" w:cs="Times New Roman" w:hint="eastAsia"/>
          <w:color w:val="000000"/>
          <w:sz w:val="24"/>
          <w:szCs w:val="24"/>
        </w:rPr>
        <w:t>LR1</w:t>
      </w:r>
      <w:r w:rsidR="005F40AD">
        <w:rPr>
          <w:rFonts w:asciiTheme="minorEastAsia" w:hAnsiTheme="minorEastAsia" w:cs="Times New Roman" w:hint="eastAsia"/>
          <w:color w:val="000000"/>
          <w:sz w:val="24"/>
          <w:szCs w:val="24"/>
        </w:rPr>
        <w:t xml:space="preserve"> </w:t>
      </w:r>
      <w:r w:rsidRPr="002E660F">
        <w:rPr>
          <w:rFonts w:asciiTheme="minorEastAsia" w:eastAsiaTheme="minorEastAsia" w:hAnsiTheme="minorEastAsia" w:hint="eastAsia"/>
          <w:sz w:val="24"/>
          <w:szCs w:val="24"/>
        </w:rPr>
        <w:t>杠杆率监管项目与相关会计项目的差异</w:t>
      </w:r>
      <w:bookmarkEnd w:id="11"/>
    </w:p>
    <w:p w:rsidR="00207FB9" w:rsidRPr="002E660F" w:rsidRDefault="00207FB9"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下表列示本公司资产负债表中的总资产和杠杆率调整后的表内外资产余额的对比关系。</w:t>
      </w:r>
    </w:p>
    <w:p w:rsidR="00207FB9" w:rsidRPr="002A644A" w:rsidRDefault="00207FB9" w:rsidP="00282E26">
      <w:pPr>
        <w:spacing w:line="360" w:lineRule="auto"/>
        <w:ind w:firstLineChars="200" w:firstLine="482"/>
        <w:rPr>
          <w:rFonts w:asciiTheme="minorEastAsia" w:hAnsiTheme="minorEastAsia" w:cs="Times New Roman"/>
          <w:b/>
          <w:color w:val="000000"/>
          <w:sz w:val="24"/>
          <w:szCs w:val="24"/>
        </w:rPr>
      </w:pPr>
      <w:r w:rsidRPr="002A644A">
        <w:rPr>
          <w:rFonts w:asciiTheme="minorEastAsia" w:hAnsiTheme="minorEastAsia" w:cs="Times New Roman" w:hint="eastAsia"/>
          <w:b/>
          <w:color w:val="000000"/>
          <w:sz w:val="24"/>
          <w:szCs w:val="24"/>
        </w:rPr>
        <w:t>表格LR1：杠杆率监管项目与相关会计项目的差异</w:t>
      </w:r>
    </w:p>
    <w:p w:rsidR="00207FB9" w:rsidRPr="002E660F" w:rsidRDefault="00207FB9" w:rsidP="00282E26">
      <w:pPr>
        <w:spacing w:line="360" w:lineRule="auto"/>
        <w:ind w:firstLineChars="200" w:firstLine="480"/>
        <w:jc w:val="right"/>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单位：人民币千元</w:t>
      </w:r>
    </w:p>
    <w:tbl>
      <w:tblPr>
        <w:tblW w:w="9860" w:type="dxa"/>
        <w:jc w:val="center"/>
        <w:tblLook w:val="04A0" w:firstRow="1" w:lastRow="0" w:firstColumn="1" w:lastColumn="0" w:noHBand="0" w:noVBand="1"/>
      </w:tblPr>
      <w:tblGrid>
        <w:gridCol w:w="1080"/>
        <w:gridCol w:w="5620"/>
        <w:gridCol w:w="3160"/>
      </w:tblGrid>
      <w:tr w:rsidR="0089378D" w:rsidRPr="0089378D" w:rsidTr="0089378D">
        <w:trPr>
          <w:trHeight w:val="270"/>
          <w:jc w:val="center"/>
        </w:trPr>
        <w:tc>
          <w:tcPr>
            <w:tcW w:w="67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r>
      <w:tr w:rsidR="0089378D" w:rsidRPr="0089378D" w:rsidTr="0089378D">
        <w:trPr>
          <w:trHeight w:val="270"/>
          <w:jc w:val="center"/>
        </w:trPr>
        <w:tc>
          <w:tcPr>
            <w:tcW w:w="6700"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2026年6月30日</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并表总资产</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297,235,2</w:t>
            </w:r>
            <w:r w:rsidR="006A5106">
              <w:rPr>
                <w:rFonts w:ascii="宋体" w:eastAsia="宋体" w:hAnsi="宋体" w:cs="宋体"/>
                <w:color w:val="000000"/>
                <w:kern w:val="0"/>
                <w:szCs w:val="21"/>
              </w:rPr>
              <w:t>40</w:t>
            </w: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并表调整项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客户资产调整项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衍生工具调整项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3,03</w:t>
            </w:r>
            <w:r w:rsidR="006A5106">
              <w:rPr>
                <w:rFonts w:ascii="宋体" w:eastAsia="宋体" w:hAnsi="宋体" w:cs="宋体"/>
                <w:color w:val="000000"/>
                <w:kern w:val="0"/>
                <w:szCs w:val="21"/>
              </w:rPr>
              <w:t>7</w:t>
            </w:r>
            <w:r w:rsidRPr="0089378D">
              <w:rPr>
                <w:rFonts w:ascii="宋体" w:eastAsia="宋体" w:hAnsi="宋体" w:cs="宋体" w:hint="eastAsia"/>
                <w:color w:val="000000"/>
                <w:kern w:val="0"/>
                <w:szCs w:val="21"/>
              </w:rPr>
              <w:t xml:space="preserve">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证券融资交易调整项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382,100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表外项目调整项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27,443,068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7</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资产证券化交易调整项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8</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未结算金融资产调整项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9</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现金池调整项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10</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存款准备金调整项（如有）</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11</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审慎估值和减值准备调整项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12</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其他调整项</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-254,746 </w:t>
            </w:r>
          </w:p>
        </w:tc>
      </w:tr>
      <w:tr w:rsidR="0089378D" w:rsidRPr="0089378D" w:rsidTr="0089378D">
        <w:trPr>
          <w:trHeight w:val="2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13</w:t>
            </w:r>
          </w:p>
        </w:tc>
        <w:tc>
          <w:tcPr>
            <w:tcW w:w="562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调整后表内外资产余额</w:t>
            </w:r>
          </w:p>
        </w:tc>
        <w:tc>
          <w:tcPr>
            <w:tcW w:w="316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324,808,699 </w:t>
            </w:r>
          </w:p>
        </w:tc>
      </w:tr>
    </w:tbl>
    <w:p w:rsidR="00207FB9" w:rsidRPr="002E660F" w:rsidRDefault="00207FB9" w:rsidP="00282E26">
      <w:pPr>
        <w:spacing w:line="360" w:lineRule="auto"/>
        <w:rPr>
          <w:rFonts w:asciiTheme="minorEastAsia" w:hAnsiTheme="minorEastAsia" w:cs="Times New Roman"/>
          <w:color w:val="000000"/>
          <w:sz w:val="24"/>
          <w:szCs w:val="24"/>
        </w:rPr>
      </w:pPr>
    </w:p>
    <w:p w:rsidR="00207FB9" w:rsidRDefault="00207FB9"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Default="00841A33" w:rsidP="00282E26">
      <w:pPr>
        <w:spacing w:line="360" w:lineRule="auto"/>
        <w:rPr>
          <w:rFonts w:asciiTheme="minorEastAsia" w:hAnsiTheme="minorEastAsia" w:cs="Times New Roman"/>
          <w:color w:val="000000"/>
          <w:sz w:val="24"/>
          <w:szCs w:val="24"/>
        </w:rPr>
      </w:pPr>
    </w:p>
    <w:p w:rsidR="00841A33" w:rsidRPr="002E660F" w:rsidRDefault="00841A33" w:rsidP="00282E26">
      <w:pPr>
        <w:spacing w:line="360" w:lineRule="auto"/>
        <w:rPr>
          <w:rFonts w:asciiTheme="minorEastAsia" w:hAnsiTheme="minorEastAsia" w:cs="Times New Roman"/>
          <w:color w:val="000000"/>
          <w:sz w:val="24"/>
          <w:szCs w:val="24"/>
        </w:rPr>
      </w:pPr>
    </w:p>
    <w:p w:rsidR="00F50307" w:rsidRPr="002E660F" w:rsidRDefault="00F50307" w:rsidP="00282E26">
      <w:pPr>
        <w:pStyle w:val="2"/>
        <w:spacing w:before="0" w:after="0" w:line="360" w:lineRule="auto"/>
        <w:rPr>
          <w:rFonts w:asciiTheme="minorEastAsia" w:eastAsiaTheme="minorEastAsia" w:hAnsiTheme="minorEastAsia"/>
          <w:sz w:val="24"/>
          <w:szCs w:val="24"/>
        </w:rPr>
      </w:pPr>
      <w:bookmarkStart w:id="12" w:name="_Toc237550991"/>
      <w:r w:rsidRPr="002E660F">
        <w:rPr>
          <w:rFonts w:asciiTheme="minorEastAsia" w:eastAsiaTheme="minorEastAsia" w:hAnsiTheme="minorEastAsia" w:hint="eastAsia"/>
          <w:sz w:val="24"/>
          <w:szCs w:val="24"/>
        </w:rPr>
        <w:lastRenderedPageBreak/>
        <w:t>4.</w:t>
      </w:r>
      <w:r w:rsidRPr="002E660F">
        <w:rPr>
          <w:rFonts w:asciiTheme="minorEastAsia" w:eastAsiaTheme="minorEastAsia" w:hAnsiTheme="minorEastAsia"/>
          <w:sz w:val="24"/>
          <w:szCs w:val="24"/>
        </w:rPr>
        <w:t>2</w:t>
      </w:r>
      <w:r w:rsidR="00137392" w:rsidRPr="002E660F">
        <w:rPr>
          <w:rFonts w:asciiTheme="minorEastAsia" w:eastAsiaTheme="minorEastAsia" w:hAnsiTheme="minorEastAsia"/>
          <w:sz w:val="24"/>
          <w:szCs w:val="24"/>
        </w:rPr>
        <w:t xml:space="preserve">  </w:t>
      </w:r>
      <w:r w:rsidR="005F40AD" w:rsidRPr="002A644A">
        <w:rPr>
          <w:rFonts w:asciiTheme="minorEastAsia" w:hAnsiTheme="minorEastAsia" w:cs="Times New Roman" w:hint="eastAsia"/>
          <w:color w:val="000000"/>
          <w:sz w:val="24"/>
          <w:szCs w:val="24"/>
        </w:rPr>
        <w:t>LR2</w:t>
      </w:r>
      <w:r w:rsidR="005F40AD">
        <w:rPr>
          <w:rFonts w:asciiTheme="minorEastAsia" w:hAnsiTheme="minorEastAsia" w:cs="Times New Roman" w:hint="eastAsia"/>
          <w:color w:val="000000"/>
          <w:sz w:val="24"/>
          <w:szCs w:val="24"/>
        </w:rPr>
        <w:t xml:space="preserve"> </w:t>
      </w:r>
      <w:r w:rsidRPr="002E660F">
        <w:rPr>
          <w:rFonts w:asciiTheme="minorEastAsia" w:eastAsiaTheme="minorEastAsia" w:hAnsiTheme="minorEastAsia" w:hint="eastAsia"/>
          <w:sz w:val="24"/>
          <w:szCs w:val="24"/>
        </w:rPr>
        <w:t>杠杆率</w:t>
      </w:r>
      <w:bookmarkEnd w:id="12"/>
    </w:p>
    <w:p w:rsidR="00207FB9" w:rsidRPr="002E660F" w:rsidRDefault="00207FB9" w:rsidP="00282E26">
      <w:pPr>
        <w:spacing w:line="360" w:lineRule="auto"/>
        <w:ind w:firstLineChars="200" w:firstLine="480"/>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下表列示本公司杠杆率分母的组成明细以及实际杠杆率、最低杠杆率要求和附加杠杆率要求等相关信息。</w:t>
      </w:r>
    </w:p>
    <w:p w:rsidR="00207FB9" w:rsidRPr="002A644A" w:rsidRDefault="00207FB9" w:rsidP="00282E26">
      <w:pPr>
        <w:spacing w:line="360" w:lineRule="auto"/>
        <w:ind w:firstLineChars="200" w:firstLine="482"/>
        <w:rPr>
          <w:rFonts w:asciiTheme="minorEastAsia" w:hAnsiTheme="minorEastAsia" w:cs="Times New Roman"/>
          <w:b/>
          <w:color w:val="000000"/>
          <w:sz w:val="24"/>
          <w:szCs w:val="24"/>
        </w:rPr>
      </w:pPr>
      <w:r w:rsidRPr="002A644A">
        <w:rPr>
          <w:rFonts w:asciiTheme="minorEastAsia" w:hAnsiTheme="minorEastAsia" w:cs="Times New Roman" w:hint="eastAsia"/>
          <w:b/>
          <w:color w:val="000000"/>
          <w:sz w:val="24"/>
          <w:szCs w:val="24"/>
        </w:rPr>
        <w:t>表格LR2：杠杆率</w:t>
      </w:r>
    </w:p>
    <w:p w:rsidR="00207FB9" w:rsidRPr="002E660F" w:rsidRDefault="00207FB9" w:rsidP="00282E26">
      <w:pPr>
        <w:spacing w:line="360" w:lineRule="auto"/>
        <w:ind w:firstLineChars="200" w:firstLine="480"/>
        <w:jc w:val="right"/>
        <w:rPr>
          <w:rFonts w:asciiTheme="minorEastAsia" w:hAnsiTheme="minorEastAsia" w:cs="Times New Roman"/>
          <w:color w:val="000000"/>
          <w:sz w:val="24"/>
          <w:szCs w:val="24"/>
        </w:rPr>
      </w:pPr>
      <w:r w:rsidRPr="002E660F">
        <w:rPr>
          <w:rFonts w:asciiTheme="minorEastAsia" w:hAnsiTheme="minorEastAsia" w:cs="Times New Roman" w:hint="eastAsia"/>
          <w:color w:val="000000"/>
          <w:sz w:val="24"/>
          <w:szCs w:val="24"/>
        </w:rPr>
        <w:t>单位：人民币千元，百分比除外</w:t>
      </w:r>
    </w:p>
    <w:tbl>
      <w:tblPr>
        <w:tblW w:w="9976" w:type="dxa"/>
        <w:jc w:val="center"/>
        <w:tblLook w:val="04A0" w:firstRow="1" w:lastRow="0" w:firstColumn="1" w:lastColumn="0" w:noHBand="0" w:noVBand="1"/>
      </w:tblPr>
      <w:tblGrid>
        <w:gridCol w:w="1456"/>
        <w:gridCol w:w="4240"/>
        <w:gridCol w:w="2140"/>
        <w:gridCol w:w="2140"/>
      </w:tblGrid>
      <w:tr w:rsidR="0089378D" w:rsidRPr="0089378D" w:rsidTr="0089378D">
        <w:trPr>
          <w:trHeight w:val="270"/>
          <w:tblHeader/>
          <w:jc w:val="center"/>
        </w:trPr>
        <w:tc>
          <w:tcPr>
            <w:tcW w:w="56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a</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b</w:t>
            </w:r>
          </w:p>
        </w:tc>
      </w:tr>
      <w:tr w:rsidR="0089378D" w:rsidRPr="0089378D" w:rsidTr="0089378D">
        <w:trPr>
          <w:trHeight w:val="270"/>
          <w:tblHeader/>
          <w:jc w:val="center"/>
        </w:trPr>
        <w:tc>
          <w:tcPr>
            <w:tcW w:w="5696" w:type="dxa"/>
            <w:gridSpan w:val="2"/>
            <w:vMerge/>
            <w:tcBorders>
              <w:top w:val="single" w:sz="4" w:space="0" w:color="auto"/>
              <w:left w:val="single" w:sz="4" w:space="0" w:color="auto"/>
              <w:bottom w:val="single" w:sz="4" w:space="0" w:color="auto"/>
              <w:right w:val="single" w:sz="4" w:space="0" w:color="auto"/>
            </w:tcBorders>
            <w:vAlign w:val="center"/>
            <w:hideMark/>
          </w:tcPr>
          <w:p w:rsidR="0089378D" w:rsidRPr="0089378D" w:rsidRDefault="0089378D" w:rsidP="0089378D">
            <w:pPr>
              <w:widowControl/>
              <w:jc w:val="left"/>
              <w:rPr>
                <w:rFonts w:ascii="宋体" w:eastAsia="宋体" w:hAnsi="宋体" w:cs="宋体"/>
                <w:color w:val="000000"/>
                <w:kern w:val="0"/>
                <w:szCs w:val="21"/>
              </w:rPr>
            </w:pP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2026年6月30日</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2026年3月31日</w:t>
            </w:r>
          </w:p>
        </w:tc>
      </w:tr>
      <w:tr w:rsidR="0089378D" w:rsidRPr="0089378D" w:rsidTr="0089378D">
        <w:trPr>
          <w:trHeight w:val="270"/>
          <w:jc w:val="center"/>
        </w:trPr>
        <w:tc>
          <w:tcPr>
            <w:tcW w:w="997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表内资产余额</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表内资产（除衍生工具和证券融资交易外）</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293,049,</w:t>
            </w:r>
            <w:r w:rsidR="006A5106">
              <w:rPr>
                <w:rFonts w:ascii="宋体" w:eastAsia="宋体" w:hAnsi="宋体" w:cs="宋体"/>
                <w:color w:val="000000"/>
                <w:kern w:val="0"/>
                <w:szCs w:val="21"/>
              </w:rPr>
              <w:t>200</w:t>
            </w:r>
            <w:r w:rsidRPr="0089378D">
              <w:rPr>
                <w:rFonts w:ascii="宋体" w:eastAsia="宋体" w:hAnsi="宋体" w:cs="宋体" w:hint="eastAsia"/>
                <w:color w:val="000000"/>
                <w:kern w:val="0"/>
                <w:szCs w:val="21"/>
              </w:rPr>
              <w:t xml:space="preserve">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287,491,357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减：减值准备</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-5,191,817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-5,309,180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3</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减：一级资本扣除项</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-254,746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-245,565 </w:t>
            </w:r>
          </w:p>
        </w:tc>
      </w:tr>
      <w:tr w:rsidR="0089378D" w:rsidRPr="0089378D" w:rsidTr="0089378D">
        <w:trPr>
          <w:trHeight w:val="51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4</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调整后的表内资产余额（衍生工具和证券融资交易除外）</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287,602,63</w:t>
            </w:r>
            <w:r w:rsidR="006A5106">
              <w:rPr>
                <w:rFonts w:ascii="宋体" w:eastAsia="宋体" w:hAnsi="宋体" w:cs="宋体"/>
                <w:b/>
                <w:bCs/>
                <w:color w:val="000000"/>
                <w:kern w:val="0"/>
                <w:szCs w:val="21"/>
              </w:rPr>
              <w:t>7</w:t>
            </w:r>
            <w:r w:rsidRPr="0089378D">
              <w:rPr>
                <w:rFonts w:ascii="宋体" w:eastAsia="宋体" w:hAnsi="宋体" w:cs="宋体" w:hint="eastAsia"/>
                <w:b/>
                <w:bCs/>
                <w:color w:val="000000"/>
                <w:kern w:val="0"/>
                <w:szCs w:val="21"/>
              </w:rPr>
              <w:t xml:space="preserve">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281,936,612 </w:t>
            </w:r>
          </w:p>
        </w:tc>
      </w:tr>
      <w:tr w:rsidR="0089378D" w:rsidRPr="0089378D" w:rsidTr="0089378D">
        <w:trPr>
          <w:trHeight w:val="270"/>
          <w:jc w:val="center"/>
        </w:trPr>
        <w:tc>
          <w:tcPr>
            <w:tcW w:w="997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衍生工具资产余额</w:t>
            </w:r>
          </w:p>
        </w:tc>
      </w:tr>
      <w:tr w:rsidR="0089378D" w:rsidRPr="0089378D" w:rsidTr="0089378D">
        <w:trPr>
          <w:trHeight w:val="51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5</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各类衍生工具的重置成本（扣除合格保证金，考虑双边净额结算协议的影响）</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222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156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6</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各类衍生工具的潜在风险暴露</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2,81</w:t>
            </w:r>
            <w:r w:rsidR="006A5106">
              <w:rPr>
                <w:rFonts w:ascii="宋体" w:eastAsia="宋体" w:hAnsi="宋体" w:cs="宋体"/>
                <w:color w:val="000000"/>
                <w:kern w:val="0"/>
                <w:szCs w:val="21"/>
              </w:rPr>
              <w:t>5</w:t>
            </w:r>
            <w:r w:rsidRPr="0089378D">
              <w:rPr>
                <w:rFonts w:ascii="宋体" w:eastAsia="宋体" w:hAnsi="宋体" w:cs="宋体" w:hint="eastAsia"/>
                <w:color w:val="000000"/>
                <w:kern w:val="0"/>
                <w:szCs w:val="21"/>
              </w:rPr>
              <w:t xml:space="preserve">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2,715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7</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已从资产负债表中扣除的抵质押品总和</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8</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减：因提供合格保证金形成的应收资产</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51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9</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减：为客户提供清算服务时与中央交易对手交易形成的衍生工具资产余额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10</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卖出信用衍生工具的名义本金</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11</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减：可扣除的卖出信用衍生工具资产余额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12</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衍生工具资产余额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6A5106">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3,03</w:t>
            </w:r>
            <w:r w:rsidR="006A5106">
              <w:rPr>
                <w:rFonts w:ascii="宋体" w:eastAsia="宋体" w:hAnsi="宋体" w:cs="宋体"/>
                <w:b/>
                <w:bCs/>
                <w:color w:val="000000"/>
                <w:kern w:val="0"/>
                <w:szCs w:val="21"/>
              </w:rPr>
              <w:t>7</w:t>
            </w:r>
            <w:bookmarkStart w:id="13" w:name="_GoBack"/>
            <w:bookmarkEnd w:id="13"/>
            <w:r w:rsidRPr="0089378D">
              <w:rPr>
                <w:rFonts w:ascii="宋体" w:eastAsia="宋体" w:hAnsi="宋体" w:cs="宋体" w:hint="eastAsia"/>
                <w:b/>
                <w:bCs/>
                <w:color w:val="000000"/>
                <w:kern w:val="0"/>
                <w:szCs w:val="21"/>
              </w:rPr>
              <w:t xml:space="preserve">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2,871 </w:t>
            </w:r>
          </w:p>
        </w:tc>
      </w:tr>
      <w:tr w:rsidR="0089378D" w:rsidRPr="0089378D" w:rsidTr="0089378D">
        <w:trPr>
          <w:trHeight w:val="270"/>
          <w:jc w:val="center"/>
        </w:trPr>
        <w:tc>
          <w:tcPr>
            <w:tcW w:w="997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证券融资交易资产余额</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13</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证券融资交易的会计资产余额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9,377,857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12,809,462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14</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减：可以扣除的证券融资交易资产余额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15</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证券融资交易的交易对手信用风险暴露</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382,100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732,656 </w:t>
            </w:r>
          </w:p>
        </w:tc>
      </w:tr>
      <w:tr w:rsidR="0089378D" w:rsidRPr="0089378D" w:rsidTr="0089378D">
        <w:trPr>
          <w:trHeight w:val="51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16</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代理证券融资交易形成的证券融资交易资产余额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17</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证券融资交易资产余额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9,759,957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13,542,118 </w:t>
            </w:r>
          </w:p>
        </w:tc>
      </w:tr>
      <w:tr w:rsidR="0089378D" w:rsidRPr="0089378D" w:rsidTr="0089378D">
        <w:trPr>
          <w:trHeight w:val="270"/>
          <w:jc w:val="center"/>
        </w:trPr>
        <w:tc>
          <w:tcPr>
            <w:tcW w:w="997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表外项目余额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18</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表外项目余额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43,312,215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32,966,527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19</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减：因信用转换调整的表外项目余额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-15,779,383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-10,371,331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20</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减：减值准备</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-89,764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-93,233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21</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调整后的表外项目余额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27,443,068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 xml:space="preserve">      22,501,963 </w:t>
            </w:r>
          </w:p>
        </w:tc>
      </w:tr>
      <w:tr w:rsidR="0089378D" w:rsidRPr="0089378D" w:rsidTr="0089378D">
        <w:trPr>
          <w:trHeight w:val="270"/>
          <w:jc w:val="center"/>
        </w:trPr>
        <w:tc>
          <w:tcPr>
            <w:tcW w:w="997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一级资本净额和调整后表内外资产余额</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22</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一级资本净额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20,846,625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20,489,972 </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23</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调整后表内外资产余额</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324,808,699 </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 xml:space="preserve">       317,983,564 </w:t>
            </w:r>
          </w:p>
        </w:tc>
      </w:tr>
      <w:tr w:rsidR="0089378D" w:rsidRPr="0089378D" w:rsidTr="0089378D">
        <w:trPr>
          <w:trHeight w:val="270"/>
          <w:jc w:val="center"/>
        </w:trPr>
        <w:tc>
          <w:tcPr>
            <w:tcW w:w="9976"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89378D" w:rsidRPr="0089378D" w:rsidRDefault="0089378D" w:rsidP="0089378D">
            <w:pPr>
              <w:widowControl/>
              <w:jc w:val="left"/>
              <w:rPr>
                <w:rFonts w:ascii="宋体" w:eastAsia="宋体" w:hAnsi="宋体" w:cs="宋体"/>
                <w:b/>
                <w:bCs/>
                <w:color w:val="000000"/>
                <w:kern w:val="0"/>
                <w:szCs w:val="21"/>
              </w:rPr>
            </w:pPr>
            <w:r w:rsidRPr="0089378D">
              <w:rPr>
                <w:rFonts w:ascii="宋体" w:eastAsia="宋体" w:hAnsi="宋体" w:cs="宋体" w:hint="eastAsia"/>
                <w:b/>
                <w:bCs/>
                <w:color w:val="000000"/>
                <w:kern w:val="0"/>
                <w:szCs w:val="21"/>
              </w:rPr>
              <w:t>杠杆率</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24</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杠杆率（%）</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6.42</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6.44</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lastRenderedPageBreak/>
              <w:t>24a</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rPr>
                <w:rFonts w:ascii="宋体" w:eastAsia="宋体" w:hAnsi="宋体" w:cs="宋体"/>
                <w:color w:val="000000"/>
                <w:kern w:val="0"/>
                <w:szCs w:val="21"/>
              </w:rPr>
            </w:pPr>
            <w:r w:rsidRPr="0089378D">
              <w:rPr>
                <w:rFonts w:ascii="宋体" w:eastAsia="宋体" w:hAnsi="宋体" w:cs="宋体" w:hint="eastAsia"/>
                <w:color w:val="000000"/>
                <w:kern w:val="0"/>
                <w:szCs w:val="21"/>
              </w:rPr>
              <w:t>杠杆率a（%）</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6.42</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6.44</w:t>
            </w:r>
          </w:p>
        </w:tc>
      </w:tr>
      <w:tr w:rsidR="0089378D" w:rsidRPr="0089378D" w:rsidTr="0089378D">
        <w:trPr>
          <w:trHeight w:val="270"/>
          <w:jc w:val="center"/>
        </w:trPr>
        <w:tc>
          <w:tcPr>
            <w:tcW w:w="1456" w:type="dxa"/>
            <w:tcBorders>
              <w:top w:val="nil"/>
              <w:left w:val="single" w:sz="4" w:space="0" w:color="auto"/>
              <w:bottom w:val="single" w:sz="4" w:space="0" w:color="auto"/>
              <w:right w:val="single" w:sz="4" w:space="0" w:color="auto"/>
            </w:tcBorders>
            <w:shd w:val="clear" w:color="auto" w:fill="auto"/>
            <w:vAlign w:val="center"/>
            <w:hideMark/>
          </w:tcPr>
          <w:p w:rsidR="0089378D" w:rsidRPr="0089378D" w:rsidRDefault="0089378D" w:rsidP="0089378D">
            <w:pPr>
              <w:widowControl/>
              <w:jc w:val="center"/>
              <w:rPr>
                <w:rFonts w:ascii="宋体" w:eastAsia="宋体" w:hAnsi="宋体" w:cs="宋体"/>
                <w:color w:val="000000"/>
                <w:kern w:val="0"/>
                <w:szCs w:val="21"/>
              </w:rPr>
            </w:pPr>
            <w:r w:rsidRPr="0089378D">
              <w:rPr>
                <w:rFonts w:ascii="宋体" w:eastAsia="宋体" w:hAnsi="宋体" w:cs="宋体" w:hint="eastAsia"/>
                <w:color w:val="000000"/>
                <w:kern w:val="0"/>
                <w:szCs w:val="21"/>
              </w:rPr>
              <w:t>25</w:t>
            </w:r>
          </w:p>
        </w:tc>
        <w:tc>
          <w:tcPr>
            <w:tcW w:w="42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left"/>
              <w:rPr>
                <w:rFonts w:ascii="宋体" w:eastAsia="宋体" w:hAnsi="宋体" w:cs="宋体"/>
                <w:color w:val="000000"/>
                <w:kern w:val="0"/>
                <w:szCs w:val="21"/>
              </w:rPr>
            </w:pPr>
            <w:r w:rsidRPr="0089378D">
              <w:rPr>
                <w:rFonts w:ascii="宋体" w:eastAsia="宋体" w:hAnsi="宋体" w:cs="宋体" w:hint="eastAsia"/>
                <w:color w:val="000000"/>
                <w:kern w:val="0"/>
                <w:szCs w:val="21"/>
              </w:rPr>
              <w:t>最低杠杆率要求（%）</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4.00</w:t>
            </w:r>
          </w:p>
        </w:tc>
        <w:tc>
          <w:tcPr>
            <w:tcW w:w="2140" w:type="dxa"/>
            <w:tcBorders>
              <w:top w:val="nil"/>
              <w:left w:val="nil"/>
              <w:bottom w:val="single" w:sz="4" w:space="0" w:color="auto"/>
              <w:right w:val="single" w:sz="4" w:space="0" w:color="auto"/>
            </w:tcBorders>
            <w:shd w:val="clear" w:color="auto" w:fill="auto"/>
            <w:vAlign w:val="center"/>
            <w:hideMark/>
          </w:tcPr>
          <w:p w:rsidR="0089378D" w:rsidRPr="0089378D" w:rsidRDefault="0089378D" w:rsidP="0089378D">
            <w:pPr>
              <w:widowControl/>
              <w:jc w:val="right"/>
              <w:rPr>
                <w:rFonts w:ascii="宋体" w:eastAsia="宋体" w:hAnsi="宋体" w:cs="宋体"/>
                <w:color w:val="000000"/>
                <w:kern w:val="0"/>
                <w:szCs w:val="21"/>
              </w:rPr>
            </w:pPr>
            <w:r w:rsidRPr="0089378D">
              <w:rPr>
                <w:rFonts w:ascii="宋体" w:eastAsia="宋体" w:hAnsi="宋体" w:cs="宋体" w:hint="eastAsia"/>
                <w:color w:val="000000"/>
                <w:kern w:val="0"/>
                <w:szCs w:val="21"/>
              </w:rPr>
              <w:t>4.00</w:t>
            </w:r>
          </w:p>
        </w:tc>
      </w:tr>
    </w:tbl>
    <w:p w:rsidR="00207FB9" w:rsidRDefault="00207FB9" w:rsidP="00282E26">
      <w:pPr>
        <w:spacing w:line="360" w:lineRule="auto"/>
        <w:rPr>
          <w:rFonts w:asciiTheme="minorEastAsia" w:hAnsiTheme="minorEastAsia" w:cs="Times New Roman"/>
          <w:color w:val="000000"/>
          <w:sz w:val="24"/>
          <w:szCs w:val="24"/>
        </w:rPr>
      </w:pPr>
    </w:p>
    <w:p w:rsidR="003A6A9E" w:rsidRPr="002E660F" w:rsidRDefault="003A6A9E" w:rsidP="00282E26">
      <w:pPr>
        <w:spacing w:line="360" w:lineRule="auto"/>
        <w:rPr>
          <w:rFonts w:asciiTheme="minorEastAsia" w:hAnsiTheme="minorEastAsia" w:cs="Times New Roman"/>
          <w:color w:val="000000"/>
          <w:sz w:val="24"/>
          <w:szCs w:val="24"/>
        </w:rPr>
      </w:pPr>
    </w:p>
    <w:sectPr w:rsidR="003A6A9E" w:rsidRPr="002E660F" w:rsidSect="00B17FB6">
      <w:footerReference w:type="default" r:id="rId7"/>
      <w:pgSz w:w="11906" w:h="16838" w:code="9"/>
      <w:pgMar w:top="1247" w:right="1911" w:bottom="1247" w:left="191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74D" w:rsidRDefault="000F574D" w:rsidP="005E452C">
      <w:r>
        <w:separator/>
      </w:r>
    </w:p>
  </w:endnote>
  <w:endnote w:type="continuationSeparator" w:id="0">
    <w:p w:rsidR="000F574D" w:rsidRDefault="000F574D" w:rsidP="005E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141187"/>
      <w:docPartObj>
        <w:docPartGallery w:val="Page Numbers (Bottom of Page)"/>
        <w:docPartUnique/>
      </w:docPartObj>
    </w:sdtPr>
    <w:sdtEndPr>
      <w:rPr>
        <w:rFonts w:asciiTheme="minorEastAsia" w:hAnsiTheme="minorEastAsia"/>
        <w:sz w:val="24"/>
        <w:szCs w:val="24"/>
      </w:rPr>
    </w:sdtEndPr>
    <w:sdtContent>
      <w:p w:rsidR="0089378D" w:rsidRPr="00676F66" w:rsidRDefault="0089378D">
        <w:pPr>
          <w:pStyle w:val="a4"/>
          <w:jc w:val="center"/>
          <w:rPr>
            <w:rFonts w:asciiTheme="minorEastAsia" w:hAnsiTheme="minorEastAsia"/>
            <w:sz w:val="24"/>
            <w:szCs w:val="24"/>
          </w:rPr>
        </w:pPr>
        <w:r w:rsidRPr="00676F66">
          <w:rPr>
            <w:rFonts w:asciiTheme="minorEastAsia" w:hAnsiTheme="minorEastAsia"/>
            <w:sz w:val="24"/>
            <w:szCs w:val="24"/>
          </w:rPr>
          <w:fldChar w:fldCharType="begin"/>
        </w:r>
        <w:r w:rsidRPr="00676F66">
          <w:rPr>
            <w:rFonts w:asciiTheme="minorEastAsia" w:hAnsiTheme="minorEastAsia"/>
            <w:sz w:val="24"/>
            <w:szCs w:val="24"/>
          </w:rPr>
          <w:instrText>PAGE   \* MERGEFORMAT</w:instrText>
        </w:r>
        <w:r w:rsidRPr="00676F66">
          <w:rPr>
            <w:rFonts w:asciiTheme="minorEastAsia" w:hAnsiTheme="minorEastAsia"/>
            <w:sz w:val="24"/>
            <w:szCs w:val="24"/>
          </w:rPr>
          <w:fldChar w:fldCharType="separate"/>
        </w:r>
        <w:r w:rsidR="006A5106" w:rsidRPr="006A5106">
          <w:rPr>
            <w:rFonts w:asciiTheme="minorEastAsia" w:hAnsiTheme="minorEastAsia"/>
            <w:noProof/>
            <w:sz w:val="24"/>
            <w:szCs w:val="24"/>
            <w:lang w:val="zh-CN"/>
          </w:rPr>
          <w:t>10</w:t>
        </w:r>
        <w:r w:rsidRPr="00676F66">
          <w:rPr>
            <w:rFonts w:asciiTheme="minorEastAsia" w:hAnsiTheme="minorEastAsia"/>
            <w:sz w:val="24"/>
            <w:szCs w:val="24"/>
          </w:rPr>
          <w:fldChar w:fldCharType="end"/>
        </w:r>
      </w:p>
    </w:sdtContent>
  </w:sdt>
  <w:p w:rsidR="0089378D" w:rsidRDefault="0089378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74D" w:rsidRDefault="000F574D" w:rsidP="005E452C">
      <w:r>
        <w:separator/>
      </w:r>
    </w:p>
  </w:footnote>
  <w:footnote w:type="continuationSeparator" w:id="0">
    <w:p w:rsidR="000F574D" w:rsidRDefault="000F574D" w:rsidP="005E4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6AC1"/>
    <w:rsid w:val="00002898"/>
    <w:rsid w:val="00006131"/>
    <w:rsid w:val="0000779D"/>
    <w:rsid w:val="00011695"/>
    <w:rsid w:val="00012313"/>
    <w:rsid w:val="00015208"/>
    <w:rsid w:val="00015863"/>
    <w:rsid w:val="00015A56"/>
    <w:rsid w:val="00022586"/>
    <w:rsid w:val="00023D19"/>
    <w:rsid w:val="00024574"/>
    <w:rsid w:val="00024946"/>
    <w:rsid w:val="0002509A"/>
    <w:rsid w:val="00030DFE"/>
    <w:rsid w:val="00033530"/>
    <w:rsid w:val="000359D8"/>
    <w:rsid w:val="00035C08"/>
    <w:rsid w:val="00036D74"/>
    <w:rsid w:val="00040FC9"/>
    <w:rsid w:val="00041FC8"/>
    <w:rsid w:val="000443FC"/>
    <w:rsid w:val="000449A0"/>
    <w:rsid w:val="0004612B"/>
    <w:rsid w:val="00046240"/>
    <w:rsid w:val="00046ED7"/>
    <w:rsid w:val="000508E7"/>
    <w:rsid w:val="00050C83"/>
    <w:rsid w:val="00051EDF"/>
    <w:rsid w:val="00051FD3"/>
    <w:rsid w:val="0005327B"/>
    <w:rsid w:val="00054373"/>
    <w:rsid w:val="000567B8"/>
    <w:rsid w:val="0005707B"/>
    <w:rsid w:val="0005711A"/>
    <w:rsid w:val="00060938"/>
    <w:rsid w:val="00063F9F"/>
    <w:rsid w:val="00063FAE"/>
    <w:rsid w:val="00065116"/>
    <w:rsid w:val="000707E6"/>
    <w:rsid w:val="000719B9"/>
    <w:rsid w:val="0007255C"/>
    <w:rsid w:val="0007265D"/>
    <w:rsid w:val="0007419D"/>
    <w:rsid w:val="00074EF1"/>
    <w:rsid w:val="00076030"/>
    <w:rsid w:val="00076B4A"/>
    <w:rsid w:val="00077AF6"/>
    <w:rsid w:val="00077D54"/>
    <w:rsid w:val="0008126C"/>
    <w:rsid w:val="00082A7B"/>
    <w:rsid w:val="00082C96"/>
    <w:rsid w:val="00083059"/>
    <w:rsid w:val="00086AC4"/>
    <w:rsid w:val="00090A1A"/>
    <w:rsid w:val="00090F43"/>
    <w:rsid w:val="0009299B"/>
    <w:rsid w:val="00093B8B"/>
    <w:rsid w:val="0009484C"/>
    <w:rsid w:val="000952CD"/>
    <w:rsid w:val="000A05A1"/>
    <w:rsid w:val="000A3596"/>
    <w:rsid w:val="000A3D89"/>
    <w:rsid w:val="000A44EF"/>
    <w:rsid w:val="000A5744"/>
    <w:rsid w:val="000B0607"/>
    <w:rsid w:val="000B1038"/>
    <w:rsid w:val="000B26F4"/>
    <w:rsid w:val="000B3677"/>
    <w:rsid w:val="000B37BB"/>
    <w:rsid w:val="000B6FCC"/>
    <w:rsid w:val="000B7007"/>
    <w:rsid w:val="000B7857"/>
    <w:rsid w:val="000C0099"/>
    <w:rsid w:val="000C2F89"/>
    <w:rsid w:val="000C3CC2"/>
    <w:rsid w:val="000C3D14"/>
    <w:rsid w:val="000C568A"/>
    <w:rsid w:val="000C59DE"/>
    <w:rsid w:val="000C65DB"/>
    <w:rsid w:val="000C6818"/>
    <w:rsid w:val="000C7718"/>
    <w:rsid w:val="000D0D16"/>
    <w:rsid w:val="000D0F91"/>
    <w:rsid w:val="000D33AE"/>
    <w:rsid w:val="000D38E7"/>
    <w:rsid w:val="000D43FB"/>
    <w:rsid w:val="000D5844"/>
    <w:rsid w:val="000E18CD"/>
    <w:rsid w:val="000E3D47"/>
    <w:rsid w:val="000E4D1C"/>
    <w:rsid w:val="000E5B3B"/>
    <w:rsid w:val="000E5D09"/>
    <w:rsid w:val="000E779C"/>
    <w:rsid w:val="000F0646"/>
    <w:rsid w:val="000F1486"/>
    <w:rsid w:val="000F574D"/>
    <w:rsid w:val="000F5959"/>
    <w:rsid w:val="000F5E93"/>
    <w:rsid w:val="0010253D"/>
    <w:rsid w:val="00104E16"/>
    <w:rsid w:val="00105D3F"/>
    <w:rsid w:val="00107DCA"/>
    <w:rsid w:val="001106CA"/>
    <w:rsid w:val="00110F7E"/>
    <w:rsid w:val="00111872"/>
    <w:rsid w:val="00112D85"/>
    <w:rsid w:val="001138C1"/>
    <w:rsid w:val="00114DCA"/>
    <w:rsid w:val="00116AE8"/>
    <w:rsid w:val="0011793D"/>
    <w:rsid w:val="00120A5B"/>
    <w:rsid w:val="00121EA8"/>
    <w:rsid w:val="001260F3"/>
    <w:rsid w:val="00126B42"/>
    <w:rsid w:val="0013355B"/>
    <w:rsid w:val="001336ED"/>
    <w:rsid w:val="001340A3"/>
    <w:rsid w:val="00134459"/>
    <w:rsid w:val="0013618C"/>
    <w:rsid w:val="00137392"/>
    <w:rsid w:val="001417E4"/>
    <w:rsid w:val="00142834"/>
    <w:rsid w:val="00143D89"/>
    <w:rsid w:val="001459DE"/>
    <w:rsid w:val="00145D3D"/>
    <w:rsid w:val="001460A3"/>
    <w:rsid w:val="0014629F"/>
    <w:rsid w:val="001465F9"/>
    <w:rsid w:val="00150C65"/>
    <w:rsid w:val="00150D9A"/>
    <w:rsid w:val="001517C2"/>
    <w:rsid w:val="00151832"/>
    <w:rsid w:val="001539C3"/>
    <w:rsid w:val="0015757A"/>
    <w:rsid w:val="00157747"/>
    <w:rsid w:val="001619CF"/>
    <w:rsid w:val="00162458"/>
    <w:rsid w:val="00162772"/>
    <w:rsid w:val="00164D31"/>
    <w:rsid w:val="001705D1"/>
    <w:rsid w:val="001709C0"/>
    <w:rsid w:val="00170E8A"/>
    <w:rsid w:val="00176945"/>
    <w:rsid w:val="00181680"/>
    <w:rsid w:val="0018348D"/>
    <w:rsid w:val="00183C67"/>
    <w:rsid w:val="00183C8D"/>
    <w:rsid w:val="00186A7D"/>
    <w:rsid w:val="00195667"/>
    <w:rsid w:val="0019650D"/>
    <w:rsid w:val="001A47E3"/>
    <w:rsid w:val="001A4CCD"/>
    <w:rsid w:val="001A5E56"/>
    <w:rsid w:val="001A7486"/>
    <w:rsid w:val="001B1CCB"/>
    <w:rsid w:val="001B2F8B"/>
    <w:rsid w:val="001B3ED9"/>
    <w:rsid w:val="001B3FDB"/>
    <w:rsid w:val="001B4164"/>
    <w:rsid w:val="001B4F17"/>
    <w:rsid w:val="001C0AB6"/>
    <w:rsid w:val="001C43AB"/>
    <w:rsid w:val="001C67DD"/>
    <w:rsid w:val="001D05AB"/>
    <w:rsid w:val="001D0A8F"/>
    <w:rsid w:val="001D135D"/>
    <w:rsid w:val="001D16D3"/>
    <w:rsid w:val="001D2B10"/>
    <w:rsid w:val="001D2C3E"/>
    <w:rsid w:val="001D2EDF"/>
    <w:rsid w:val="001D502E"/>
    <w:rsid w:val="001D569A"/>
    <w:rsid w:val="001D6D8A"/>
    <w:rsid w:val="001D7C02"/>
    <w:rsid w:val="001E111F"/>
    <w:rsid w:val="001E4A20"/>
    <w:rsid w:val="001E4E72"/>
    <w:rsid w:val="001E5128"/>
    <w:rsid w:val="001E5A2A"/>
    <w:rsid w:val="001E5B0E"/>
    <w:rsid w:val="001E5DE1"/>
    <w:rsid w:val="001F19F4"/>
    <w:rsid w:val="001F34CC"/>
    <w:rsid w:val="001F47EE"/>
    <w:rsid w:val="001F5304"/>
    <w:rsid w:val="001F60B5"/>
    <w:rsid w:val="001F640B"/>
    <w:rsid w:val="00200B39"/>
    <w:rsid w:val="002011C9"/>
    <w:rsid w:val="00202C2D"/>
    <w:rsid w:val="002066D1"/>
    <w:rsid w:val="0020743D"/>
    <w:rsid w:val="002075AF"/>
    <w:rsid w:val="00207FB9"/>
    <w:rsid w:val="00210847"/>
    <w:rsid w:val="00210A86"/>
    <w:rsid w:val="00210ADA"/>
    <w:rsid w:val="0021319E"/>
    <w:rsid w:val="00214B95"/>
    <w:rsid w:val="00214D9E"/>
    <w:rsid w:val="00216FA3"/>
    <w:rsid w:val="00220BC5"/>
    <w:rsid w:val="00221414"/>
    <w:rsid w:val="002222E3"/>
    <w:rsid w:val="0022444E"/>
    <w:rsid w:val="00224998"/>
    <w:rsid w:val="002257B2"/>
    <w:rsid w:val="00226CB6"/>
    <w:rsid w:val="00227408"/>
    <w:rsid w:val="002315A6"/>
    <w:rsid w:val="0023199D"/>
    <w:rsid w:val="00232585"/>
    <w:rsid w:val="00233AA8"/>
    <w:rsid w:val="00235190"/>
    <w:rsid w:val="00237C86"/>
    <w:rsid w:val="00242A1D"/>
    <w:rsid w:val="00242E10"/>
    <w:rsid w:val="0024380A"/>
    <w:rsid w:val="00245BC0"/>
    <w:rsid w:val="0025041A"/>
    <w:rsid w:val="00252ABC"/>
    <w:rsid w:val="00255022"/>
    <w:rsid w:val="002574ED"/>
    <w:rsid w:val="00257BA0"/>
    <w:rsid w:val="00260571"/>
    <w:rsid w:val="0026222C"/>
    <w:rsid w:val="00262C01"/>
    <w:rsid w:val="00262C84"/>
    <w:rsid w:val="00264ED6"/>
    <w:rsid w:val="00266236"/>
    <w:rsid w:val="00266F50"/>
    <w:rsid w:val="0026735F"/>
    <w:rsid w:val="002676EA"/>
    <w:rsid w:val="002712B7"/>
    <w:rsid w:val="00271B20"/>
    <w:rsid w:val="00271B98"/>
    <w:rsid w:val="00272D70"/>
    <w:rsid w:val="0027455F"/>
    <w:rsid w:val="00275CA4"/>
    <w:rsid w:val="00275F26"/>
    <w:rsid w:val="00276E0B"/>
    <w:rsid w:val="00277A5A"/>
    <w:rsid w:val="00277CB3"/>
    <w:rsid w:val="002812DF"/>
    <w:rsid w:val="00282E26"/>
    <w:rsid w:val="00283B9E"/>
    <w:rsid w:val="00284174"/>
    <w:rsid w:val="00284AA7"/>
    <w:rsid w:val="002919AD"/>
    <w:rsid w:val="002931AF"/>
    <w:rsid w:val="00293720"/>
    <w:rsid w:val="002937E8"/>
    <w:rsid w:val="00295A56"/>
    <w:rsid w:val="00296074"/>
    <w:rsid w:val="002960EE"/>
    <w:rsid w:val="002964CA"/>
    <w:rsid w:val="002A0352"/>
    <w:rsid w:val="002A0D30"/>
    <w:rsid w:val="002A644A"/>
    <w:rsid w:val="002A6FF8"/>
    <w:rsid w:val="002B2636"/>
    <w:rsid w:val="002B4A8F"/>
    <w:rsid w:val="002B5EC7"/>
    <w:rsid w:val="002B60BC"/>
    <w:rsid w:val="002B7732"/>
    <w:rsid w:val="002B7B53"/>
    <w:rsid w:val="002C0876"/>
    <w:rsid w:val="002C0CA0"/>
    <w:rsid w:val="002C231E"/>
    <w:rsid w:val="002C4633"/>
    <w:rsid w:val="002C4914"/>
    <w:rsid w:val="002C4F82"/>
    <w:rsid w:val="002C5251"/>
    <w:rsid w:val="002C68B0"/>
    <w:rsid w:val="002C7A7B"/>
    <w:rsid w:val="002D65C1"/>
    <w:rsid w:val="002D719F"/>
    <w:rsid w:val="002D74E6"/>
    <w:rsid w:val="002D7B52"/>
    <w:rsid w:val="002E0216"/>
    <w:rsid w:val="002E11CE"/>
    <w:rsid w:val="002E2440"/>
    <w:rsid w:val="002E3253"/>
    <w:rsid w:val="002E660F"/>
    <w:rsid w:val="002E690E"/>
    <w:rsid w:val="002E740D"/>
    <w:rsid w:val="002F1D8D"/>
    <w:rsid w:val="002F5A70"/>
    <w:rsid w:val="002F6C19"/>
    <w:rsid w:val="002F6E20"/>
    <w:rsid w:val="002F7D49"/>
    <w:rsid w:val="00302AA5"/>
    <w:rsid w:val="00302BA7"/>
    <w:rsid w:val="00302D80"/>
    <w:rsid w:val="00302F04"/>
    <w:rsid w:val="0030436B"/>
    <w:rsid w:val="0030637B"/>
    <w:rsid w:val="00307A85"/>
    <w:rsid w:val="00310BBF"/>
    <w:rsid w:val="00311FBC"/>
    <w:rsid w:val="00313238"/>
    <w:rsid w:val="00315793"/>
    <w:rsid w:val="0031595F"/>
    <w:rsid w:val="003176BF"/>
    <w:rsid w:val="00322587"/>
    <w:rsid w:val="00323078"/>
    <w:rsid w:val="00324965"/>
    <w:rsid w:val="00325C09"/>
    <w:rsid w:val="00326E56"/>
    <w:rsid w:val="00327DD1"/>
    <w:rsid w:val="00330BA2"/>
    <w:rsid w:val="0033256C"/>
    <w:rsid w:val="00333002"/>
    <w:rsid w:val="00334090"/>
    <w:rsid w:val="003346FC"/>
    <w:rsid w:val="00337655"/>
    <w:rsid w:val="00337B6D"/>
    <w:rsid w:val="00337F3C"/>
    <w:rsid w:val="00341C75"/>
    <w:rsid w:val="00342433"/>
    <w:rsid w:val="00344942"/>
    <w:rsid w:val="00344E27"/>
    <w:rsid w:val="00346BC4"/>
    <w:rsid w:val="003510AF"/>
    <w:rsid w:val="003558A8"/>
    <w:rsid w:val="00355BEA"/>
    <w:rsid w:val="00356BEB"/>
    <w:rsid w:val="00357201"/>
    <w:rsid w:val="003626F9"/>
    <w:rsid w:val="00362A27"/>
    <w:rsid w:val="00362FA2"/>
    <w:rsid w:val="003633EA"/>
    <w:rsid w:val="0036392B"/>
    <w:rsid w:val="0036540C"/>
    <w:rsid w:val="00366F42"/>
    <w:rsid w:val="00371B3D"/>
    <w:rsid w:val="00372145"/>
    <w:rsid w:val="00373322"/>
    <w:rsid w:val="00373410"/>
    <w:rsid w:val="003734CD"/>
    <w:rsid w:val="00375086"/>
    <w:rsid w:val="003766F7"/>
    <w:rsid w:val="003773BA"/>
    <w:rsid w:val="00380C94"/>
    <w:rsid w:val="00381A7F"/>
    <w:rsid w:val="00381C41"/>
    <w:rsid w:val="0038335A"/>
    <w:rsid w:val="003834F8"/>
    <w:rsid w:val="003864F7"/>
    <w:rsid w:val="003904A9"/>
    <w:rsid w:val="00390C5A"/>
    <w:rsid w:val="00390DF9"/>
    <w:rsid w:val="0039286D"/>
    <w:rsid w:val="00392D86"/>
    <w:rsid w:val="0039454D"/>
    <w:rsid w:val="00394BE2"/>
    <w:rsid w:val="00394FC0"/>
    <w:rsid w:val="00396377"/>
    <w:rsid w:val="00397E11"/>
    <w:rsid w:val="00397FD1"/>
    <w:rsid w:val="003A05EE"/>
    <w:rsid w:val="003A07B5"/>
    <w:rsid w:val="003A2985"/>
    <w:rsid w:val="003A6A5F"/>
    <w:rsid w:val="003A6A9E"/>
    <w:rsid w:val="003A6B13"/>
    <w:rsid w:val="003A6BBB"/>
    <w:rsid w:val="003A6BFC"/>
    <w:rsid w:val="003B3E6E"/>
    <w:rsid w:val="003B5E3D"/>
    <w:rsid w:val="003B6613"/>
    <w:rsid w:val="003B7FFE"/>
    <w:rsid w:val="003C0509"/>
    <w:rsid w:val="003C72DB"/>
    <w:rsid w:val="003D0D2B"/>
    <w:rsid w:val="003D117C"/>
    <w:rsid w:val="003D2D49"/>
    <w:rsid w:val="003D472D"/>
    <w:rsid w:val="003D657F"/>
    <w:rsid w:val="003D7D7D"/>
    <w:rsid w:val="003E319F"/>
    <w:rsid w:val="003E37CE"/>
    <w:rsid w:val="003E3E1D"/>
    <w:rsid w:val="003E606C"/>
    <w:rsid w:val="003F1C94"/>
    <w:rsid w:val="003F1ED3"/>
    <w:rsid w:val="003F2E84"/>
    <w:rsid w:val="003F5874"/>
    <w:rsid w:val="0040261E"/>
    <w:rsid w:val="00404286"/>
    <w:rsid w:val="00407114"/>
    <w:rsid w:val="00410750"/>
    <w:rsid w:val="00411E20"/>
    <w:rsid w:val="00415131"/>
    <w:rsid w:val="00415201"/>
    <w:rsid w:val="004166AE"/>
    <w:rsid w:val="00417CC3"/>
    <w:rsid w:val="004204A5"/>
    <w:rsid w:val="00421191"/>
    <w:rsid w:val="00421783"/>
    <w:rsid w:val="00422BA1"/>
    <w:rsid w:val="00422E5A"/>
    <w:rsid w:val="00424FF0"/>
    <w:rsid w:val="0042501B"/>
    <w:rsid w:val="00425CF6"/>
    <w:rsid w:val="004328FE"/>
    <w:rsid w:val="00432BD1"/>
    <w:rsid w:val="0043307B"/>
    <w:rsid w:val="0043589D"/>
    <w:rsid w:val="00435DEC"/>
    <w:rsid w:val="004365E0"/>
    <w:rsid w:val="00436C67"/>
    <w:rsid w:val="0044048F"/>
    <w:rsid w:val="00440D2E"/>
    <w:rsid w:val="00442209"/>
    <w:rsid w:val="0044253B"/>
    <w:rsid w:val="004425D3"/>
    <w:rsid w:val="00444472"/>
    <w:rsid w:val="004448A4"/>
    <w:rsid w:val="00447ED6"/>
    <w:rsid w:val="0045283E"/>
    <w:rsid w:val="004532B6"/>
    <w:rsid w:val="00453F52"/>
    <w:rsid w:val="004559BA"/>
    <w:rsid w:val="00456EFE"/>
    <w:rsid w:val="0045702E"/>
    <w:rsid w:val="00457E4C"/>
    <w:rsid w:val="00460725"/>
    <w:rsid w:val="0046184F"/>
    <w:rsid w:val="004627AB"/>
    <w:rsid w:val="00462950"/>
    <w:rsid w:val="00462E94"/>
    <w:rsid w:val="00464B58"/>
    <w:rsid w:val="00465105"/>
    <w:rsid w:val="00465D09"/>
    <w:rsid w:val="004665C6"/>
    <w:rsid w:val="0047136C"/>
    <w:rsid w:val="00472AC7"/>
    <w:rsid w:val="00472B9A"/>
    <w:rsid w:val="0047354A"/>
    <w:rsid w:val="00474AA2"/>
    <w:rsid w:val="00474CDC"/>
    <w:rsid w:val="00475D30"/>
    <w:rsid w:val="004819A7"/>
    <w:rsid w:val="00485759"/>
    <w:rsid w:val="00485CF7"/>
    <w:rsid w:val="00487353"/>
    <w:rsid w:val="004876DC"/>
    <w:rsid w:val="00490F8B"/>
    <w:rsid w:val="0049105F"/>
    <w:rsid w:val="004910FF"/>
    <w:rsid w:val="004926BD"/>
    <w:rsid w:val="0049293A"/>
    <w:rsid w:val="0049393C"/>
    <w:rsid w:val="00494EC1"/>
    <w:rsid w:val="00496523"/>
    <w:rsid w:val="004A02FC"/>
    <w:rsid w:val="004A0948"/>
    <w:rsid w:val="004A2809"/>
    <w:rsid w:val="004A3BE2"/>
    <w:rsid w:val="004A6721"/>
    <w:rsid w:val="004A69AF"/>
    <w:rsid w:val="004A6F46"/>
    <w:rsid w:val="004A71BF"/>
    <w:rsid w:val="004B1638"/>
    <w:rsid w:val="004B3164"/>
    <w:rsid w:val="004B69F4"/>
    <w:rsid w:val="004C1823"/>
    <w:rsid w:val="004C3959"/>
    <w:rsid w:val="004C49CF"/>
    <w:rsid w:val="004C6745"/>
    <w:rsid w:val="004C7DCA"/>
    <w:rsid w:val="004D150B"/>
    <w:rsid w:val="004D18E1"/>
    <w:rsid w:val="004D1BB7"/>
    <w:rsid w:val="004D313F"/>
    <w:rsid w:val="004D43C2"/>
    <w:rsid w:val="004D4788"/>
    <w:rsid w:val="004D7434"/>
    <w:rsid w:val="004E2170"/>
    <w:rsid w:val="004E26BD"/>
    <w:rsid w:val="004E3C35"/>
    <w:rsid w:val="004E53CE"/>
    <w:rsid w:val="004E5579"/>
    <w:rsid w:val="004E61BE"/>
    <w:rsid w:val="004E6928"/>
    <w:rsid w:val="004E6B7D"/>
    <w:rsid w:val="004F3E50"/>
    <w:rsid w:val="004F54AD"/>
    <w:rsid w:val="004F673C"/>
    <w:rsid w:val="00501AE9"/>
    <w:rsid w:val="005038CE"/>
    <w:rsid w:val="00504E0D"/>
    <w:rsid w:val="005102DB"/>
    <w:rsid w:val="00513045"/>
    <w:rsid w:val="00513E4B"/>
    <w:rsid w:val="00514D1C"/>
    <w:rsid w:val="005153A4"/>
    <w:rsid w:val="00516B97"/>
    <w:rsid w:val="00523DDC"/>
    <w:rsid w:val="00525B6F"/>
    <w:rsid w:val="005272AE"/>
    <w:rsid w:val="00530B19"/>
    <w:rsid w:val="00530C85"/>
    <w:rsid w:val="005316D0"/>
    <w:rsid w:val="0053287D"/>
    <w:rsid w:val="00532962"/>
    <w:rsid w:val="00535057"/>
    <w:rsid w:val="0053651B"/>
    <w:rsid w:val="0054001D"/>
    <w:rsid w:val="00540566"/>
    <w:rsid w:val="00545715"/>
    <w:rsid w:val="00546857"/>
    <w:rsid w:val="005512B0"/>
    <w:rsid w:val="00552EFD"/>
    <w:rsid w:val="005531BC"/>
    <w:rsid w:val="00557343"/>
    <w:rsid w:val="005619FB"/>
    <w:rsid w:val="00561F7C"/>
    <w:rsid w:val="005630E2"/>
    <w:rsid w:val="00570BFC"/>
    <w:rsid w:val="00572CCA"/>
    <w:rsid w:val="00574CFA"/>
    <w:rsid w:val="005750A3"/>
    <w:rsid w:val="005769A3"/>
    <w:rsid w:val="005774AF"/>
    <w:rsid w:val="0059129C"/>
    <w:rsid w:val="005927B9"/>
    <w:rsid w:val="00595117"/>
    <w:rsid w:val="005A0286"/>
    <w:rsid w:val="005A10D2"/>
    <w:rsid w:val="005A1161"/>
    <w:rsid w:val="005A25B4"/>
    <w:rsid w:val="005A4C2B"/>
    <w:rsid w:val="005B0229"/>
    <w:rsid w:val="005B06AA"/>
    <w:rsid w:val="005B2573"/>
    <w:rsid w:val="005B30AD"/>
    <w:rsid w:val="005B33C9"/>
    <w:rsid w:val="005B5EE0"/>
    <w:rsid w:val="005B7DA8"/>
    <w:rsid w:val="005C0D48"/>
    <w:rsid w:val="005C1C5D"/>
    <w:rsid w:val="005C2003"/>
    <w:rsid w:val="005C42CB"/>
    <w:rsid w:val="005C7703"/>
    <w:rsid w:val="005D3CF9"/>
    <w:rsid w:val="005D3DF6"/>
    <w:rsid w:val="005D4DA5"/>
    <w:rsid w:val="005D6809"/>
    <w:rsid w:val="005E452C"/>
    <w:rsid w:val="005F40AD"/>
    <w:rsid w:val="005F50DF"/>
    <w:rsid w:val="005F61FB"/>
    <w:rsid w:val="005F7CF6"/>
    <w:rsid w:val="005F7DC7"/>
    <w:rsid w:val="0060232C"/>
    <w:rsid w:val="006029FA"/>
    <w:rsid w:val="006043F5"/>
    <w:rsid w:val="00610C96"/>
    <w:rsid w:val="0061113C"/>
    <w:rsid w:val="006114A3"/>
    <w:rsid w:val="006119BA"/>
    <w:rsid w:val="00611CBE"/>
    <w:rsid w:val="00614817"/>
    <w:rsid w:val="0062018A"/>
    <w:rsid w:val="00620A08"/>
    <w:rsid w:val="00625B55"/>
    <w:rsid w:val="0063066B"/>
    <w:rsid w:val="00631398"/>
    <w:rsid w:val="00634E4C"/>
    <w:rsid w:val="00637657"/>
    <w:rsid w:val="00637FAC"/>
    <w:rsid w:val="00641A72"/>
    <w:rsid w:val="00641B66"/>
    <w:rsid w:val="00643A17"/>
    <w:rsid w:val="00643A6D"/>
    <w:rsid w:val="006444C7"/>
    <w:rsid w:val="00644B61"/>
    <w:rsid w:val="00644D3D"/>
    <w:rsid w:val="00646074"/>
    <w:rsid w:val="00650A6B"/>
    <w:rsid w:val="00652D85"/>
    <w:rsid w:val="00654B5B"/>
    <w:rsid w:val="00656047"/>
    <w:rsid w:val="00660F11"/>
    <w:rsid w:val="00661CB5"/>
    <w:rsid w:val="00664779"/>
    <w:rsid w:val="00666524"/>
    <w:rsid w:val="00667AA4"/>
    <w:rsid w:val="00667CA4"/>
    <w:rsid w:val="00671EB8"/>
    <w:rsid w:val="006720FD"/>
    <w:rsid w:val="0067306C"/>
    <w:rsid w:val="006739CA"/>
    <w:rsid w:val="00674110"/>
    <w:rsid w:val="00675E48"/>
    <w:rsid w:val="00676F66"/>
    <w:rsid w:val="00677ECC"/>
    <w:rsid w:val="00683A52"/>
    <w:rsid w:val="00684215"/>
    <w:rsid w:val="0068589F"/>
    <w:rsid w:val="00694B59"/>
    <w:rsid w:val="006975A9"/>
    <w:rsid w:val="006A2665"/>
    <w:rsid w:val="006A3394"/>
    <w:rsid w:val="006A42DF"/>
    <w:rsid w:val="006A508D"/>
    <w:rsid w:val="006A5106"/>
    <w:rsid w:val="006A56DB"/>
    <w:rsid w:val="006A57F0"/>
    <w:rsid w:val="006A6461"/>
    <w:rsid w:val="006B0E95"/>
    <w:rsid w:val="006B2ED0"/>
    <w:rsid w:val="006B37A3"/>
    <w:rsid w:val="006B5797"/>
    <w:rsid w:val="006B6322"/>
    <w:rsid w:val="006B7068"/>
    <w:rsid w:val="006B70DB"/>
    <w:rsid w:val="006C0211"/>
    <w:rsid w:val="006C0905"/>
    <w:rsid w:val="006C1922"/>
    <w:rsid w:val="006C38CE"/>
    <w:rsid w:val="006C4620"/>
    <w:rsid w:val="006C4B70"/>
    <w:rsid w:val="006C4E45"/>
    <w:rsid w:val="006C743F"/>
    <w:rsid w:val="006C7870"/>
    <w:rsid w:val="006C7B1B"/>
    <w:rsid w:val="006D3705"/>
    <w:rsid w:val="006D3798"/>
    <w:rsid w:val="006D4821"/>
    <w:rsid w:val="006D4968"/>
    <w:rsid w:val="006D54CC"/>
    <w:rsid w:val="006E1ACD"/>
    <w:rsid w:val="006E2D7D"/>
    <w:rsid w:val="006E3F10"/>
    <w:rsid w:val="006E48C5"/>
    <w:rsid w:val="006E4A17"/>
    <w:rsid w:val="006F3212"/>
    <w:rsid w:val="006F3781"/>
    <w:rsid w:val="006F4A89"/>
    <w:rsid w:val="006F532D"/>
    <w:rsid w:val="006F6E5A"/>
    <w:rsid w:val="00704613"/>
    <w:rsid w:val="00704DBE"/>
    <w:rsid w:val="00705CAF"/>
    <w:rsid w:val="007079AD"/>
    <w:rsid w:val="00712180"/>
    <w:rsid w:val="00715F49"/>
    <w:rsid w:val="00716F6F"/>
    <w:rsid w:val="007202AD"/>
    <w:rsid w:val="0072342B"/>
    <w:rsid w:val="007260F1"/>
    <w:rsid w:val="00726174"/>
    <w:rsid w:val="007279AC"/>
    <w:rsid w:val="00731E24"/>
    <w:rsid w:val="00733B15"/>
    <w:rsid w:val="00733B94"/>
    <w:rsid w:val="007348F0"/>
    <w:rsid w:val="00734E19"/>
    <w:rsid w:val="007370F5"/>
    <w:rsid w:val="00740587"/>
    <w:rsid w:val="00742145"/>
    <w:rsid w:val="0074335C"/>
    <w:rsid w:val="007457A8"/>
    <w:rsid w:val="00745E31"/>
    <w:rsid w:val="00745ED5"/>
    <w:rsid w:val="007468E6"/>
    <w:rsid w:val="00747EC6"/>
    <w:rsid w:val="00750181"/>
    <w:rsid w:val="00752B40"/>
    <w:rsid w:val="00752FE4"/>
    <w:rsid w:val="00753682"/>
    <w:rsid w:val="0075776C"/>
    <w:rsid w:val="007610A0"/>
    <w:rsid w:val="00761F2E"/>
    <w:rsid w:val="0076215A"/>
    <w:rsid w:val="007639D0"/>
    <w:rsid w:val="00763E5F"/>
    <w:rsid w:val="0076495F"/>
    <w:rsid w:val="0076591C"/>
    <w:rsid w:val="00765F34"/>
    <w:rsid w:val="007667E3"/>
    <w:rsid w:val="0076699F"/>
    <w:rsid w:val="0077025E"/>
    <w:rsid w:val="0077044D"/>
    <w:rsid w:val="00772840"/>
    <w:rsid w:val="00774EB0"/>
    <w:rsid w:val="00776D00"/>
    <w:rsid w:val="00780355"/>
    <w:rsid w:val="0078106A"/>
    <w:rsid w:val="00782398"/>
    <w:rsid w:val="007823DA"/>
    <w:rsid w:val="00783869"/>
    <w:rsid w:val="00785078"/>
    <w:rsid w:val="00787DF4"/>
    <w:rsid w:val="00791B3F"/>
    <w:rsid w:val="00791DCE"/>
    <w:rsid w:val="00792FB2"/>
    <w:rsid w:val="00792FD9"/>
    <w:rsid w:val="0079648A"/>
    <w:rsid w:val="0079717E"/>
    <w:rsid w:val="007A11DC"/>
    <w:rsid w:val="007A1230"/>
    <w:rsid w:val="007A161A"/>
    <w:rsid w:val="007A3482"/>
    <w:rsid w:val="007A4AD2"/>
    <w:rsid w:val="007A6144"/>
    <w:rsid w:val="007A6782"/>
    <w:rsid w:val="007A6FAE"/>
    <w:rsid w:val="007A724F"/>
    <w:rsid w:val="007A7667"/>
    <w:rsid w:val="007B0832"/>
    <w:rsid w:val="007B386A"/>
    <w:rsid w:val="007B475D"/>
    <w:rsid w:val="007B5426"/>
    <w:rsid w:val="007B5734"/>
    <w:rsid w:val="007B5FEB"/>
    <w:rsid w:val="007C01E6"/>
    <w:rsid w:val="007C026D"/>
    <w:rsid w:val="007C0328"/>
    <w:rsid w:val="007C0837"/>
    <w:rsid w:val="007C147C"/>
    <w:rsid w:val="007C424E"/>
    <w:rsid w:val="007C7180"/>
    <w:rsid w:val="007D051C"/>
    <w:rsid w:val="007D11BB"/>
    <w:rsid w:val="007E4FAE"/>
    <w:rsid w:val="007E5065"/>
    <w:rsid w:val="007E6024"/>
    <w:rsid w:val="007E6E06"/>
    <w:rsid w:val="007F36C6"/>
    <w:rsid w:val="007F3BCB"/>
    <w:rsid w:val="007F74D7"/>
    <w:rsid w:val="008008E4"/>
    <w:rsid w:val="0080168B"/>
    <w:rsid w:val="008033DB"/>
    <w:rsid w:val="00807177"/>
    <w:rsid w:val="0081033C"/>
    <w:rsid w:val="008124C5"/>
    <w:rsid w:val="008136E3"/>
    <w:rsid w:val="00815322"/>
    <w:rsid w:val="00821130"/>
    <w:rsid w:val="0082752D"/>
    <w:rsid w:val="0082789D"/>
    <w:rsid w:val="00830DE2"/>
    <w:rsid w:val="0083159E"/>
    <w:rsid w:val="008315D8"/>
    <w:rsid w:val="00832152"/>
    <w:rsid w:val="00834243"/>
    <w:rsid w:val="00836780"/>
    <w:rsid w:val="008378EC"/>
    <w:rsid w:val="00840209"/>
    <w:rsid w:val="00840CDE"/>
    <w:rsid w:val="008418EF"/>
    <w:rsid w:val="00841A33"/>
    <w:rsid w:val="00843FBE"/>
    <w:rsid w:val="008448F7"/>
    <w:rsid w:val="008465AE"/>
    <w:rsid w:val="008466D9"/>
    <w:rsid w:val="00846836"/>
    <w:rsid w:val="00847761"/>
    <w:rsid w:val="00847F38"/>
    <w:rsid w:val="008523F9"/>
    <w:rsid w:val="00852A1B"/>
    <w:rsid w:val="00860EDE"/>
    <w:rsid w:val="00861068"/>
    <w:rsid w:val="00862FCF"/>
    <w:rsid w:val="00865F90"/>
    <w:rsid w:val="00866CA1"/>
    <w:rsid w:val="008676EC"/>
    <w:rsid w:val="00867C8A"/>
    <w:rsid w:val="008721C7"/>
    <w:rsid w:val="00872393"/>
    <w:rsid w:val="00873717"/>
    <w:rsid w:val="00873B63"/>
    <w:rsid w:val="00874532"/>
    <w:rsid w:val="00875428"/>
    <w:rsid w:val="008760A6"/>
    <w:rsid w:val="00876785"/>
    <w:rsid w:val="008779DF"/>
    <w:rsid w:val="00877F5C"/>
    <w:rsid w:val="008810B4"/>
    <w:rsid w:val="008811E7"/>
    <w:rsid w:val="00881C27"/>
    <w:rsid w:val="00882BB2"/>
    <w:rsid w:val="00883831"/>
    <w:rsid w:val="00885336"/>
    <w:rsid w:val="00885B94"/>
    <w:rsid w:val="008863E7"/>
    <w:rsid w:val="0089378D"/>
    <w:rsid w:val="00893F39"/>
    <w:rsid w:val="00895271"/>
    <w:rsid w:val="008957D3"/>
    <w:rsid w:val="00895DF1"/>
    <w:rsid w:val="008962F3"/>
    <w:rsid w:val="00896E75"/>
    <w:rsid w:val="008970B6"/>
    <w:rsid w:val="008970DA"/>
    <w:rsid w:val="00897BE4"/>
    <w:rsid w:val="008A066B"/>
    <w:rsid w:val="008A0701"/>
    <w:rsid w:val="008A149E"/>
    <w:rsid w:val="008A2709"/>
    <w:rsid w:val="008A49A8"/>
    <w:rsid w:val="008A4BE3"/>
    <w:rsid w:val="008A4E8E"/>
    <w:rsid w:val="008A5CD0"/>
    <w:rsid w:val="008A69D2"/>
    <w:rsid w:val="008B0491"/>
    <w:rsid w:val="008B07A1"/>
    <w:rsid w:val="008B2DA3"/>
    <w:rsid w:val="008B34FE"/>
    <w:rsid w:val="008B3573"/>
    <w:rsid w:val="008B47B1"/>
    <w:rsid w:val="008B70EF"/>
    <w:rsid w:val="008C0012"/>
    <w:rsid w:val="008C0A45"/>
    <w:rsid w:val="008C0DC0"/>
    <w:rsid w:val="008C1B87"/>
    <w:rsid w:val="008C1F50"/>
    <w:rsid w:val="008C2C90"/>
    <w:rsid w:val="008C58B7"/>
    <w:rsid w:val="008D4FBA"/>
    <w:rsid w:val="008D52C6"/>
    <w:rsid w:val="008D56A8"/>
    <w:rsid w:val="008D7598"/>
    <w:rsid w:val="008D78D5"/>
    <w:rsid w:val="008E10C8"/>
    <w:rsid w:val="008E1DDB"/>
    <w:rsid w:val="008E288E"/>
    <w:rsid w:val="008F0004"/>
    <w:rsid w:val="008F25FC"/>
    <w:rsid w:val="008F2F4F"/>
    <w:rsid w:val="008F3F62"/>
    <w:rsid w:val="008F497D"/>
    <w:rsid w:val="008F706D"/>
    <w:rsid w:val="008F7241"/>
    <w:rsid w:val="008F7807"/>
    <w:rsid w:val="00900D3A"/>
    <w:rsid w:val="009011C8"/>
    <w:rsid w:val="009024A3"/>
    <w:rsid w:val="00903508"/>
    <w:rsid w:val="009046A9"/>
    <w:rsid w:val="009050E6"/>
    <w:rsid w:val="00905914"/>
    <w:rsid w:val="00906037"/>
    <w:rsid w:val="009066B3"/>
    <w:rsid w:val="0091130A"/>
    <w:rsid w:val="00915EB9"/>
    <w:rsid w:val="00916A6A"/>
    <w:rsid w:val="00917CEE"/>
    <w:rsid w:val="00921258"/>
    <w:rsid w:val="00923797"/>
    <w:rsid w:val="00924633"/>
    <w:rsid w:val="00925C2F"/>
    <w:rsid w:val="00926A26"/>
    <w:rsid w:val="00930AFF"/>
    <w:rsid w:val="00930F9A"/>
    <w:rsid w:val="00931956"/>
    <w:rsid w:val="00933882"/>
    <w:rsid w:val="0093491E"/>
    <w:rsid w:val="00935726"/>
    <w:rsid w:val="00936AC1"/>
    <w:rsid w:val="00936E0B"/>
    <w:rsid w:val="0094339A"/>
    <w:rsid w:val="00943FDC"/>
    <w:rsid w:val="0094400C"/>
    <w:rsid w:val="00944751"/>
    <w:rsid w:val="00945E06"/>
    <w:rsid w:val="009511CF"/>
    <w:rsid w:val="00951264"/>
    <w:rsid w:val="00951B28"/>
    <w:rsid w:val="00954579"/>
    <w:rsid w:val="009557F8"/>
    <w:rsid w:val="00955CEA"/>
    <w:rsid w:val="00955D5B"/>
    <w:rsid w:val="00956E03"/>
    <w:rsid w:val="00957679"/>
    <w:rsid w:val="009604DA"/>
    <w:rsid w:val="009622F0"/>
    <w:rsid w:val="0096657A"/>
    <w:rsid w:val="00967874"/>
    <w:rsid w:val="00970CC4"/>
    <w:rsid w:val="00972948"/>
    <w:rsid w:val="00972E79"/>
    <w:rsid w:val="0097770C"/>
    <w:rsid w:val="009806A8"/>
    <w:rsid w:val="00983FCA"/>
    <w:rsid w:val="0098500B"/>
    <w:rsid w:val="00990AF7"/>
    <w:rsid w:val="00991CB5"/>
    <w:rsid w:val="00993AD9"/>
    <w:rsid w:val="0099630E"/>
    <w:rsid w:val="009A25AF"/>
    <w:rsid w:val="009A63C5"/>
    <w:rsid w:val="009A7DB2"/>
    <w:rsid w:val="009B0105"/>
    <w:rsid w:val="009B12ED"/>
    <w:rsid w:val="009B18EA"/>
    <w:rsid w:val="009B41A8"/>
    <w:rsid w:val="009B5347"/>
    <w:rsid w:val="009B5DF5"/>
    <w:rsid w:val="009C296A"/>
    <w:rsid w:val="009C4A43"/>
    <w:rsid w:val="009C4FA7"/>
    <w:rsid w:val="009C7639"/>
    <w:rsid w:val="009D043A"/>
    <w:rsid w:val="009D1416"/>
    <w:rsid w:val="009D14CD"/>
    <w:rsid w:val="009D373D"/>
    <w:rsid w:val="009D45B4"/>
    <w:rsid w:val="009D4A56"/>
    <w:rsid w:val="009E155A"/>
    <w:rsid w:val="009E4207"/>
    <w:rsid w:val="009E7C27"/>
    <w:rsid w:val="009F0A24"/>
    <w:rsid w:val="009F48DB"/>
    <w:rsid w:val="00A00E44"/>
    <w:rsid w:val="00A01204"/>
    <w:rsid w:val="00A023AD"/>
    <w:rsid w:val="00A03785"/>
    <w:rsid w:val="00A049CA"/>
    <w:rsid w:val="00A04B10"/>
    <w:rsid w:val="00A05E14"/>
    <w:rsid w:val="00A113B2"/>
    <w:rsid w:val="00A11448"/>
    <w:rsid w:val="00A12B50"/>
    <w:rsid w:val="00A14F93"/>
    <w:rsid w:val="00A15AAC"/>
    <w:rsid w:val="00A17425"/>
    <w:rsid w:val="00A17665"/>
    <w:rsid w:val="00A2033A"/>
    <w:rsid w:val="00A20D97"/>
    <w:rsid w:val="00A20FE6"/>
    <w:rsid w:val="00A21C1A"/>
    <w:rsid w:val="00A236F3"/>
    <w:rsid w:val="00A25FC7"/>
    <w:rsid w:val="00A26230"/>
    <w:rsid w:val="00A26CE2"/>
    <w:rsid w:val="00A27A0E"/>
    <w:rsid w:val="00A3061A"/>
    <w:rsid w:val="00A323E7"/>
    <w:rsid w:val="00A3352C"/>
    <w:rsid w:val="00A33E36"/>
    <w:rsid w:val="00A34FF4"/>
    <w:rsid w:val="00A36332"/>
    <w:rsid w:val="00A36957"/>
    <w:rsid w:val="00A37642"/>
    <w:rsid w:val="00A379AA"/>
    <w:rsid w:val="00A41112"/>
    <w:rsid w:val="00A411C2"/>
    <w:rsid w:val="00A425F3"/>
    <w:rsid w:val="00A43F8C"/>
    <w:rsid w:val="00A54855"/>
    <w:rsid w:val="00A562C9"/>
    <w:rsid w:val="00A5694B"/>
    <w:rsid w:val="00A5782C"/>
    <w:rsid w:val="00A60551"/>
    <w:rsid w:val="00A60CD5"/>
    <w:rsid w:val="00A61256"/>
    <w:rsid w:val="00A626DD"/>
    <w:rsid w:val="00A63C6E"/>
    <w:rsid w:val="00A63CE0"/>
    <w:rsid w:val="00A6563D"/>
    <w:rsid w:val="00A6571D"/>
    <w:rsid w:val="00A665F6"/>
    <w:rsid w:val="00A67431"/>
    <w:rsid w:val="00A67619"/>
    <w:rsid w:val="00A71287"/>
    <w:rsid w:val="00A71D4A"/>
    <w:rsid w:val="00A725AF"/>
    <w:rsid w:val="00A732B9"/>
    <w:rsid w:val="00A73942"/>
    <w:rsid w:val="00A7412A"/>
    <w:rsid w:val="00A75039"/>
    <w:rsid w:val="00A750F8"/>
    <w:rsid w:val="00A75BD5"/>
    <w:rsid w:val="00A75DC1"/>
    <w:rsid w:val="00A76EBD"/>
    <w:rsid w:val="00A77496"/>
    <w:rsid w:val="00A80173"/>
    <w:rsid w:val="00A80A04"/>
    <w:rsid w:val="00A80B68"/>
    <w:rsid w:val="00A8405F"/>
    <w:rsid w:val="00A85545"/>
    <w:rsid w:val="00A856A7"/>
    <w:rsid w:val="00A87222"/>
    <w:rsid w:val="00A87B83"/>
    <w:rsid w:val="00A95BBB"/>
    <w:rsid w:val="00A960E1"/>
    <w:rsid w:val="00A9638E"/>
    <w:rsid w:val="00A96EDC"/>
    <w:rsid w:val="00A97661"/>
    <w:rsid w:val="00AA0E83"/>
    <w:rsid w:val="00AA2003"/>
    <w:rsid w:val="00AA3B41"/>
    <w:rsid w:val="00AA4E8F"/>
    <w:rsid w:val="00AB012D"/>
    <w:rsid w:val="00AB1509"/>
    <w:rsid w:val="00AB1E06"/>
    <w:rsid w:val="00AB28E6"/>
    <w:rsid w:val="00AB3E23"/>
    <w:rsid w:val="00AB3EFE"/>
    <w:rsid w:val="00AB43F9"/>
    <w:rsid w:val="00AB7219"/>
    <w:rsid w:val="00AB746B"/>
    <w:rsid w:val="00AB79DF"/>
    <w:rsid w:val="00AB7F07"/>
    <w:rsid w:val="00AC0046"/>
    <w:rsid w:val="00AC17BD"/>
    <w:rsid w:val="00AC454B"/>
    <w:rsid w:val="00AC5A3B"/>
    <w:rsid w:val="00AC6F27"/>
    <w:rsid w:val="00AD4C2C"/>
    <w:rsid w:val="00AD5E7C"/>
    <w:rsid w:val="00AE0848"/>
    <w:rsid w:val="00AE087A"/>
    <w:rsid w:val="00AE14D0"/>
    <w:rsid w:val="00AE3BE3"/>
    <w:rsid w:val="00AE4233"/>
    <w:rsid w:val="00AE5306"/>
    <w:rsid w:val="00AE5F05"/>
    <w:rsid w:val="00AE7477"/>
    <w:rsid w:val="00AE7C67"/>
    <w:rsid w:val="00AF2454"/>
    <w:rsid w:val="00AF72D9"/>
    <w:rsid w:val="00B00528"/>
    <w:rsid w:val="00B01221"/>
    <w:rsid w:val="00B01FDE"/>
    <w:rsid w:val="00B02977"/>
    <w:rsid w:val="00B04988"/>
    <w:rsid w:val="00B06732"/>
    <w:rsid w:val="00B06917"/>
    <w:rsid w:val="00B0734E"/>
    <w:rsid w:val="00B10A80"/>
    <w:rsid w:val="00B11820"/>
    <w:rsid w:val="00B118CE"/>
    <w:rsid w:val="00B1338A"/>
    <w:rsid w:val="00B13D42"/>
    <w:rsid w:val="00B15177"/>
    <w:rsid w:val="00B15A63"/>
    <w:rsid w:val="00B164D8"/>
    <w:rsid w:val="00B16566"/>
    <w:rsid w:val="00B1667C"/>
    <w:rsid w:val="00B17FB6"/>
    <w:rsid w:val="00B2190E"/>
    <w:rsid w:val="00B21ECA"/>
    <w:rsid w:val="00B21F43"/>
    <w:rsid w:val="00B24CB3"/>
    <w:rsid w:val="00B279B2"/>
    <w:rsid w:val="00B31D39"/>
    <w:rsid w:val="00B33422"/>
    <w:rsid w:val="00B34E5E"/>
    <w:rsid w:val="00B355CD"/>
    <w:rsid w:val="00B358CF"/>
    <w:rsid w:val="00B35B38"/>
    <w:rsid w:val="00B36129"/>
    <w:rsid w:val="00B36C12"/>
    <w:rsid w:val="00B413F5"/>
    <w:rsid w:val="00B42314"/>
    <w:rsid w:val="00B42582"/>
    <w:rsid w:val="00B43BD5"/>
    <w:rsid w:val="00B446A8"/>
    <w:rsid w:val="00B47463"/>
    <w:rsid w:val="00B521C3"/>
    <w:rsid w:val="00B5396F"/>
    <w:rsid w:val="00B54088"/>
    <w:rsid w:val="00B55383"/>
    <w:rsid w:val="00B615A3"/>
    <w:rsid w:val="00B63B24"/>
    <w:rsid w:val="00B64294"/>
    <w:rsid w:val="00B64535"/>
    <w:rsid w:val="00B654A4"/>
    <w:rsid w:val="00B65501"/>
    <w:rsid w:val="00B656EB"/>
    <w:rsid w:val="00B66A5F"/>
    <w:rsid w:val="00B72124"/>
    <w:rsid w:val="00B737D8"/>
    <w:rsid w:val="00B7385B"/>
    <w:rsid w:val="00B7450B"/>
    <w:rsid w:val="00B75ADC"/>
    <w:rsid w:val="00B764F9"/>
    <w:rsid w:val="00B774C8"/>
    <w:rsid w:val="00B822D5"/>
    <w:rsid w:val="00B83D20"/>
    <w:rsid w:val="00B85DE1"/>
    <w:rsid w:val="00B865B5"/>
    <w:rsid w:val="00B868F5"/>
    <w:rsid w:val="00B92293"/>
    <w:rsid w:val="00B938B5"/>
    <w:rsid w:val="00B93B6F"/>
    <w:rsid w:val="00B94ACF"/>
    <w:rsid w:val="00B95E69"/>
    <w:rsid w:val="00B97601"/>
    <w:rsid w:val="00B977D0"/>
    <w:rsid w:val="00B97AA6"/>
    <w:rsid w:val="00BA125A"/>
    <w:rsid w:val="00BA2AE0"/>
    <w:rsid w:val="00BA40F9"/>
    <w:rsid w:val="00BA43D0"/>
    <w:rsid w:val="00BA6F2D"/>
    <w:rsid w:val="00BA74C7"/>
    <w:rsid w:val="00BB0024"/>
    <w:rsid w:val="00BB0D9F"/>
    <w:rsid w:val="00BB16C1"/>
    <w:rsid w:val="00BB3A44"/>
    <w:rsid w:val="00BB75CE"/>
    <w:rsid w:val="00BB770F"/>
    <w:rsid w:val="00BC32CC"/>
    <w:rsid w:val="00BC52DD"/>
    <w:rsid w:val="00BC64FA"/>
    <w:rsid w:val="00BD0693"/>
    <w:rsid w:val="00BD0BED"/>
    <w:rsid w:val="00BD3050"/>
    <w:rsid w:val="00BD3C05"/>
    <w:rsid w:val="00BE07D0"/>
    <w:rsid w:val="00BE0BDE"/>
    <w:rsid w:val="00BE32D6"/>
    <w:rsid w:val="00BE3A42"/>
    <w:rsid w:val="00BE58B2"/>
    <w:rsid w:val="00BE5D52"/>
    <w:rsid w:val="00BE5EE9"/>
    <w:rsid w:val="00BE7796"/>
    <w:rsid w:val="00BF0616"/>
    <w:rsid w:val="00BF1754"/>
    <w:rsid w:val="00BF1BB9"/>
    <w:rsid w:val="00BF23F0"/>
    <w:rsid w:val="00BF4210"/>
    <w:rsid w:val="00C035DB"/>
    <w:rsid w:val="00C044F0"/>
    <w:rsid w:val="00C04A3E"/>
    <w:rsid w:val="00C0611F"/>
    <w:rsid w:val="00C07164"/>
    <w:rsid w:val="00C071EA"/>
    <w:rsid w:val="00C14062"/>
    <w:rsid w:val="00C14225"/>
    <w:rsid w:val="00C14C97"/>
    <w:rsid w:val="00C1591C"/>
    <w:rsid w:val="00C175CF"/>
    <w:rsid w:val="00C17955"/>
    <w:rsid w:val="00C20B3B"/>
    <w:rsid w:val="00C22ED7"/>
    <w:rsid w:val="00C25E26"/>
    <w:rsid w:val="00C263D9"/>
    <w:rsid w:val="00C269B8"/>
    <w:rsid w:val="00C33C98"/>
    <w:rsid w:val="00C33F0B"/>
    <w:rsid w:val="00C360DA"/>
    <w:rsid w:val="00C3799C"/>
    <w:rsid w:val="00C42197"/>
    <w:rsid w:val="00C44E1E"/>
    <w:rsid w:val="00C45D2E"/>
    <w:rsid w:val="00C46183"/>
    <w:rsid w:val="00C463DD"/>
    <w:rsid w:val="00C4697A"/>
    <w:rsid w:val="00C471A3"/>
    <w:rsid w:val="00C4771D"/>
    <w:rsid w:val="00C47A65"/>
    <w:rsid w:val="00C54797"/>
    <w:rsid w:val="00C55B14"/>
    <w:rsid w:val="00C56494"/>
    <w:rsid w:val="00C56BE2"/>
    <w:rsid w:val="00C5733F"/>
    <w:rsid w:val="00C61006"/>
    <w:rsid w:val="00C610F3"/>
    <w:rsid w:val="00C61D26"/>
    <w:rsid w:val="00C62176"/>
    <w:rsid w:val="00C6337F"/>
    <w:rsid w:val="00C6429C"/>
    <w:rsid w:val="00C65A6F"/>
    <w:rsid w:val="00C65C41"/>
    <w:rsid w:val="00C6675A"/>
    <w:rsid w:val="00C7039C"/>
    <w:rsid w:val="00C73476"/>
    <w:rsid w:val="00C739F9"/>
    <w:rsid w:val="00C7469E"/>
    <w:rsid w:val="00C74BA4"/>
    <w:rsid w:val="00C7529D"/>
    <w:rsid w:val="00C76143"/>
    <w:rsid w:val="00C76A50"/>
    <w:rsid w:val="00C777D0"/>
    <w:rsid w:val="00C81868"/>
    <w:rsid w:val="00C83EC1"/>
    <w:rsid w:val="00C852FD"/>
    <w:rsid w:val="00C85C2D"/>
    <w:rsid w:val="00C86106"/>
    <w:rsid w:val="00C87495"/>
    <w:rsid w:val="00C90E39"/>
    <w:rsid w:val="00C91E86"/>
    <w:rsid w:val="00C9486D"/>
    <w:rsid w:val="00CA1B15"/>
    <w:rsid w:val="00CA23CC"/>
    <w:rsid w:val="00CA5BC1"/>
    <w:rsid w:val="00CA61DE"/>
    <w:rsid w:val="00CA6F39"/>
    <w:rsid w:val="00CB0028"/>
    <w:rsid w:val="00CB0966"/>
    <w:rsid w:val="00CB24A8"/>
    <w:rsid w:val="00CB3407"/>
    <w:rsid w:val="00CB341A"/>
    <w:rsid w:val="00CB3BE4"/>
    <w:rsid w:val="00CB64A0"/>
    <w:rsid w:val="00CC25E6"/>
    <w:rsid w:val="00CC2747"/>
    <w:rsid w:val="00CC3BCD"/>
    <w:rsid w:val="00CC3EAA"/>
    <w:rsid w:val="00CC57AB"/>
    <w:rsid w:val="00CC67ED"/>
    <w:rsid w:val="00CD0A50"/>
    <w:rsid w:val="00CD1A5C"/>
    <w:rsid w:val="00CD1DBB"/>
    <w:rsid w:val="00CD2E15"/>
    <w:rsid w:val="00CD2FD9"/>
    <w:rsid w:val="00CD65A2"/>
    <w:rsid w:val="00CE12FC"/>
    <w:rsid w:val="00CF2919"/>
    <w:rsid w:val="00D001A0"/>
    <w:rsid w:val="00D01898"/>
    <w:rsid w:val="00D02164"/>
    <w:rsid w:val="00D021E6"/>
    <w:rsid w:val="00D02B2B"/>
    <w:rsid w:val="00D0530D"/>
    <w:rsid w:val="00D068F6"/>
    <w:rsid w:val="00D12297"/>
    <w:rsid w:val="00D13502"/>
    <w:rsid w:val="00D13CA7"/>
    <w:rsid w:val="00D152C8"/>
    <w:rsid w:val="00D152E5"/>
    <w:rsid w:val="00D15995"/>
    <w:rsid w:val="00D15C8F"/>
    <w:rsid w:val="00D17373"/>
    <w:rsid w:val="00D17778"/>
    <w:rsid w:val="00D21781"/>
    <w:rsid w:val="00D22690"/>
    <w:rsid w:val="00D22928"/>
    <w:rsid w:val="00D232B1"/>
    <w:rsid w:val="00D243E1"/>
    <w:rsid w:val="00D2526B"/>
    <w:rsid w:val="00D25BC2"/>
    <w:rsid w:val="00D307F2"/>
    <w:rsid w:val="00D30E43"/>
    <w:rsid w:val="00D3131D"/>
    <w:rsid w:val="00D32066"/>
    <w:rsid w:val="00D341CF"/>
    <w:rsid w:val="00D34AA1"/>
    <w:rsid w:val="00D35063"/>
    <w:rsid w:val="00D37544"/>
    <w:rsid w:val="00D37C4A"/>
    <w:rsid w:val="00D407FE"/>
    <w:rsid w:val="00D4158C"/>
    <w:rsid w:val="00D41E31"/>
    <w:rsid w:val="00D42AAC"/>
    <w:rsid w:val="00D42B26"/>
    <w:rsid w:val="00D44EFA"/>
    <w:rsid w:val="00D45886"/>
    <w:rsid w:val="00D46B04"/>
    <w:rsid w:val="00D46F0B"/>
    <w:rsid w:val="00D47A8B"/>
    <w:rsid w:val="00D47C73"/>
    <w:rsid w:val="00D51B32"/>
    <w:rsid w:val="00D5270A"/>
    <w:rsid w:val="00D52D6A"/>
    <w:rsid w:val="00D550A7"/>
    <w:rsid w:val="00D60DE7"/>
    <w:rsid w:val="00D60E82"/>
    <w:rsid w:val="00D61D2B"/>
    <w:rsid w:val="00D64A15"/>
    <w:rsid w:val="00D6553B"/>
    <w:rsid w:val="00D665B1"/>
    <w:rsid w:val="00D673BC"/>
    <w:rsid w:val="00D67998"/>
    <w:rsid w:val="00D7122D"/>
    <w:rsid w:val="00D717B5"/>
    <w:rsid w:val="00D71C25"/>
    <w:rsid w:val="00D73277"/>
    <w:rsid w:val="00D73401"/>
    <w:rsid w:val="00D739C5"/>
    <w:rsid w:val="00D74461"/>
    <w:rsid w:val="00D74F55"/>
    <w:rsid w:val="00D75AFC"/>
    <w:rsid w:val="00D76102"/>
    <w:rsid w:val="00D76EBD"/>
    <w:rsid w:val="00D76F9F"/>
    <w:rsid w:val="00D812D1"/>
    <w:rsid w:val="00D81E30"/>
    <w:rsid w:val="00D81E88"/>
    <w:rsid w:val="00D82644"/>
    <w:rsid w:val="00D83023"/>
    <w:rsid w:val="00D8332A"/>
    <w:rsid w:val="00D85890"/>
    <w:rsid w:val="00D86C74"/>
    <w:rsid w:val="00D86EFF"/>
    <w:rsid w:val="00D9013C"/>
    <w:rsid w:val="00D91BBC"/>
    <w:rsid w:val="00D92394"/>
    <w:rsid w:val="00D93996"/>
    <w:rsid w:val="00D94461"/>
    <w:rsid w:val="00D94DD0"/>
    <w:rsid w:val="00DA0224"/>
    <w:rsid w:val="00DA05A0"/>
    <w:rsid w:val="00DA4246"/>
    <w:rsid w:val="00DA5C99"/>
    <w:rsid w:val="00DA61E1"/>
    <w:rsid w:val="00DA6A85"/>
    <w:rsid w:val="00DA6E2F"/>
    <w:rsid w:val="00DA7A9A"/>
    <w:rsid w:val="00DB0117"/>
    <w:rsid w:val="00DB0712"/>
    <w:rsid w:val="00DB0F02"/>
    <w:rsid w:val="00DB5F4C"/>
    <w:rsid w:val="00DC04C7"/>
    <w:rsid w:val="00DC0861"/>
    <w:rsid w:val="00DC1A89"/>
    <w:rsid w:val="00DC1AE4"/>
    <w:rsid w:val="00DC2BF1"/>
    <w:rsid w:val="00DC3E88"/>
    <w:rsid w:val="00DC4C8E"/>
    <w:rsid w:val="00DC4FB8"/>
    <w:rsid w:val="00DC7766"/>
    <w:rsid w:val="00DD0645"/>
    <w:rsid w:val="00DD198A"/>
    <w:rsid w:val="00DD2B3F"/>
    <w:rsid w:val="00DD6DD0"/>
    <w:rsid w:val="00DE4340"/>
    <w:rsid w:val="00DE535C"/>
    <w:rsid w:val="00DF0FE9"/>
    <w:rsid w:val="00DF1C42"/>
    <w:rsid w:val="00DF3427"/>
    <w:rsid w:val="00DF4461"/>
    <w:rsid w:val="00DF7CDD"/>
    <w:rsid w:val="00E01776"/>
    <w:rsid w:val="00E02174"/>
    <w:rsid w:val="00E021A7"/>
    <w:rsid w:val="00E034C9"/>
    <w:rsid w:val="00E04859"/>
    <w:rsid w:val="00E05AF0"/>
    <w:rsid w:val="00E05FE4"/>
    <w:rsid w:val="00E067D2"/>
    <w:rsid w:val="00E07C4A"/>
    <w:rsid w:val="00E10AC5"/>
    <w:rsid w:val="00E147E8"/>
    <w:rsid w:val="00E15331"/>
    <w:rsid w:val="00E16044"/>
    <w:rsid w:val="00E16958"/>
    <w:rsid w:val="00E20997"/>
    <w:rsid w:val="00E259E3"/>
    <w:rsid w:val="00E27172"/>
    <w:rsid w:val="00E3209E"/>
    <w:rsid w:val="00E33208"/>
    <w:rsid w:val="00E3575D"/>
    <w:rsid w:val="00E35B8F"/>
    <w:rsid w:val="00E36787"/>
    <w:rsid w:val="00E419AE"/>
    <w:rsid w:val="00E41F90"/>
    <w:rsid w:val="00E425FB"/>
    <w:rsid w:val="00E45827"/>
    <w:rsid w:val="00E47578"/>
    <w:rsid w:val="00E505AD"/>
    <w:rsid w:val="00E5302C"/>
    <w:rsid w:val="00E539AD"/>
    <w:rsid w:val="00E53B81"/>
    <w:rsid w:val="00E56D4C"/>
    <w:rsid w:val="00E615AA"/>
    <w:rsid w:val="00E62BB8"/>
    <w:rsid w:val="00E63061"/>
    <w:rsid w:val="00E64CC1"/>
    <w:rsid w:val="00E70518"/>
    <w:rsid w:val="00E7566A"/>
    <w:rsid w:val="00E76322"/>
    <w:rsid w:val="00E77860"/>
    <w:rsid w:val="00E806FB"/>
    <w:rsid w:val="00E836FE"/>
    <w:rsid w:val="00E8472A"/>
    <w:rsid w:val="00E8498C"/>
    <w:rsid w:val="00E85B67"/>
    <w:rsid w:val="00E906D2"/>
    <w:rsid w:val="00E91602"/>
    <w:rsid w:val="00E924F4"/>
    <w:rsid w:val="00E92679"/>
    <w:rsid w:val="00E927DA"/>
    <w:rsid w:val="00E927DD"/>
    <w:rsid w:val="00E928B3"/>
    <w:rsid w:val="00E92B9B"/>
    <w:rsid w:val="00E92E7E"/>
    <w:rsid w:val="00E975A0"/>
    <w:rsid w:val="00E97756"/>
    <w:rsid w:val="00EA06F6"/>
    <w:rsid w:val="00EA082C"/>
    <w:rsid w:val="00EA095D"/>
    <w:rsid w:val="00EA1BE3"/>
    <w:rsid w:val="00EA4475"/>
    <w:rsid w:val="00EA4AF1"/>
    <w:rsid w:val="00EA639B"/>
    <w:rsid w:val="00EA715E"/>
    <w:rsid w:val="00EB079F"/>
    <w:rsid w:val="00EB1980"/>
    <w:rsid w:val="00EB394A"/>
    <w:rsid w:val="00EB692F"/>
    <w:rsid w:val="00EB765D"/>
    <w:rsid w:val="00EB7B6B"/>
    <w:rsid w:val="00EB7E18"/>
    <w:rsid w:val="00EC1664"/>
    <w:rsid w:val="00EC3E58"/>
    <w:rsid w:val="00EC46AB"/>
    <w:rsid w:val="00ED115B"/>
    <w:rsid w:val="00ED1D1C"/>
    <w:rsid w:val="00ED3E43"/>
    <w:rsid w:val="00ED53B2"/>
    <w:rsid w:val="00ED5CAB"/>
    <w:rsid w:val="00ED5DBF"/>
    <w:rsid w:val="00EE39F8"/>
    <w:rsid w:val="00EE6734"/>
    <w:rsid w:val="00EE75D8"/>
    <w:rsid w:val="00EE7F12"/>
    <w:rsid w:val="00EF2305"/>
    <w:rsid w:val="00EF2ABC"/>
    <w:rsid w:val="00EF4648"/>
    <w:rsid w:val="00EF6B41"/>
    <w:rsid w:val="00EF75C3"/>
    <w:rsid w:val="00F00399"/>
    <w:rsid w:val="00F00633"/>
    <w:rsid w:val="00F00E53"/>
    <w:rsid w:val="00F00F33"/>
    <w:rsid w:val="00F02A56"/>
    <w:rsid w:val="00F07F87"/>
    <w:rsid w:val="00F15F3A"/>
    <w:rsid w:val="00F17E7F"/>
    <w:rsid w:val="00F218BD"/>
    <w:rsid w:val="00F22EE5"/>
    <w:rsid w:val="00F232E4"/>
    <w:rsid w:val="00F23C98"/>
    <w:rsid w:val="00F27108"/>
    <w:rsid w:val="00F271B2"/>
    <w:rsid w:val="00F27840"/>
    <w:rsid w:val="00F325E7"/>
    <w:rsid w:val="00F3698E"/>
    <w:rsid w:val="00F41E48"/>
    <w:rsid w:val="00F42EEE"/>
    <w:rsid w:val="00F469B3"/>
    <w:rsid w:val="00F4766B"/>
    <w:rsid w:val="00F50307"/>
    <w:rsid w:val="00F51EC3"/>
    <w:rsid w:val="00F52A86"/>
    <w:rsid w:val="00F53606"/>
    <w:rsid w:val="00F53960"/>
    <w:rsid w:val="00F54143"/>
    <w:rsid w:val="00F5480D"/>
    <w:rsid w:val="00F54BC7"/>
    <w:rsid w:val="00F551CD"/>
    <w:rsid w:val="00F55C2B"/>
    <w:rsid w:val="00F5694C"/>
    <w:rsid w:val="00F56FC7"/>
    <w:rsid w:val="00F621A7"/>
    <w:rsid w:val="00F62245"/>
    <w:rsid w:val="00F633E1"/>
    <w:rsid w:val="00F660A8"/>
    <w:rsid w:val="00F67BF1"/>
    <w:rsid w:val="00F67ED1"/>
    <w:rsid w:val="00F70668"/>
    <w:rsid w:val="00F72CD6"/>
    <w:rsid w:val="00F733E7"/>
    <w:rsid w:val="00F73A3D"/>
    <w:rsid w:val="00F755DB"/>
    <w:rsid w:val="00F76073"/>
    <w:rsid w:val="00F76D7A"/>
    <w:rsid w:val="00F80D25"/>
    <w:rsid w:val="00F82D78"/>
    <w:rsid w:val="00F8483A"/>
    <w:rsid w:val="00F854C8"/>
    <w:rsid w:val="00F8558B"/>
    <w:rsid w:val="00F90DEE"/>
    <w:rsid w:val="00F91B07"/>
    <w:rsid w:val="00F91B8D"/>
    <w:rsid w:val="00F92AE9"/>
    <w:rsid w:val="00F93277"/>
    <w:rsid w:val="00F93B40"/>
    <w:rsid w:val="00F94454"/>
    <w:rsid w:val="00F94DF4"/>
    <w:rsid w:val="00F96081"/>
    <w:rsid w:val="00F9682C"/>
    <w:rsid w:val="00F9789C"/>
    <w:rsid w:val="00F97D55"/>
    <w:rsid w:val="00F97F66"/>
    <w:rsid w:val="00FA18DA"/>
    <w:rsid w:val="00FA2F0E"/>
    <w:rsid w:val="00FA40B1"/>
    <w:rsid w:val="00FA4B41"/>
    <w:rsid w:val="00FA74BE"/>
    <w:rsid w:val="00FB10B9"/>
    <w:rsid w:val="00FB17D5"/>
    <w:rsid w:val="00FB1B67"/>
    <w:rsid w:val="00FB694A"/>
    <w:rsid w:val="00FB70AA"/>
    <w:rsid w:val="00FC05D2"/>
    <w:rsid w:val="00FC1272"/>
    <w:rsid w:val="00FC3B41"/>
    <w:rsid w:val="00FC5BE6"/>
    <w:rsid w:val="00FC619A"/>
    <w:rsid w:val="00FC6232"/>
    <w:rsid w:val="00FC73FA"/>
    <w:rsid w:val="00FD0062"/>
    <w:rsid w:val="00FD0CB9"/>
    <w:rsid w:val="00FD5A80"/>
    <w:rsid w:val="00FE404C"/>
    <w:rsid w:val="00FE454B"/>
    <w:rsid w:val="00FE7F54"/>
    <w:rsid w:val="00FE7FF7"/>
    <w:rsid w:val="00FF0893"/>
    <w:rsid w:val="00FF7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BE2A0B-B1E1-4F30-959B-CE49E62E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7BB"/>
    <w:pPr>
      <w:widowControl w:val="0"/>
      <w:jc w:val="both"/>
    </w:pPr>
  </w:style>
  <w:style w:type="paragraph" w:styleId="1">
    <w:name w:val="heading 1"/>
    <w:basedOn w:val="a"/>
    <w:next w:val="a"/>
    <w:link w:val="1Char"/>
    <w:uiPriority w:val="9"/>
    <w:qFormat/>
    <w:rsid w:val="005E452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E452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45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452C"/>
    <w:rPr>
      <w:sz w:val="18"/>
      <w:szCs w:val="18"/>
    </w:rPr>
  </w:style>
  <w:style w:type="paragraph" w:styleId="a4">
    <w:name w:val="footer"/>
    <w:basedOn w:val="a"/>
    <w:link w:val="Char0"/>
    <w:uiPriority w:val="99"/>
    <w:unhideWhenUsed/>
    <w:rsid w:val="005E452C"/>
    <w:pPr>
      <w:tabs>
        <w:tab w:val="center" w:pos="4153"/>
        <w:tab w:val="right" w:pos="8306"/>
      </w:tabs>
      <w:snapToGrid w:val="0"/>
      <w:jc w:val="left"/>
    </w:pPr>
    <w:rPr>
      <w:sz w:val="18"/>
      <w:szCs w:val="18"/>
    </w:rPr>
  </w:style>
  <w:style w:type="character" w:customStyle="1" w:styleId="Char0">
    <w:name w:val="页脚 Char"/>
    <w:basedOn w:val="a0"/>
    <w:link w:val="a4"/>
    <w:uiPriority w:val="99"/>
    <w:rsid w:val="005E452C"/>
    <w:rPr>
      <w:sz w:val="18"/>
      <w:szCs w:val="18"/>
    </w:rPr>
  </w:style>
  <w:style w:type="character" w:customStyle="1" w:styleId="1Char">
    <w:name w:val="标题 1 Char"/>
    <w:basedOn w:val="a0"/>
    <w:link w:val="1"/>
    <w:uiPriority w:val="9"/>
    <w:rsid w:val="005E452C"/>
    <w:rPr>
      <w:b/>
      <w:bCs/>
      <w:kern w:val="44"/>
      <w:sz w:val="44"/>
      <w:szCs w:val="44"/>
    </w:rPr>
  </w:style>
  <w:style w:type="paragraph" w:styleId="TOC">
    <w:name w:val="TOC Heading"/>
    <w:basedOn w:val="1"/>
    <w:next w:val="a"/>
    <w:uiPriority w:val="39"/>
    <w:unhideWhenUsed/>
    <w:qFormat/>
    <w:rsid w:val="005E452C"/>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20">
    <w:name w:val="toc 2"/>
    <w:basedOn w:val="a"/>
    <w:next w:val="a"/>
    <w:autoRedefine/>
    <w:uiPriority w:val="39"/>
    <w:unhideWhenUsed/>
    <w:qFormat/>
    <w:rsid w:val="005E452C"/>
    <w:pPr>
      <w:widowControl/>
      <w:spacing w:after="100" w:line="276" w:lineRule="auto"/>
      <w:ind w:left="220"/>
      <w:jc w:val="left"/>
    </w:pPr>
    <w:rPr>
      <w:kern w:val="0"/>
      <w:sz w:val="22"/>
    </w:rPr>
  </w:style>
  <w:style w:type="paragraph" w:styleId="10">
    <w:name w:val="toc 1"/>
    <w:basedOn w:val="a"/>
    <w:next w:val="a"/>
    <w:autoRedefine/>
    <w:uiPriority w:val="39"/>
    <w:unhideWhenUsed/>
    <w:qFormat/>
    <w:rsid w:val="00792FB2"/>
    <w:pPr>
      <w:widowControl/>
      <w:tabs>
        <w:tab w:val="right" w:leader="dot" w:pos="8296"/>
      </w:tabs>
      <w:spacing w:after="100" w:line="360" w:lineRule="auto"/>
      <w:jc w:val="left"/>
    </w:pPr>
    <w:rPr>
      <w:rFonts w:asciiTheme="minorEastAsia" w:hAnsiTheme="minorEastAsia"/>
      <w:b/>
      <w:noProof/>
      <w:kern w:val="0"/>
      <w:sz w:val="24"/>
      <w:szCs w:val="24"/>
    </w:rPr>
  </w:style>
  <w:style w:type="paragraph" w:styleId="3">
    <w:name w:val="toc 3"/>
    <w:basedOn w:val="a"/>
    <w:next w:val="a"/>
    <w:autoRedefine/>
    <w:uiPriority w:val="39"/>
    <w:unhideWhenUsed/>
    <w:qFormat/>
    <w:rsid w:val="005E452C"/>
    <w:pPr>
      <w:widowControl/>
      <w:spacing w:after="100" w:line="276" w:lineRule="auto"/>
      <w:ind w:left="440"/>
      <w:jc w:val="left"/>
    </w:pPr>
    <w:rPr>
      <w:kern w:val="0"/>
      <w:sz w:val="22"/>
    </w:rPr>
  </w:style>
  <w:style w:type="character" w:customStyle="1" w:styleId="2Char">
    <w:name w:val="标题 2 Char"/>
    <w:basedOn w:val="a0"/>
    <w:link w:val="2"/>
    <w:uiPriority w:val="9"/>
    <w:rsid w:val="005E452C"/>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5E452C"/>
    <w:rPr>
      <w:sz w:val="18"/>
      <w:szCs w:val="18"/>
    </w:rPr>
  </w:style>
  <w:style w:type="character" w:customStyle="1" w:styleId="Char1">
    <w:name w:val="批注框文本 Char"/>
    <w:basedOn w:val="a0"/>
    <w:link w:val="a5"/>
    <w:uiPriority w:val="99"/>
    <w:semiHidden/>
    <w:rsid w:val="005E452C"/>
    <w:rPr>
      <w:sz w:val="18"/>
      <w:szCs w:val="18"/>
    </w:rPr>
  </w:style>
  <w:style w:type="character" w:styleId="a6">
    <w:name w:val="Hyperlink"/>
    <w:basedOn w:val="a0"/>
    <w:uiPriority w:val="99"/>
    <w:unhideWhenUsed/>
    <w:rsid w:val="005E452C"/>
    <w:rPr>
      <w:color w:val="0563C1" w:themeColor="hyperlink"/>
      <w:u w:val="single"/>
    </w:rPr>
  </w:style>
  <w:style w:type="paragraph" w:styleId="a7">
    <w:name w:val="footnote text"/>
    <w:basedOn w:val="a"/>
    <w:link w:val="Char2"/>
    <w:uiPriority w:val="99"/>
    <w:semiHidden/>
    <w:unhideWhenUsed/>
    <w:rsid w:val="00462950"/>
    <w:pPr>
      <w:snapToGrid w:val="0"/>
      <w:jc w:val="left"/>
    </w:pPr>
    <w:rPr>
      <w:sz w:val="18"/>
      <w:szCs w:val="18"/>
    </w:rPr>
  </w:style>
  <w:style w:type="character" w:customStyle="1" w:styleId="Char2">
    <w:name w:val="脚注文本 Char"/>
    <w:basedOn w:val="a0"/>
    <w:link w:val="a7"/>
    <w:uiPriority w:val="99"/>
    <w:semiHidden/>
    <w:rsid w:val="00462950"/>
    <w:rPr>
      <w:sz w:val="18"/>
      <w:szCs w:val="18"/>
    </w:rPr>
  </w:style>
  <w:style w:type="character" w:styleId="a8">
    <w:name w:val="footnote reference"/>
    <w:basedOn w:val="a0"/>
    <w:uiPriority w:val="99"/>
    <w:semiHidden/>
    <w:unhideWhenUsed/>
    <w:rsid w:val="004629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2509">
      <w:bodyDiv w:val="1"/>
      <w:marLeft w:val="0"/>
      <w:marRight w:val="0"/>
      <w:marTop w:val="0"/>
      <w:marBottom w:val="0"/>
      <w:divBdr>
        <w:top w:val="none" w:sz="0" w:space="0" w:color="auto"/>
        <w:left w:val="none" w:sz="0" w:space="0" w:color="auto"/>
        <w:bottom w:val="none" w:sz="0" w:space="0" w:color="auto"/>
        <w:right w:val="none" w:sz="0" w:space="0" w:color="auto"/>
      </w:divBdr>
    </w:div>
    <w:div w:id="108821155">
      <w:bodyDiv w:val="1"/>
      <w:marLeft w:val="0"/>
      <w:marRight w:val="0"/>
      <w:marTop w:val="0"/>
      <w:marBottom w:val="0"/>
      <w:divBdr>
        <w:top w:val="none" w:sz="0" w:space="0" w:color="auto"/>
        <w:left w:val="none" w:sz="0" w:space="0" w:color="auto"/>
        <w:bottom w:val="none" w:sz="0" w:space="0" w:color="auto"/>
        <w:right w:val="none" w:sz="0" w:space="0" w:color="auto"/>
      </w:divBdr>
    </w:div>
    <w:div w:id="109936575">
      <w:bodyDiv w:val="1"/>
      <w:marLeft w:val="0"/>
      <w:marRight w:val="0"/>
      <w:marTop w:val="0"/>
      <w:marBottom w:val="0"/>
      <w:divBdr>
        <w:top w:val="none" w:sz="0" w:space="0" w:color="auto"/>
        <w:left w:val="none" w:sz="0" w:space="0" w:color="auto"/>
        <w:bottom w:val="none" w:sz="0" w:space="0" w:color="auto"/>
        <w:right w:val="none" w:sz="0" w:space="0" w:color="auto"/>
      </w:divBdr>
    </w:div>
    <w:div w:id="130833936">
      <w:bodyDiv w:val="1"/>
      <w:marLeft w:val="0"/>
      <w:marRight w:val="0"/>
      <w:marTop w:val="0"/>
      <w:marBottom w:val="0"/>
      <w:divBdr>
        <w:top w:val="none" w:sz="0" w:space="0" w:color="auto"/>
        <w:left w:val="none" w:sz="0" w:space="0" w:color="auto"/>
        <w:bottom w:val="none" w:sz="0" w:space="0" w:color="auto"/>
        <w:right w:val="none" w:sz="0" w:space="0" w:color="auto"/>
      </w:divBdr>
    </w:div>
    <w:div w:id="131216022">
      <w:bodyDiv w:val="1"/>
      <w:marLeft w:val="0"/>
      <w:marRight w:val="0"/>
      <w:marTop w:val="0"/>
      <w:marBottom w:val="0"/>
      <w:divBdr>
        <w:top w:val="none" w:sz="0" w:space="0" w:color="auto"/>
        <w:left w:val="none" w:sz="0" w:space="0" w:color="auto"/>
        <w:bottom w:val="none" w:sz="0" w:space="0" w:color="auto"/>
        <w:right w:val="none" w:sz="0" w:space="0" w:color="auto"/>
      </w:divBdr>
    </w:div>
    <w:div w:id="138885847">
      <w:bodyDiv w:val="1"/>
      <w:marLeft w:val="0"/>
      <w:marRight w:val="0"/>
      <w:marTop w:val="0"/>
      <w:marBottom w:val="0"/>
      <w:divBdr>
        <w:top w:val="none" w:sz="0" w:space="0" w:color="auto"/>
        <w:left w:val="none" w:sz="0" w:space="0" w:color="auto"/>
        <w:bottom w:val="none" w:sz="0" w:space="0" w:color="auto"/>
        <w:right w:val="none" w:sz="0" w:space="0" w:color="auto"/>
      </w:divBdr>
    </w:div>
    <w:div w:id="178547132">
      <w:bodyDiv w:val="1"/>
      <w:marLeft w:val="0"/>
      <w:marRight w:val="0"/>
      <w:marTop w:val="0"/>
      <w:marBottom w:val="0"/>
      <w:divBdr>
        <w:top w:val="none" w:sz="0" w:space="0" w:color="auto"/>
        <w:left w:val="none" w:sz="0" w:space="0" w:color="auto"/>
        <w:bottom w:val="none" w:sz="0" w:space="0" w:color="auto"/>
        <w:right w:val="none" w:sz="0" w:space="0" w:color="auto"/>
      </w:divBdr>
    </w:div>
    <w:div w:id="214245137">
      <w:bodyDiv w:val="1"/>
      <w:marLeft w:val="0"/>
      <w:marRight w:val="0"/>
      <w:marTop w:val="0"/>
      <w:marBottom w:val="0"/>
      <w:divBdr>
        <w:top w:val="none" w:sz="0" w:space="0" w:color="auto"/>
        <w:left w:val="none" w:sz="0" w:space="0" w:color="auto"/>
        <w:bottom w:val="none" w:sz="0" w:space="0" w:color="auto"/>
        <w:right w:val="none" w:sz="0" w:space="0" w:color="auto"/>
      </w:divBdr>
    </w:div>
    <w:div w:id="230703368">
      <w:bodyDiv w:val="1"/>
      <w:marLeft w:val="0"/>
      <w:marRight w:val="0"/>
      <w:marTop w:val="0"/>
      <w:marBottom w:val="0"/>
      <w:divBdr>
        <w:top w:val="none" w:sz="0" w:space="0" w:color="auto"/>
        <w:left w:val="none" w:sz="0" w:space="0" w:color="auto"/>
        <w:bottom w:val="none" w:sz="0" w:space="0" w:color="auto"/>
        <w:right w:val="none" w:sz="0" w:space="0" w:color="auto"/>
      </w:divBdr>
    </w:div>
    <w:div w:id="260990228">
      <w:bodyDiv w:val="1"/>
      <w:marLeft w:val="0"/>
      <w:marRight w:val="0"/>
      <w:marTop w:val="0"/>
      <w:marBottom w:val="0"/>
      <w:divBdr>
        <w:top w:val="none" w:sz="0" w:space="0" w:color="auto"/>
        <w:left w:val="none" w:sz="0" w:space="0" w:color="auto"/>
        <w:bottom w:val="none" w:sz="0" w:space="0" w:color="auto"/>
        <w:right w:val="none" w:sz="0" w:space="0" w:color="auto"/>
      </w:divBdr>
    </w:div>
    <w:div w:id="286740914">
      <w:bodyDiv w:val="1"/>
      <w:marLeft w:val="0"/>
      <w:marRight w:val="0"/>
      <w:marTop w:val="0"/>
      <w:marBottom w:val="0"/>
      <w:divBdr>
        <w:top w:val="none" w:sz="0" w:space="0" w:color="auto"/>
        <w:left w:val="none" w:sz="0" w:space="0" w:color="auto"/>
        <w:bottom w:val="none" w:sz="0" w:space="0" w:color="auto"/>
        <w:right w:val="none" w:sz="0" w:space="0" w:color="auto"/>
      </w:divBdr>
    </w:div>
    <w:div w:id="293802540">
      <w:bodyDiv w:val="1"/>
      <w:marLeft w:val="0"/>
      <w:marRight w:val="0"/>
      <w:marTop w:val="0"/>
      <w:marBottom w:val="0"/>
      <w:divBdr>
        <w:top w:val="none" w:sz="0" w:space="0" w:color="auto"/>
        <w:left w:val="none" w:sz="0" w:space="0" w:color="auto"/>
        <w:bottom w:val="none" w:sz="0" w:space="0" w:color="auto"/>
        <w:right w:val="none" w:sz="0" w:space="0" w:color="auto"/>
      </w:divBdr>
    </w:div>
    <w:div w:id="341781014">
      <w:bodyDiv w:val="1"/>
      <w:marLeft w:val="0"/>
      <w:marRight w:val="0"/>
      <w:marTop w:val="0"/>
      <w:marBottom w:val="0"/>
      <w:divBdr>
        <w:top w:val="none" w:sz="0" w:space="0" w:color="auto"/>
        <w:left w:val="none" w:sz="0" w:space="0" w:color="auto"/>
        <w:bottom w:val="none" w:sz="0" w:space="0" w:color="auto"/>
        <w:right w:val="none" w:sz="0" w:space="0" w:color="auto"/>
      </w:divBdr>
    </w:div>
    <w:div w:id="369839238">
      <w:bodyDiv w:val="1"/>
      <w:marLeft w:val="0"/>
      <w:marRight w:val="0"/>
      <w:marTop w:val="0"/>
      <w:marBottom w:val="0"/>
      <w:divBdr>
        <w:top w:val="none" w:sz="0" w:space="0" w:color="auto"/>
        <w:left w:val="none" w:sz="0" w:space="0" w:color="auto"/>
        <w:bottom w:val="none" w:sz="0" w:space="0" w:color="auto"/>
        <w:right w:val="none" w:sz="0" w:space="0" w:color="auto"/>
      </w:divBdr>
    </w:div>
    <w:div w:id="448595522">
      <w:bodyDiv w:val="1"/>
      <w:marLeft w:val="0"/>
      <w:marRight w:val="0"/>
      <w:marTop w:val="0"/>
      <w:marBottom w:val="0"/>
      <w:divBdr>
        <w:top w:val="none" w:sz="0" w:space="0" w:color="auto"/>
        <w:left w:val="none" w:sz="0" w:space="0" w:color="auto"/>
        <w:bottom w:val="none" w:sz="0" w:space="0" w:color="auto"/>
        <w:right w:val="none" w:sz="0" w:space="0" w:color="auto"/>
      </w:divBdr>
    </w:div>
    <w:div w:id="569119355">
      <w:bodyDiv w:val="1"/>
      <w:marLeft w:val="0"/>
      <w:marRight w:val="0"/>
      <w:marTop w:val="0"/>
      <w:marBottom w:val="0"/>
      <w:divBdr>
        <w:top w:val="none" w:sz="0" w:space="0" w:color="auto"/>
        <w:left w:val="none" w:sz="0" w:space="0" w:color="auto"/>
        <w:bottom w:val="none" w:sz="0" w:space="0" w:color="auto"/>
        <w:right w:val="none" w:sz="0" w:space="0" w:color="auto"/>
      </w:divBdr>
    </w:div>
    <w:div w:id="576790227">
      <w:bodyDiv w:val="1"/>
      <w:marLeft w:val="0"/>
      <w:marRight w:val="0"/>
      <w:marTop w:val="0"/>
      <w:marBottom w:val="0"/>
      <w:divBdr>
        <w:top w:val="none" w:sz="0" w:space="0" w:color="auto"/>
        <w:left w:val="none" w:sz="0" w:space="0" w:color="auto"/>
        <w:bottom w:val="none" w:sz="0" w:space="0" w:color="auto"/>
        <w:right w:val="none" w:sz="0" w:space="0" w:color="auto"/>
      </w:divBdr>
    </w:div>
    <w:div w:id="608240769">
      <w:bodyDiv w:val="1"/>
      <w:marLeft w:val="0"/>
      <w:marRight w:val="0"/>
      <w:marTop w:val="0"/>
      <w:marBottom w:val="0"/>
      <w:divBdr>
        <w:top w:val="none" w:sz="0" w:space="0" w:color="auto"/>
        <w:left w:val="none" w:sz="0" w:space="0" w:color="auto"/>
        <w:bottom w:val="none" w:sz="0" w:space="0" w:color="auto"/>
        <w:right w:val="none" w:sz="0" w:space="0" w:color="auto"/>
      </w:divBdr>
    </w:div>
    <w:div w:id="623190769">
      <w:bodyDiv w:val="1"/>
      <w:marLeft w:val="0"/>
      <w:marRight w:val="0"/>
      <w:marTop w:val="0"/>
      <w:marBottom w:val="0"/>
      <w:divBdr>
        <w:top w:val="none" w:sz="0" w:space="0" w:color="auto"/>
        <w:left w:val="none" w:sz="0" w:space="0" w:color="auto"/>
        <w:bottom w:val="none" w:sz="0" w:space="0" w:color="auto"/>
        <w:right w:val="none" w:sz="0" w:space="0" w:color="auto"/>
      </w:divBdr>
    </w:div>
    <w:div w:id="749041202">
      <w:bodyDiv w:val="1"/>
      <w:marLeft w:val="0"/>
      <w:marRight w:val="0"/>
      <w:marTop w:val="0"/>
      <w:marBottom w:val="0"/>
      <w:divBdr>
        <w:top w:val="none" w:sz="0" w:space="0" w:color="auto"/>
        <w:left w:val="none" w:sz="0" w:space="0" w:color="auto"/>
        <w:bottom w:val="none" w:sz="0" w:space="0" w:color="auto"/>
        <w:right w:val="none" w:sz="0" w:space="0" w:color="auto"/>
      </w:divBdr>
    </w:div>
    <w:div w:id="780883036">
      <w:bodyDiv w:val="1"/>
      <w:marLeft w:val="0"/>
      <w:marRight w:val="0"/>
      <w:marTop w:val="0"/>
      <w:marBottom w:val="0"/>
      <w:divBdr>
        <w:top w:val="none" w:sz="0" w:space="0" w:color="auto"/>
        <w:left w:val="none" w:sz="0" w:space="0" w:color="auto"/>
        <w:bottom w:val="none" w:sz="0" w:space="0" w:color="auto"/>
        <w:right w:val="none" w:sz="0" w:space="0" w:color="auto"/>
      </w:divBdr>
    </w:div>
    <w:div w:id="896551963">
      <w:bodyDiv w:val="1"/>
      <w:marLeft w:val="0"/>
      <w:marRight w:val="0"/>
      <w:marTop w:val="0"/>
      <w:marBottom w:val="0"/>
      <w:divBdr>
        <w:top w:val="none" w:sz="0" w:space="0" w:color="auto"/>
        <w:left w:val="none" w:sz="0" w:space="0" w:color="auto"/>
        <w:bottom w:val="none" w:sz="0" w:space="0" w:color="auto"/>
        <w:right w:val="none" w:sz="0" w:space="0" w:color="auto"/>
      </w:divBdr>
    </w:div>
    <w:div w:id="913704625">
      <w:bodyDiv w:val="1"/>
      <w:marLeft w:val="0"/>
      <w:marRight w:val="0"/>
      <w:marTop w:val="0"/>
      <w:marBottom w:val="0"/>
      <w:divBdr>
        <w:top w:val="none" w:sz="0" w:space="0" w:color="auto"/>
        <w:left w:val="none" w:sz="0" w:space="0" w:color="auto"/>
        <w:bottom w:val="none" w:sz="0" w:space="0" w:color="auto"/>
        <w:right w:val="none" w:sz="0" w:space="0" w:color="auto"/>
      </w:divBdr>
    </w:div>
    <w:div w:id="927421154">
      <w:bodyDiv w:val="1"/>
      <w:marLeft w:val="0"/>
      <w:marRight w:val="0"/>
      <w:marTop w:val="0"/>
      <w:marBottom w:val="0"/>
      <w:divBdr>
        <w:top w:val="none" w:sz="0" w:space="0" w:color="auto"/>
        <w:left w:val="none" w:sz="0" w:space="0" w:color="auto"/>
        <w:bottom w:val="none" w:sz="0" w:space="0" w:color="auto"/>
        <w:right w:val="none" w:sz="0" w:space="0" w:color="auto"/>
      </w:divBdr>
    </w:div>
    <w:div w:id="976451484">
      <w:bodyDiv w:val="1"/>
      <w:marLeft w:val="0"/>
      <w:marRight w:val="0"/>
      <w:marTop w:val="0"/>
      <w:marBottom w:val="0"/>
      <w:divBdr>
        <w:top w:val="none" w:sz="0" w:space="0" w:color="auto"/>
        <w:left w:val="none" w:sz="0" w:space="0" w:color="auto"/>
        <w:bottom w:val="none" w:sz="0" w:space="0" w:color="auto"/>
        <w:right w:val="none" w:sz="0" w:space="0" w:color="auto"/>
      </w:divBdr>
    </w:div>
    <w:div w:id="1047529414">
      <w:bodyDiv w:val="1"/>
      <w:marLeft w:val="0"/>
      <w:marRight w:val="0"/>
      <w:marTop w:val="0"/>
      <w:marBottom w:val="0"/>
      <w:divBdr>
        <w:top w:val="none" w:sz="0" w:space="0" w:color="auto"/>
        <w:left w:val="none" w:sz="0" w:space="0" w:color="auto"/>
        <w:bottom w:val="none" w:sz="0" w:space="0" w:color="auto"/>
        <w:right w:val="none" w:sz="0" w:space="0" w:color="auto"/>
      </w:divBdr>
    </w:div>
    <w:div w:id="1153371772">
      <w:bodyDiv w:val="1"/>
      <w:marLeft w:val="0"/>
      <w:marRight w:val="0"/>
      <w:marTop w:val="0"/>
      <w:marBottom w:val="0"/>
      <w:divBdr>
        <w:top w:val="none" w:sz="0" w:space="0" w:color="auto"/>
        <w:left w:val="none" w:sz="0" w:space="0" w:color="auto"/>
        <w:bottom w:val="none" w:sz="0" w:space="0" w:color="auto"/>
        <w:right w:val="none" w:sz="0" w:space="0" w:color="auto"/>
      </w:divBdr>
    </w:div>
    <w:div w:id="1256132537">
      <w:bodyDiv w:val="1"/>
      <w:marLeft w:val="0"/>
      <w:marRight w:val="0"/>
      <w:marTop w:val="0"/>
      <w:marBottom w:val="0"/>
      <w:divBdr>
        <w:top w:val="none" w:sz="0" w:space="0" w:color="auto"/>
        <w:left w:val="none" w:sz="0" w:space="0" w:color="auto"/>
        <w:bottom w:val="none" w:sz="0" w:space="0" w:color="auto"/>
        <w:right w:val="none" w:sz="0" w:space="0" w:color="auto"/>
      </w:divBdr>
    </w:div>
    <w:div w:id="1293553918">
      <w:bodyDiv w:val="1"/>
      <w:marLeft w:val="0"/>
      <w:marRight w:val="0"/>
      <w:marTop w:val="0"/>
      <w:marBottom w:val="0"/>
      <w:divBdr>
        <w:top w:val="none" w:sz="0" w:space="0" w:color="auto"/>
        <w:left w:val="none" w:sz="0" w:space="0" w:color="auto"/>
        <w:bottom w:val="none" w:sz="0" w:space="0" w:color="auto"/>
        <w:right w:val="none" w:sz="0" w:space="0" w:color="auto"/>
      </w:divBdr>
    </w:div>
    <w:div w:id="1363900861">
      <w:bodyDiv w:val="1"/>
      <w:marLeft w:val="0"/>
      <w:marRight w:val="0"/>
      <w:marTop w:val="0"/>
      <w:marBottom w:val="0"/>
      <w:divBdr>
        <w:top w:val="none" w:sz="0" w:space="0" w:color="auto"/>
        <w:left w:val="none" w:sz="0" w:space="0" w:color="auto"/>
        <w:bottom w:val="none" w:sz="0" w:space="0" w:color="auto"/>
        <w:right w:val="none" w:sz="0" w:space="0" w:color="auto"/>
      </w:divBdr>
    </w:div>
    <w:div w:id="1409887102">
      <w:bodyDiv w:val="1"/>
      <w:marLeft w:val="0"/>
      <w:marRight w:val="0"/>
      <w:marTop w:val="0"/>
      <w:marBottom w:val="0"/>
      <w:divBdr>
        <w:top w:val="none" w:sz="0" w:space="0" w:color="auto"/>
        <w:left w:val="none" w:sz="0" w:space="0" w:color="auto"/>
        <w:bottom w:val="none" w:sz="0" w:space="0" w:color="auto"/>
        <w:right w:val="none" w:sz="0" w:space="0" w:color="auto"/>
      </w:divBdr>
    </w:div>
    <w:div w:id="1411585563">
      <w:bodyDiv w:val="1"/>
      <w:marLeft w:val="0"/>
      <w:marRight w:val="0"/>
      <w:marTop w:val="0"/>
      <w:marBottom w:val="0"/>
      <w:divBdr>
        <w:top w:val="none" w:sz="0" w:space="0" w:color="auto"/>
        <w:left w:val="none" w:sz="0" w:space="0" w:color="auto"/>
        <w:bottom w:val="none" w:sz="0" w:space="0" w:color="auto"/>
        <w:right w:val="none" w:sz="0" w:space="0" w:color="auto"/>
      </w:divBdr>
    </w:div>
    <w:div w:id="1429153153">
      <w:bodyDiv w:val="1"/>
      <w:marLeft w:val="0"/>
      <w:marRight w:val="0"/>
      <w:marTop w:val="0"/>
      <w:marBottom w:val="0"/>
      <w:divBdr>
        <w:top w:val="none" w:sz="0" w:space="0" w:color="auto"/>
        <w:left w:val="none" w:sz="0" w:space="0" w:color="auto"/>
        <w:bottom w:val="none" w:sz="0" w:space="0" w:color="auto"/>
        <w:right w:val="none" w:sz="0" w:space="0" w:color="auto"/>
      </w:divBdr>
    </w:div>
    <w:div w:id="1514998973">
      <w:bodyDiv w:val="1"/>
      <w:marLeft w:val="0"/>
      <w:marRight w:val="0"/>
      <w:marTop w:val="0"/>
      <w:marBottom w:val="0"/>
      <w:divBdr>
        <w:top w:val="none" w:sz="0" w:space="0" w:color="auto"/>
        <w:left w:val="none" w:sz="0" w:space="0" w:color="auto"/>
        <w:bottom w:val="none" w:sz="0" w:space="0" w:color="auto"/>
        <w:right w:val="none" w:sz="0" w:space="0" w:color="auto"/>
      </w:divBdr>
    </w:div>
    <w:div w:id="1526551817">
      <w:bodyDiv w:val="1"/>
      <w:marLeft w:val="0"/>
      <w:marRight w:val="0"/>
      <w:marTop w:val="0"/>
      <w:marBottom w:val="0"/>
      <w:divBdr>
        <w:top w:val="none" w:sz="0" w:space="0" w:color="auto"/>
        <w:left w:val="none" w:sz="0" w:space="0" w:color="auto"/>
        <w:bottom w:val="none" w:sz="0" w:space="0" w:color="auto"/>
        <w:right w:val="none" w:sz="0" w:space="0" w:color="auto"/>
      </w:divBdr>
    </w:div>
    <w:div w:id="1549606948">
      <w:bodyDiv w:val="1"/>
      <w:marLeft w:val="0"/>
      <w:marRight w:val="0"/>
      <w:marTop w:val="0"/>
      <w:marBottom w:val="0"/>
      <w:divBdr>
        <w:top w:val="none" w:sz="0" w:space="0" w:color="auto"/>
        <w:left w:val="none" w:sz="0" w:space="0" w:color="auto"/>
        <w:bottom w:val="none" w:sz="0" w:space="0" w:color="auto"/>
        <w:right w:val="none" w:sz="0" w:space="0" w:color="auto"/>
      </w:divBdr>
    </w:div>
    <w:div w:id="1578590991">
      <w:bodyDiv w:val="1"/>
      <w:marLeft w:val="0"/>
      <w:marRight w:val="0"/>
      <w:marTop w:val="0"/>
      <w:marBottom w:val="0"/>
      <w:divBdr>
        <w:top w:val="none" w:sz="0" w:space="0" w:color="auto"/>
        <w:left w:val="none" w:sz="0" w:space="0" w:color="auto"/>
        <w:bottom w:val="none" w:sz="0" w:space="0" w:color="auto"/>
        <w:right w:val="none" w:sz="0" w:space="0" w:color="auto"/>
      </w:divBdr>
    </w:div>
    <w:div w:id="1598521314">
      <w:bodyDiv w:val="1"/>
      <w:marLeft w:val="0"/>
      <w:marRight w:val="0"/>
      <w:marTop w:val="0"/>
      <w:marBottom w:val="0"/>
      <w:divBdr>
        <w:top w:val="none" w:sz="0" w:space="0" w:color="auto"/>
        <w:left w:val="none" w:sz="0" w:space="0" w:color="auto"/>
        <w:bottom w:val="none" w:sz="0" w:space="0" w:color="auto"/>
        <w:right w:val="none" w:sz="0" w:space="0" w:color="auto"/>
      </w:divBdr>
    </w:div>
    <w:div w:id="1637106876">
      <w:bodyDiv w:val="1"/>
      <w:marLeft w:val="0"/>
      <w:marRight w:val="0"/>
      <w:marTop w:val="0"/>
      <w:marBottom w:val="0"/>
      <w:divBdr>
        <w:top w:val="none" w:sz="0" w:space="0" w:color="auto"/>
        <w:left w:val="none" w:sz="0" w:space="0" w:color="auto"/>
        <w:bottom w:val="none" w:sz="0" w:space="0" w:color="auto"/>
        <w:right w:val="none" w:sz="0" w:space="0" w:color="auto"/>
      </w:divBdr>
    </w:div>
    <w:div w:id="1672680130">
      <w:bodyDiv w:val="1"/>
      <w:marLeft w:val="0"/>
      <w:marRight w:val="0"/>
      <w:marTop w:val="0"/>
      <w:marBottom w:val="0"/>
      <w:divBdr>
        <w:top w:val="none" w:sz="0" w:space="0" w:color="auto"/>
        <w:left w:val="none" w:sz="0" w:space="0" w:color="auto"/>
        <w:bottom w:val="none" w:sz="0" w:space="0" w:color="auto"/>
        <w:right w:val="none" w:sz="0" w:space="0" w:color="auto"/>
      </w:divBdr>
    </w:div>
    <w:div w:id="1754665537">
      <w:bodyDiv w:val="1"/>
      <w:marLeft w:val="0"/>
      <w:marRight w:val="0"/>
      <w:marTop w:val="0"/>
      <w:marBottom w:val="0"/>
      <w:divBdr>
        <w:top w:val="none" w:sz="0" w:space="0" w:color="auto"/>
        <w:left w:val="none" w:sz="0" w:space="0" w:color="auto"/>
        <w:bottom w:val="none" w:sz="0" w:space="0" w:color="auto"/>
        <w:right w:val="none" w:sz="0" w:space="0" w:color="auto"/>
      </w:divBdr>
    </w:div>
    <w:div w:id="1804232321">
      <w:bodyDiv w:val="1"/>
      <w:marLeft w:val="0"/>
      <w:marRight w:val="0"/>
      <w:marTop w:val="0"/>
      <w:marBottom w:val="0"/>
      <w:divBdr>
        <w:top w:val="none" w:sz="0" w:space="0" w:color="auto"/>
        <w:left w:val="none" w:sz="0" w:space="0" w:color="auto"/>
        <w:bottom w:val="none" w:sz="0" w:space="0" w:color="auto"/>
        <w:right w:val="none" w:sz="0" w:space="0" w:color="auto"/>
      </w:divBdr>
    </w:div>
    <w:div w:id="1818065586">
      <w:bodyDiv w:val="1"/>
      <w:marLeft w:val="0"/>
      <w:marRight w:val="0"/>
      <w:marTop w:val="0"/>
      <w:marBottom w:val="0"/>
      <w:divBdr>
        <w:top w:val="none" w:sz="0" w:space="0" w:color="auto"/>
        <w:left w:val="none" w:sz="0" w:space="0" w:color="auto"/>
        <w:bottom w:val="none" w:sz="0" w:space="0" w:color="auto"/>
        <w:right w:val="none" w:sz="0" w:space="0" w:color="auto"/>
      </w:divBdr>
    </w:div>
    <w:div w:id="1823501245">
      <w:bodyDiv w:val="1"/>
      <w:marLeft w:val="0"/>
      <w:marRight w:val="0"/>
      <w:marTop w:val="0"/>
      <w:marBottom w:val="0"/>
      <w:divBdr>
        <w:top w:val="none" w:sz="0" w:space="0" w:color="auto"/>
        <w:left w:val="none" w:sz="0" w:space="0" w:color="auto"/>
        <w:bottom w:val="none" w:sz="0" w:space="0" w:color="auto"/>
        <w:right w:val="none" w:sz="0" w:space="0" w:color="auto"/>
      </w:divBdr>
    </w:div>
    <w:div w:id="1826894159">
      <w:bodyDiv w:val="1"/>
      <w:marLeft w:val="0"/>
      <w:marRight w:val="0"/>
      <w:marTop w:val="0"/>
      <w:marBottom w:val="0"/>
      <w:divBdr>
        <w:top w:val="none" w:sz="0" w:space="0" w:color="auto"/>
        <w:left w:val="none" w:sz="0" w:space="0" w:color="auto"/>
        <w:bottom w:val="none" w:sz="0" w:space="0" w:color="auto"/>
        <w:right w:val="none" w:sz="0" w:space="0" w:color="auto"/>
      </w:divBdr>
    </w:div>
    <w:div w:id="1861820439">
      <w:bodyDiv w:val="1"/>
      <w:marLeft w:val="0"/>
      <w:marRight w:val="0"/>
      <w:marTop w:val="0"/>
      <w:marBottom w:val="0"/>
      <w:divBdr>
        <w:top w:val="none" w:sz="0" w:space="0" w:color="auto"/>
        <w:left w:val="none" w:sz="0" w:space="0" w:color="auto"/>
        <w:bottom w:val="none" w:sz="0" w:space="0" w:color="auto"/>
        <w:right w:val="none" w:sz="0" w:space="0" w:color="auto"/>
      </w:divBdr>
    </w:div>
    <w:div w:id="1922519615">
      <w:bodyDiv w:val="1"/>
      <w:marLeft w:val="0"/>
      <w:marRight w:val="0"/>
      <w:marTop w:val="0"/>
      <w:marBottom w:val="0"/>
      <w:divBdr>
        <w:top w:val="none" w:sz="0" w:space="0" w:color="auto"/>
        <w:left w:val="none" w:sz="0" w:space="0" w:color="auto"/>
        <w:bottom w:val="none" w:sz="0" w:space="0" w:color="auto"/>
        <w:right w:val="none" w:sz="0" w:space="0" w:color="auto"/>
      </w:divBdr>
    </w:div>
    <w:div w:id="1933472945">
      <w:bodyDiv w:val="1"/>
      <w:marLeft w:val="0"/>
      <w:marRight w:val="0"/>
      <w:marTop w:val="0"/>
      <w:marBottom w:val="0"/>
      <w:divBdr>
        <w:top w:val="none" w:sz="0" w:space="0" w:color="auto"/>
        <w:left w:val="none" w:sz="0" w:space="0" w:color="auto"/>
        <w:bottom w:val="none" w:sz="0" w:space="0" w:color="auto"/>
        <w:right w:val="none" w:sz="0" w:space="0" w:color="auto"/>
      </w:divBdr>
    </w:div>
    <w:div w:id="1955939838">
      <w:bodyDiv w:val="1"/>
      <w:marLeft w:val="0"/>
      <w:marRight w:val="0"/>
      <w:marTop w:val="0"/>
      <w:marBottom w:val="0"/>
      <w:divBdr>
        <w:top w:val="none" w:sz="0" w:space="0" w:color="auto"/>
        <w:left w:val="none" w:sz="0" w:space="0" w:color="auto"/>
        <w:bottom w:val="none" w:sz="0" w:space="0" w:color="auto"/>
        <w:right w:val="none" w:sz="0" w:space="0" w:color="auto"/>
      </w:divBdr>
    </w:div>
    <w:div w:id="1997109071">
      <w:bodyDiv w:val="1"/>
      <w:marLeft w:val="0"/>
      <w:marRight w:val="0"/>
      <w:marTop w:val="0"/>
      <w:marBottom w:val="0"/>
      <w:divBdr>
        <w:top w:val="none" w:sz="0" w:space="0" w:color="auto"/>
        <w:left w:val="none" w:sz="0" w:space="0" w:color="auto"/>
        <w:bottom w:val="none" w:sz="0" w:space="0" w:color="auto"/>
        <w:right w:val="none" w:sz="0" w:space="0" w:color="auto"/>
      </w:divBdr>
    </w:div>
    <w:div w:id="2074766870">
      <w:bodyDiv w:val="1"/>
      <w:marLeft w:val="0"/>
      <w:marRight w:val="0"/>
      <w:marTop w:val="0"/>
      <w:marBottom w:val="0"/>
      <w:divBdr>
        <w:top w:val="none" w:sz="0" w:space="0" w:color="auto"/>
        <w:left w:val="none" w:sz="0" w:space="0" w:color="auto"/>
        <w:bottom w:val="none" w:sz="0" w:space="0" w:color="auto"/>
        <w:right w:val="none" w:sz="0" w:space="0" w:color="auto"/>
      </w:divBdr>
    </w:div>
    <w:div w:id="2077391686">
      <w:bodyDiv w:val="1"/>
      <w:marLeft w:val="0"/>
      <w:marRight w:val="0"/>
      <w:marTop w:val="0"/>
      <w:marBottom w:val="0"/>
      <w:divBdr>
        <w:top w:val="none" w:sz="0" w:space="0" w:color="auto"/>
        <w:left w:val="none" w:sz="0" w:space="0" w:color="auto"/>
        <w:bottom w:val="none" w:sz="0" w:space="0" w:color="auto"/>
        <w:right w:val="none" w:sz="0" w:space="0" w:color="auto"/>
      </w:divBdr>
    </w:div>
    <w:div w:id="2092197538">
      <w:bodyDiv w:val="1"/>
      <w:marLeft w:val="0"/>
      <w:marRight w:val="0"/>
      <w:marTop w:val="0"/>
      <w:marBottom w:val="0"/>
      <w:divBdr>
        <w:top w:val="none" w:sz="0" w:space="0" w:color="auto"/>
        <w:left w:val="none" w:sz="0" w:space="0" w:color="auto"/>
        <w:bottom w:val="none" w:sz="0" w:space="0" w:color="auto"/>
        <w:right w:val="none" w:sz="0" w:space="0" w:color="auto"/>
      </w:divBdr>
    </w:div>
    <w:div w:id="213917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1E61E-DDD8-4300-88C3-7B2C919A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13</Pages>
  <Words>1793</Words>
  <Characters>10223</Characters>
  <Application>Microsoft Office Word</Application>
  <DocSecurity>0</DocSecurity>
  <Lines>85</Lines>
  <Paragraphs>23</Paragraphs>
  <ScaleCrop>false</ScaleCrop>
  <Company>china</Company>
  <LinksUpToDate>false</LinksUpToDate>
  <CharactersWithSpaces>11993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刘雯</dc:creator>
  <cp:keywords/>
  <dc:description/>
  <cp:lastModifiedBy>刘雯</cp:lastModifiedBy>
  <cp:revision>38</cp:revision>
  <cp:lastPrinted>2025-08-08T12:02:00Z</cp:lastPrinted>
  <dcterms:created xsi:type="dcterms:W3CDTF">2024-08-05T08:32:00Z</dcterms:created>
  <dcterms:modified xsi:type="dcterms:W3CDTF">2026-08-14T03:15:00Z</dcterms:modified>
</cp:coreProperties>
</file>