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7200"/>
        </w:tabs>
        <w:spacing w:beforeLines="0" w:afterLines="0" w:line="560" w:lineRule="exact"/>
        <w:jc w:val="center"/>
        <w:rPr>
          <w:rFonts w:hint="eastAsia" w:ascii="华文中宋" w:hAnsi="华文中宋" w:eastAsia="华文中宋"/>
          <w:b/>
          <w:sz w:val="44"/>
          <w:szCs w:val="24"/>
        </w:rPr>
      </w:pPr>
      <w:r>
        <w:rPr>
          <w:rFonts w:hint="eastAsia" w:ascii="华文中宋" w:hAnsi="华文中宋" w:eastAsia="华文中宋"/>
          <w:b/>
          <w:sz w:val="44"/>
          <w:szCs w:val="24"/>
        </w:rPr>
        <w:t>紫金农商银行“紫金财富”人民币</w:t>
      </w:r>
    </w:p>
    <w:p>
      <w:pPr>
        <w:pStyle w:val="2"/>
        <w:tabs>
          <w:tab w:val="left" w:pos="7200"/>
        </w:tabs>
        <w:spacing w:beforeLines="0" w:afterLines="0" w:line="560" w:lineRule="exact"/>
        <w:jc w:val="center"/>
        <w:rPr>
          <w:rFonts w:hint="eastAsia" w:ascii="华文中宋" w:hAnsi="华文中宋" w:eastAsia="华文中宋"/>
          <w:b/>
          <w:sz w:val="44"/>
          <w:szCs w:val="24"/>
        </w:rPr>
      </w:pPr>
      <w:r>
        <w:rPr>
          <w:rFonts w:hint="eastAsia" w:ascii="华文中宋" w:hAnsi="华文中宋" w:eastAsia="华文中宋"/>
          <w:b/>
          <w:sz w:val="44"/>
          <w:szCs w:val="24"/>
        </w:rPr>
        <w:t>理财产品风险揭示书</w:t>
      </w:r>
    </w:p>
    <w:p>
      <w:pPr>
        <w:pStyle w:val="2"/>
        <w:tabs>
          <w:tab w:val="left" w:pos="7200"/>
        </w:tabs>
        <w:spacing w:beforeLines="0" w:afterLines="0" w:line="560" w:lineRule="exact"/>
        <w:jc w:val="center"/>
        <w:rPr>
          <w:rFonts w:hint="eastAsia" w:ascii="华文中宋" w:hAnsi="华文中宋" w:eastAsia="华文中宋"/>
          <w:b/>
          <w:sz w:val="44"/>
          <w:szCs w:val="24"/>
        </w:rPr>
      </w:pPr>
    </w:p>
    <w:p>
      <w:pPr>
        <w:spacing w:beforeLines="0" w:afterLines="0"/>
        <w:ind w:firstLine="640" w:firstLineChars="200"/>
        <w:jc w:val="left"/>
        <w:rPr>
          <w:rFonts w:hint="eastAsia" w:ascii="仿宋_GB2312" w:hAnsi="宋体"/>
          <w:spacing w:val="10"/>
          <w:sz w:val="30"/>
          <w:szCs w:val="24"/>
        </w:rPr>
      </w:pPr>
      <w:r>
        <w:rPr>
          <w:rFonts w:hint="eastAsia" w:ascii="仿宋_GB2312" w:hAnsi="宋体"/>
          <w:spacing w:val="10"/>
          <w:sz w:val="30"/>
          <w:szCs w:val="24"/>
        </w:rPr>
        <w:t>尊敬的投资者：</w:t>
      </w:r>
    </w:p>
    <w:p>
      <w:pPr>
        <w:spacing w:beforeLines="0" w:afterLines="0"/>
        <w:ind w:firstLine="640" w:firstLineChars="200"/>
        <w:jc w:val="left"/>
        <w:rPr>
          <w:rFonts w:hint="eastAsia" w:ascii="仿宋_GB2312" w:hAnsi="宋体"/>
          <w:spacing w:val="10"/>
          <w:sz w:val="30"/>
          <w:szCs w:val="24"/>
        </w:rPr>
      </w:pPr>
      <w:r>
        <w:rPr>
          <w:rFonts w:hint="eastAsia" w:ascii="仿宋_GB2312" w:hAnsi="宋体"/>
          <w:spacing w:val="10"/>
          <w:sz w:val="30"/>
          <w:szCs w:val="24"/>
        </w:rPr>
        <w:t>由于理财资金管理运用过程中，可能会面临多种风险因素，理财非存款，产品有风险、投资须谨慎，因此，根据中国银行保险监督管理委员会相关监管规定的要求，在您选择认购本理财产品前，请仔细阅读以下重要内容：</w:t>
      </w:r>
    </w:p>
    <w:p>
      <w:pPr>
        <w:spacing w:beforeLines="0" w:afterLines="0"/>
        <w:ind w:firstLine="640" w:firstLineChars="200"/>
        <w:rPr>
          <w:rFonts w:hint="eastAsia" w:ascii="仿宋_GB2312" w:hAnsi="宋体"/>
          <w:spacing w:val="10"/>
          <w:sz w:val="30"/>
          <w:szCs w:val="24"/>
        </w:rPr>
      </w:pPr>
      <w:r>
        <w:rPr>
          <w:rFonts w:hint="eastAsia" w:ascii="仿宋_GB2312" w:hAnsi="宋体"/>
          <w:spacing w:val="10"/>
          <w:sz w:val="30"/>
          <w:szCs w:val="24"/>
        </w:rPr>
        <w:t>投资本理财产品有风险，投资者应充分认识以下风险，谨慎投资。以下谨就本理财产品项下可能面临的风险举例提示：</w:t>
      </w:r>
    </w:p>
    <w:p>
      <w:pPr>
        <w:spacing w:beforeLines="0" w:afterLines="0"/>
        <w:ind w:firstLine="640" w:firstLineChars="200"/>
        <w:rPr>
          <w:rFonts w:hint="eastAsia" w:ascii="仿宋_GB2312" w:hAnsi="宋体"/>
          <w:spacing w:val="10"/>
          <w:sz w:val="30"/>
          <w:szCs w:val="24"/>
        </w:rPr>
      </w:pPr>
      <w:r>
        <w:rPr>
          <w:rFonts w:hint="eastAsia" w:ascii="仿宋_GB2312" w:hAnsi="宋体"/>
          <w:spacing w:val="10"/>
          <w:sz w:val="30"/>
          <w:szCs w:val="24"/>
        </w:rPr>
        <w:t>（一）信用风险：由于本期理财产品的投资范围主要精选交易所及银行间市场高信用等级债券进行配置，以持有到期获得利息收入为主要操作方法。其中信用类债券包括企业发行的短期融资券、中期票据、企业债等。上述债券偿付风险较低，若出现发行主体到期不能偿还本息的风险事件，则会影响投资者收益，甚至发生本金损失。</w:t>
      </w:r>
    </w:p>
    <w:p>
      <w:pPr>
        <w:spacing w:beforeLines="0" w:afterLines="0"/>
        <w:ind w:firstLine="640" w:firstLineChars="200"/>
        <w:jc w:val="left"/>
        <w:rPr>
          <w:rFonts w:hint="eastAsia" w:ascii="仿宋_GB2312" w:hAnsi="宋体"/>
          <w:spacing w:val="10"/>
          <w:sz w:val="30"/>
          <w:szCs w:val="24"/>
        </w:rPr>
      </w:pPr>
      <w:r>
        <w:rPr>
          <w:rFonts w:hint="eastAsia" w:ascii="仿宋_GB2312" w:hAnsi="宋体"/>
          <w:spacing w:val="10"/>
          <w:sz w:val="30"/>
          <w:szCs w:val="24"/>
        </w:rPr>
        <w:t>（二）市场风险：理财产品面临的市场风险主要指因市场各种风险因子变动，使得理财产品配置资产的价格发生波动，导致理财产品本金或收益蒙受损失的风险。本行密切监控理财产品配置资产的交易情况，定期进行估值，如交易价格或成交量发生异动、重大事件发生时（债券发行人涉及亏损、诉讼等），及时采取相应措施，控制理财产品面临的市场风险。本期理财产品也将面临一定因相关金融工具市场价格波动而带来的市场风险。</w:t>
      </w:r>
    </w:p>
    <w:p>
      <w:pPr>
        <w:spacing w:beforeLines="0" w:afterLines="0"/>
        <w:ind w:firstLine="640" w:firstLineChars="200"/>
        <w:jc w:val="left"/>
        <w:rPr>
          <w:rFonts w:hint="eastAsia" w:ascii="仿宋_GB2312" w:hAnsi="宋体"/>
          <w:spacing w:val="10"/>
          <w:sz w:val="30"/>
          <w:szCs w:val="24"/>
        </w:rPr>
      </w:pPr>
      <w:r>
        <w:rPr>
          <w:rFonts w:hint="eastAsia" w:ascii="仿宋_GB2312" w:hAnsi="宋体"/>
          <w:spacing w:val="10"/>
          <w:sz w:val="30"/>
          <w:szCs w:val="24"/>
        </w:rPr>
        <w:t>（三）政策风险：国家有关法律、法规、规章、政策、税务的改变亦可能会导致市场变化，可能会导致本理财产品受理、投资运作、清算等业务受到不利影响，也可能导致本产品被宣告无效、撤销、解除或提前终止，从而影响投资者的收益。</w:t>
      </w:r>
    </w:p>
    <w:p>
      <w:pPr>
        <w:spacing w:beforeLines="0" w:afterLines="0"/>
        <w:ind w:firstLine="640" w:firstLineChars="200"/>
        <w:jc w:val="left"/>
        <w:rPr>
          <w:rFonts w:hint="eastAsia" w:ascii="仿宋_GB2312" w:hAnsi="宋体"/>
          <w:spacing w:val="10"/>
          <w:sz w:val="30"/>
          <w:szCs w:val="24"/>
        </w:rPr>
      </w:pPr>
      <w:r>
        <w:rPr>
          <w:rFonts w:hint="eastAsia" w:ascii="仿宋_GB2312" w:hAnsi="宋体"/>
          <w:spacing w:val="10"/>
          <w:sz w:val="30"/>
          <w:szCs w:val="24"/>
        </w:rPr>
        <w:t>（四）流动性风险：本理财产品存续期间，投资者只能在本产品说明书规定的时间内办理申购与赎回，这可能影响投资者的资金安排，带来流动性风险。理财产品存续期内任一工作日触发巨额赎回条款，此时紫金农商银行有权拒绝赎回申请，这可能影响投资者的资金安排，带来流动性风险。</w:t>
      </w:r>
    </w:p>
    <w:p>
      <w:pPr>
        <w:spacing w:beforeLines="0" w:afterLines="0"/>
        <w:ind w:firstLine="640" w:firstLineChars="200"/>
        <w:jc w:val="left"/>
        <w:rPr>
          <w:rFonts w:hint="eastAsia" w:ascii="仿宋_GB2312" w:hAnsi="宋体"/>
          <w:spacing w:val="10"/>
          <w:sz w:val="30"/>
          <w:szCs w:val="24"/>
        </w:rPr>
      </w:pPr>
      <w:r>
        <w:rPr>
          <w:rFonts w:hint="eastAsia" w:ascii="仿宋_GB2312" w:hAnsi="宋体"/>
          <w:spacing w:val="10"/>
          <w:sz w:val="30"/>
          <w:szCs w:val="24"/>
        </w:rPr>
        <w:t>（五）交易对手风险：理财产品面临的交易对手风险主要是指本行为理财产品配置资产的过程中，因交易对手违约而导致理财产品本金或收益蒙受损失的风险。</w:t>
      </w:r>
    </w:p>
    <w:p>
      <w:pPr>
        <w:spacing w:beforeLines="0" w:afterLines="0"/>
        <w:ind w:firstLine="640" w:firstLineChars="200"/>
        <w:jc w:val="left"/>
        <w:rPr>
          <w:rFonts w:hint="eastAsia" w:ascii="仿宋_GB2312" w:hAnsi="宋体"/>
          <w:spacing w:val="10"/>
          <w:sz w:val="30"/>
          <w:szCs w:val="24"/>
        </w:rPr>
      </w:pPr>
      <w:r>
        <w:rPr>
          <w:rFonts w:hint="eastAsia" w:ascii="仿宋_GB2312" w:hAnsi="宋体"/>
          <w:spacing w:val="10"/>
          <w:sz w:val="30"/>
          <w:szCs w:val="24"/>
        </w:rPr>
        <w:t>本行一方面在配置资产过程中严格选择信用水平较高的交易对手，另一方面参照同业统一授信的管理方式，加强对交易对手信用状况的跟踪调查，管理理财产品配置资产过程中的交易对手风险。</w:t>
      </w:r>
    </w:p>
    <w:p>
      <w:pPr>
        <w:spacing w:beforeLines="0" w:afterLines="0"/>
        <w:ind w:firstLine="640" w:firstLineChars="200"/>
        <w:jc w:val="left"/>
        <w:rPr>
          <w:rFonts w:hint="eastAsia" w:ascii="仿宋_GB2312" w:hAnsi="宋体"/>
          <w:spacing w:val="10"/>
          <w:sz w:val="30"/>
          <w:szCs w:val="24"/>
        </w:rPr>
      </w:pPr>
      <w:r>
        <w:rPr>
          <w:rFonts w:hint="eastAsia" w:ascii="仿宋_GB2312" w:hAnsi="宋体"/>
          <w:spacing w:val="10"/>
          <w:sz w:val="30"/>
          <w:szCs w:val="24"/>
        </w:rPr>
        <w:t>当期理财产品在资产配置过程中也面临一定的交易对手风险。</w:t>
      </w:r>
    </w:p>
    <w:p>
      <w:pPr>
        <w:spacing w:beforeLines="0" w:afterLines="0"/>
        <w:ind w:firstLine="640" w:firstLineChars="200"/>
        <w:jc w:val="left"/>
        <w:rPr>
          <w:rFonts w:hint="eastAsia" w:ascii="仿宋_GB2312" w:hAnsi="宋体"/>
          <w:spacing w:val="10"/>
          <w:sz w:val="30"/>
          <w:szCs w:val="24"/>
        </w:rPr>
      </w:pPr>
      <w:r>
        <w:rPr>
          <w:rFonts w:hint="eastAsia" w:ascii="仿宋_GB2312" w:hAnsi="宋体"/>
          <w:spacing w:val="10"/>
          <w:sz w:val="30"/>
          <w:szCs w:val="24"/>
        </w:rPr>
        <w:t>（六）信息传递风险：理财产品面临的信息传递风险是指由于投资者未能及时主动了解产品信息，或由于通信故障、系统故障以及其他不可抗力等因素的影响，使得投资者无法及时了解产品信息，而导致投资者无法及时做出合理决策，致使投资蒙受损失的风险。</w:t>
      </w:r>
    </w:p>
    <w:p>
      <w:pPr>
        <w:spacing w:beforeLines="0" w:afterLines="0"/>
        <w:ind w:firstLine="640" w:firstLineChars="200"/>
        <w:jc w:val="left"/>
        <w:rPr>
          <w:rFonts w:hint="eastAsia" w:ascii="仿宋_GB2312" w:hAnsi="宋体"/>
          <w:spacing w:val="10"/>
          <w:sz w:val="30"/>
          <w:szCs w:val="24"/>
        </w:rPr>
      </w:pPr>
      <w:r>
        <w:rPr>
          <w:rFonts w:hint="eastAsia" w:ascii="仿宋_GB2312" w:hAnsi="宋体"/>
          <w:spacing w:val="10"/>
          <w:sz w:val="30"/>
          <w:szCs w:val="24"/>
        </w:rPr>
        <w:t>本行按照当期理财产品说明书有关条款的约定，发布当期理财产品的运作、净值、到期清算或提前终止等信息公告。投资者应根据约定及时登陆紫金农商银行网站（www.zjrcbank.com）查询，如果投资者未及时查询，或由于通信故障、系统故障以及其他不可抗力等因素的影响使得投资者无法及时了解产品信息，因此而产生的责任和风险由投资者自行承担；另外，投资者预留在紫金农商银行的有效联系方式进行变更的，应及时告知紫金农商银行，如投资者未及时告知紫金农商银行联系方式变更的，紫金农商银行可能在需要时无法及时联系投资者，并可能会由此影响投资者的决策，由此产生的责任和风险由投资者自行承担。</w:t>
      </w:r>
    </w:p>
    <w:p>
      <w:pPr>
        <w:spacing w:beforeLines="0" w:afterLines="0"/>
        <w:ind w:firstLine="640" w:firstLineChars="200"/>
        <w:jc w:val="left"/>
        <w:rPr>
          <w:rFonts w:hint="eastAsia" w:ascii="仿宋_GB2312" w:hAnsi="宋体"/>
          <w:spacing w:val="10"/>
          <w:sz w:val="30"/>
          <w:szCs w:val="24"/>
        </w:rPr>
      </w:pPr>
      <w:r>
        <w:rPr>
          <w:rFonts w:hint="eastAsia" w:ascii="仿宋_GB2312" w:hAnsi="宋体"/>
          <w:spacing w:val="10"/>
          <w:sz w:val="30"/>
          <w:szCs w:val="24"/>
        </w:rPr>
        <w:t>（七）不可抗力风险：理财产品面临的不可抗力风险是指由于战争、重大自然灾害等不可抗力因素的出现，严重影响金融市场的正常运行，从而导致理财产品受到干扰和破坏，甚至影响理财产品的受理、投资、兑付等事宜的正常进行，进而导致投资者蒙受损失的风险。由此产生的风险由投资者自行承担。</w:t>
      </w:r>
    </w:p>
    <w:p>
      <w:pPr>
        <w:spacing w:beforeLines="0" w:afterLines="0"/>
        <w:ind w:firstLine="640" w:firstLineChars="200"/>
        <w:jc w:val="left"/>
        <w:rPr>
          <w:rFonts w:hint="eastAsia" w:ascii="仿宋_GB2312" w:hAnsi="宋体"/>
          <w:spacing w:val="10"/>
          <w:sz w:val="30"/>
          <w:szCs w:val="24"/>
        </w:rPr>
      </w:pPr>
      <w:r>
        <w:rPr>
          <w:rFonts w:hint="eastAsia" w:ascii="仿宋_GB2312" w:hAnsi="宋体"/>
          <w:spacing w:val="10"/>
          <w:sz w:val="30"/>
          <w:szCs w:val="24"/>
        </w:rPr>
        <w:t xml:space="preserve">在您签署本理财产品的协议书前，应当仔细阅读本风险揭示书及本理财产品的产品说明书、客户权益须知的全部内容，同时向我行了解了本理财产品的其他相关信息，并自己独立作出是否认购本理财产品的决定。您签署本理财产品协议书，并将资金委托给我行运作是您真实的意思表示。本风险揭示书及相应紫金农商银行产品协议书、理财产品说明书和客户权益须知将共同构成贵我双方理财合同的有效组成部分。 </w:t>
      </w:r>
    </w:p>
    <w:p>
      <w:pPr>
        <w:spacing w:beforeLines="0" w:afterLines="0"/>
        <w:ind w:firstLine="640" w:firstLineChars="200"/>
        <w:jc w:val="left"/>
        <w:rPr>
          <w:rFonts w:hint="eastAsia" w:ascii="仿宋_GB2312" w:hAnsi="宋体"/>
          <w:spacing w:val="10"/>
          <w:sz w:val="30"/>
          <w:szCs w:val="24"/>
        </w:rPr>
      </w:pPr>
      <w:r>
        <w:rPr>
          <w:rFonts w:hint="eastAsia" w:ascii="仿宋_GB2312" w:hAnsi="宋体"/>
          <w:spacing w:val="10"/>
          <w:sz w:val="30"/>
          <w:szCs w:val="24"/>
        </w:rPr>
        <w:t>理财产品适合度评估：</w:t>
      </w:r>
    </w:p>
    <w:tbl>
      <w:tblPr>
        <w:tblStyle w:val="4"/>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4258"/>
        <w:gridCol w:w="4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342" w:hRule="atLeast"/>
        </w:trPr>
        <w:tc>
          <w:tcPr>
            <w:tcW w:w="425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76" w:lineRule="auto"/>
              <w:ind w:firstLine="358" w:firstLineChars="199"/>
              <w:jc w:val="left"/>
              <w:rPr>
                <w:rFonts w:hint="eastAsia" w:ascii="仿宋_GB2312"/>
                <w:kern w:val="0"/>
                <w:sz w:val="18"/>
                <w:szCs w:val="24"/>
              </w:rPr>
            </w:pPr>
            <w:r>
              <w:rPr>
                <w:rFonts w:hint="eastAsia" w:ascii="仿宋_GB2312"/>
                <w:kern w:val="0"/>
                <w:sz w:val="18"/>
                <w:szCs w:val="24"/>
              </w:rPr>
              <w:t>客户投资风险属性评估结果</w:t>
            </w:r>
          </w:p>
        </w:tc>
        <w:tc>
          <w:tcPr>
            <w:tcW w:w="425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76" w:lineRule="auto"/>
              <w:ind w:firstLine="358" w:firstLineChars="199"/>
              <w:jc w:val="left"/>
              <w:rPr>
                <w:rFonts w:hint="eastAsia" w:ascii="仿宋_GB2312"/>
                <w:kern w:val="0"/>
                <w:sz w:val="18"/>
                <w:szCs w:val="24"/>
                <w:lang w:eastAsia="en-US"/>
              </w:rPr>
            </w:pPr>
            <w:r>
              <w:rPr>
                <w:rFonts w:hint="eastAsia" w:ascii="仿宋_GB2312"/>
                <w:kern w:val="0"/>
                <w:sz w:val="18"/>
                <w:szCs w:val="24"/>
                <w:lang w:eastAsia="en-US"/>
              </w:rPr>
              <w:t>□低　　□中低</w:t>
            </w:r>
            <w:r>
              <w:rPr>
                <w:rFonts w:hint="eastAsia" w:ascii="仿宋_GB2312"/>
                <w:kern w:val="0"/>
                <w:sz w:val="18"/>
                <w:szCs w:val="24"/>
                <w:lang w:eastAsia="en-US"/>
              </w:rPr>
              <w:tab/>
            </w:r>
            <w:r>
              <w:rPr>
                <w:rFonts w:hint="eastAsia" w:ascii="仿宋_GB2312"/>
                <w:kern w:val="0"/>
                <w:sz w:val="18"/>
                <w:szCs w:val="24"/>
                <w:lang w:eastAsia="en-US"/>
              </w:rPr>
              <w:t xml:space="preserve"> </w:t>
            </w:r>
            <w:r>
              <w:rPr>
                <w:rFonts w:hint="eastAsia" w:ascii="仿宋_GB2312"/>
                <w:kern w:val="0"/>
                <w:sz w:val="18"/>
                <w:szCs w:val="24"/>
              </w:rPr>
              <w:t xml:space="preserve">  </w:t>
            </w:r>
            <w:r>
              <w:rPr>
                <w:rFonts w:hint="eastAsia" w:ascii="仿宋_GB2312"/>
                <w:kern w:val="0"/>
                <w:sz w:val="18"/>
                <w:szCs w:val="24"/>
                <w:lang w:eastAsia="en-US"/>
              </w:rPr>
              <w:t>□中等　　□中高　　□高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342" w:hRule="atLeast"/>
        </w:trPr>
        <w:tc>
          <w:tcPr>
            <w:tcW w:w="425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76" w:lineRule="auto"/>
              <w:ind w:firstLine="358" w:firstLineChars="199"/>
              <w:jc w:val="left"/>
              <w:rPr>
                <w:rFonts w:hint="eastAsia" w:ascii="仿宋_GB2312"/>
                <w:kern w:val="0"/>
                <w:sz w:val="18"/>
                <w:szCs w:val="24"/>
              </w:rPr>
            </w:pPr>
            <w:r>
              <w:rPr>
                <w:rFonts w:hint="eastAsia" w:ascii="仿宋_GB2312"/>
                <w:kern w:val="0"/>
                <w:sz w:val="18"/>
                <w:szCs w:val="24"/>
              </w:rPr>
              <w:t>产品风险等级（银行填写）</w:t>
            </w:r>
          </w:p>
        </w:tc>
        <w:tc>
          <w:tcPr>
            <w:tcW w:w="4258"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76" w:lineRule="auto"/>
              <w:ind w:firstLine="358" w:firstLineChars="199"/>
              <w:jc w:val="left"/>
              <w:rPr>
                <w:rFonts w:hint="eastAsia" w:ascii="仿宋_GB2312"/>
                <w:kern w:val="0"/>
                <w:sz w:val="18"/>
                <w:szCs w:val="24"/>
                <w:lang w:eastAsia="en-US"/>
              </w:rPr>
            </w:pPr>
            <w:r>
              <w:rPr>
                <w:rFonts w:hint="eastAsia" w:ascii="仿宋_GB2312"/>
                <w:kern w:val="0"/>
                <w:sz w:val="18"/>
                <w:szCs w:val="24"/>
                <w:lang w:eastAsia="en-US"/>
              </w:rPr>
              <w:t>□低　　□中低　　□中等　　□中高　　□高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wBefore w:w="0" w:type="dxa"/>
          <w:wAfter w:w="0" w:type="dxa"/>
          <w:trHeight w:val="342" w:hRule="atLeast"/>
        </w:trPr>
        <w:tc>
          <w:tcPr>
            <w:tcW w:w="851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276" w:lineRule="auto"/>
              <w:ind w:firstLine="358" w:firstLineChars="199"/>
              <w:jc w:val="left"/>
              <w:rPr>
                <w:rFonts w:hint="eastAsia" w:ascii="仿宋_GB2312"/>
                <w:kern w:val="0"/>
                <w:sz w:val="18"/>
                <w:szCs w:val="24"/>
              </w:rPr>
            </w:pPr>
            <w:r>
              <w:rPr>
                <w:rFonts w:hint="eastAsia" w:ascii="仿宋_GB2312"/>
                <w:kern w:val="0"/>
                <w:sz w:val="18"/>
                <w:szCs w:val="24"/>
              </w:rPr>
              <w:t>说明：</w:t>
            </w:r>
          </w:p>
          <w:p>
            <w:pPr>
              <w:spacing w:beforeLines="0" w:afterLines="0" w:line="276" w:lineRule="auto"/>
              <w:ind w:firstLine="358" w:firstLineChars="199"/>
              <w:jc w:val="left"/>
              <w:rPr>
                <w:rFonts w:hint="eastAsia" w:ascii="仿宋_GB2312"/>
                <w:kern w:val="0"/>
                <w:sz w:val="18"/>
                <w:szCs w:val="24"/>
              </w:rPr>
            </w:pPr>
            <w:r>
              <w:rPr>
                <w:rFonts w:hint="eastAsia" w:ascii="仿宋_GB2312"/>
                <w:kern w:val="0"/>
                <w:sz w:val="18"/>
                <w:szCs w:val="24"/>
              </w:rPr>
              <w:t>1、产品风险等级为高级适合风险属性为高的客户。</w:t>
            </w:r>
          </w:p>
          <w:p>
            <w:pPr>
              <w:spacing w:beforeLines="0" w:afterLines="0" w:line="276" w:lineRule="auto"/>
              <w:ind w:firstLine="358" w:firstLineChars="199"/>
              <w:jc w:val="left"/>
              <w:rPr>
                <w:rFonts w:hint="eastAsia" w:ascii="仿宋_GB2312"/>
                <w:kern w:val="0"/>
                <w:sz w:val="18"/>
                <w:szCs w:val="24"/>
              </w:rPr>
            </w:pPr>
            <w:r>
              <w:rPr>
                <w:rFonts w:hint="eastAsia" w:ascii="仿宋_GB2312"/>
                <w:kern w:val="0"/>
                <w:sz w:val="18"/>
                <w:szCs w:val="24"/>
              </w:rPr>
              <w:t>2、产品风险等级为中高级适合风险属性为中高、高的客户。</w:t>
            </w:r>
          </w:p>
          <w:p>
            <w:pPr>
              <w:spacing w:beforeLines="0" w:afterLines="0" w:line="276" w:lineRule="auto"/>
              <w:ind w:firstLine="358" w:firstLineChars="199"/>
              <w:jc w:val="left"/>
              <w:rPr>
                <w:rFonts w:hint="eastAsia" w:ascii="仿宋_GB2312"/>
                <w:kern w:val="0"/>
                <w:sz w:val="18"/>
                <w:szCs w:val="24"/>
              </w:rPr>
            </w:pPr>
            <w:r>
              <w:rPr>
                <w:rFonts w:hint="eastAsia" w:ascii="仿宋_GB2312"/>
                <w:kern w:val="0"/>
                <w:sz w:val="18"/>
                <w:szCs w:val="24"/>
              </w:rPr>
              <w:t>3、产品风险等级为中级适合风险属性为中等、中高、高的客户。</w:t>
            </w:r>
          </w:p>
          <w:p>
            <w:pPr>
              <w:spacing w:beforeLines="0" w:afterLines="0" w:line="276" w:lineRule="auto"/>
              <w:ind w:firstLine="358" w:firstLineChars="199"/>
              <w:jc w:val="left"/>
              <w:rPr>
                <w:rFonts w:hint="eastAsia" w:ascii="仿宋_GB2312"/>
                <w:kern w:val="0"/>
                <w:sz w:val="18"/>
                <w:szCs w:val="24"/>
              </w:rPr>
            </w:pPr>
            <w:r>
              <w:rPr>
                <w:rFonts w:hint="eastAsia" w:ascii="仿宋_GB2312"/>
                <w:kern w:val="0"/>
                <w:sz w:val="18"/>
                <w:szCs w:val="24"/>
              </w:rPr>
              <w:t>4、产品风险等级为中低级适合风险属性为中低、中等、中高、高的客户。</w:t>
            </w:r>
          </w:p>
          <w:p>
            <w:pPr>
              <w:spacing w:beforeLines="0" w:afterLines="0" w:line="276" w:lineRule="auto"/>
              <w:ind w:firstLine="358" w:firstLineChars="199"/>
              <w:jc w:val="left"/>
              <w:rPr>
                <w:rFonts w:hint="eastAsia" w:ascii="仿宋_GB2312"/>
                <w:kern w:val="0"/>
                <w:sz w:val="18"/>
                <w:szCs w:val="24"/>
              </w:rPr>
            </w:pPr>
            <w:r>
              <w:rPr>
                <w:rFonts w:hint="eastAsia" w:ascii="仿宋_GB2312"/>
                <w:kern w:val="0"/>
                <w:sz w:val="18"/>
                <w:szCs w:val="24"/>
              </w:rPr>
              <w:t>5、产品风险等级为低级适合风险属性为低、中低、中等、中高、高的客户。</w:t>
            </w:r>
          </w:p>
        </w:tc>
      </w:tr>
    </w:tbl>
    <w:p>
      <w:pPr>
        <w:spacing w:beforeLines="0" w:afterLines="0" w:line="360" w:lineRule="exact"/>
        <w:ind w:firstLine="460" w:firstLineChars="200"/>
        <w:jc w:val="right"/>
        <w:rPr>
          <w:rFonts w:hint="eastAsia" w:ascii="仿宋_GB2312" w:hAnsi="宋体"/>
          <w:spacing w:val="10"/>
          <w:sz w:val="21"/>
          <w:szCs w:val="24"/>
        </w:rPr>
      </w:pPr>
      <w:r>
        <w:rPr>
          <w:rFonts w:hint="eastAsia" w:ascii="仿宋_GB2312" w:hAnsi="宋体"/>
          <w:spacing w:val="10"/>
          <w:sz w:val="21"/>
          <w:szCs w:val="24"/>
        </w:rPr>
        <w:t xml:space="preserve">风险提示方： 江苏紫金农村商业银行股份有限公司 </w:t>
      </w:r>
    </w:p>
    <w:p>
      <w:pPr>
        <w:spacing w:beforeLines="0" w:afterLines="0" w:line="360" w:lineRule="exact"/>
        <w:ind w:firstLine="460" w:firstLineChars="200"/>
        <w:rPr>
          <w:rFonts w:hint="eastAsia" w:ascii="仿宋_GB2312" w:hAnsi="宋体"/>
          <w:spacing w:val="10"/>
          <w:sz w:val="21"/>
          <w:szCs w:val="24"/>
        </w:rPr>
      </w:pPr>
    </w:p>
    <w:p>
      <w:pPr>
        <w:spacing w:beforeLines="0" w:afterLines="0"/>
        <w:rPr>
          <w:rFonts w:hint="eastAsia" w:ascii="黑体" w:hAnsi="黑体" w:eastAsia="黑体"/>
          <w:sz w:val="32"/>
          <w:szCs w:val="24"/>
        </w:rPr>
      </w:pPr>
    </w:p>
    <w:p>
      <w:pPr>
        <w:spacing w:beforeLines="0" w:afterLines="0"/>
        <w:rPr>
          <w:rFonts w:hint="eastAsia" w:ascii="黑体" w:hAnsi="黑体" w:eastAsia="黑体"/>
          <w:sz w:val="32"/>
          <w:szCs w:val="24"/>
        </w:rPr>
        <w:sectPr>
          <w:pgSz w:w="12240" w:h="15840"/>
          <w:pgMar w:top="1440" w:right="1800" w:bottom="1440" w:left="1800" w:header="720" w:footer="720" w:gutter="0"/>
          <w:lnNumType w:countBy="0" w:distance="360"/>
          <w:cols w:space="720" w:num="1"/>
          <w:docGrid w:type="lines" w:linePitch="312" w:charSpace="0"/>
        </w:sect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yNDgwZjBkOWY5YWRjYTA4Zjk3MDE4M2EzN2U2MGUifQ=="/>
  </w:docVars>
  <w:rsids>
    <w:rsidRoot w:val="00172A27"/>
    <w:rsid w:val="71AF5A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spacing w:beforeLines="0" w:afterLines="0"/>
      <w:jc w:val="both"/>
    </w:pPr>
    <w:rPr>
      <w:rFonts w:hint="default" w:ascii="Times New Roman" w:hAnsi="Times New Roman" w:eastAsia="仿宋_GB2312"/>
      <w:kern w:val="2"/>
      <w:sz w:val="30"/>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unhideWhenUsed/>
    <w:uiPriority w:val="0"/>
    <w:pPr>
      <w:snapToGrid w:val="0"/>
      <w:spacing w:beforeLines="0" w:afterLines="0" w:line="260" w:lineRule="exact"/>
    </w:pPr>
    <w:rPr>
      <w:rFonts w:hint="default" w:eastAsia="宋体"/>
      <w:sz w:val="21"/>
      <w:szCs w:val="24"/>
    </w:rPr>
  </w:style>
  <w:style w:type="paragraph" w:styleId="3">
    <w:name w:val="footer"/>
    <w:basedOn w:val="1"/>
    <w:unhideWhenUsed/>
    <w:uiPriority w:val="99"/>
    <w:pPr>
      <w:tabs>
        <w:tab w:val="center" w:pos="4153"/>
        <w:tab w:val="right" w:pos="8306"/>
      </w:tabs>
      <w:snapToGrid w:val="0"/>
      <w:spacing w:beforeLines="0" w:afterLines="0"/>
      <w:jc w:val="left"/>
    </w:pPr>
    <w:rPr>
      <w:rFonts w:hint="default"/>
      <w:sz w:val="1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2023-02-16T10:57:28Z</dcterms:created>
  <dc:creator>永远相信美好的事情即将发生</dc:creator>
  <cp:lastModifiedBy>王晓波1388144747</cp:lastModifiedBy>
  <dcterms:modified xsi:type="dcterms:W3CDTF">2023-02-16T10:58:04Z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62D89DB59D4D4662B1DB439E911BFF7B</vt:lpwstr>
  </property>
</Properties>
</file>