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“苏银理财</w:t>
      </w:r>
      <w:r>
        <w:rPr>
          <w:rFonts w:hint="eastAsia" w:ascii="楷体" w:hAnsi="楷体" w:eastAsia="楷体" w:cs="楷体"/>
          <w:b/>
          <w:color w:val="auto"/>
          <w:sz w:val="28"/>
          <w:szCs w:val="28"/>
          <w:lang w:eastAsia="zh-CN"/>
        </w:rPr>
        <w:t>恒源封闭债权27</w:t>
      </w:r>
      <w:r>
        <w:rPr>
          <w:rFonts w:hint="eastAsia" w:ascii="楷体" w:hAnsi="楷体" w:eastAsia="楷体" w:cs="楷体"/>
          <w:b/>
          <w:color w:val="auto"/>
          <w:sz w:val="28"/>
          <w:szCs w:val="28"/>
          <w:lang w:val="en-US" w:eastAsia="zh-CN"/>
        </w:rPr>
        <w:t>7</w:t>
      </w:r>
      <w:r>
        <w:rPr>
          <w:rFonts w:hint="eastAsia" w:ascii="楷体" w:hAnsi="楷体" w:eastAsia="楷体" w:cs="楷体"/>
          <w:b/>
          <w:color w:val="auto"/>
          <w:sz w:val="28"/>
          <w:szCs w:val="28"/>
          <w:lang w:eastAsia="zh-CN"/>
        </w:rPr>
        <w:t>期优选2年</w:t>
      </w:r>
      <w:r>
        <w:rPr>
          <w:rFonts w:hint="eastAsia" w:ascii="楷体" w:hAnsi="楷体" w:eastAsia="楷体" w:cs="楷体"/>
          <w:b/>
          <w:color w:val="auto"/>
          <w:sz w:val="28"/>
          <w:szCs w:val="28"/>
        </w:rPr>
        <w:t>”理财产品风险揭示书</w:t>
      </w:r>
    </w:p>
    <w:p>
      <w:pPr>
        <w:spacing w:line="240" w:lineRule="auto"/>
        <w:jc w:val="center"/>
        <w:rPr>
          <w:rFonts w:hint="eastAsia" w:ascii="楷体" w:hAnsi="楷体" w:eastAsia="楷体" w:cs="楷体"/>
          <w:b/>
          <w:color w:val="auto"/>
          <w:kern w:val="0"/>
          <w:sz w:val="28"/>
          <w:szCs w:val="28"/>
        </w:rPr>
      </w:pPr>
      <w:r>
        <w:rPr>
          <w:rFonts w:hint="eastAsia" w:ascii="楷体" w:hAnsi="楷体" w:eastAsia="楷体" w:cs="楷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由于理财资金在管理运用过程中可能面临多种风险因素，根据</w:t>
      </w:r>
      <w:r>
        <w:rPr>
          <w:rFonts w:hint="eastAsia" w:ascii="楷体" w:hAnsi="楷体" w:eastAsia="楷体" w:cs="楷体"/>
          <w:sz w:val="21"/>
          <w:szCs w:val="21"/>
          <w:lang w:val="en-US" w:eastAsia="zh-CN"/>
        </w:rPr>
        <w:t>国家金融监督管理总局（以下简称“金融监管总局”）</w:t>
      </w:r>
      <w:r>
        <w:rPr>
          <w:rFonts w:hint="eastAsia" w:ascii="楷体" w:hAnsi="楷体" w:eastAsia="楷体" w:cs="楷体"/>
          <w:color w:val="auto"/>
          <w:sz w:val="21"/>
          <w:szCs w:val="21"/>
        </w:rPr>
        <w:t>相关监管规定，苏银理财有限责任公司（以下简称“苏银理财”</w:t>
      </w:r>
      <w:r>
        <w:rPr>
          <w:rFonts w:hint="eastAsia" w:ascii="楷体" w:hAnsi="楷体" w:eastAsia="楷体" w:cs="楷体"/>
          <w:color w:val="auto"/>
          <w:sz w:val="21"/>
          <w:szCs w:val="21"/>
          <w:lang w:val="en-US" w:eastAsia="zh-CN"/>
        </w:rPr>
        <w:t>或“管理人”</w:t>
      </w:r>
      <w:r>
        <w:rPr>
          <w:rFonts w:hint="eastAsia" w:ascii="楷体" w:hAnsi="楷体" w:eastAsia="楷体" w:cs="楷体"/>
          <w:color w:val="auto"/>
          <w:sz w:val="21"/>
          <w:szCs w:val="21"/>
        </w:rPr>
        <w:t>）作为本理财产品的产品管理人郑重提示您：在您选择购买理财产品前，请仔细阅读本理财产品</w:t>
      </w:r>
      <w:r>
        <w:rPr>
          <w:rFonts w:hint="eastAsia" w:ascii="楷体" w:hAnsi="楷体" w:eastAsia="楷体" w:cs="楷体"/>
          <w:color w:val="auto"/>
          <w:sz w:val="21"/>
          <w:szCs w:val="21"/>
          <w:lang w:val="en-US" w:eastAsia="zh-CN"/>
        </w:rPr>
        <w:t>完整销售文件</w:t>
      </w:r>
      <w:r>
        <w:rPr>
          <w:rFonts w:hint="eastAsia" w:ascii="楷体" w:hAnsi="楷体" w:eastAsia="楷体" w:cs="楷体"/>
          <w:color w:val="auto"/>
          <w:sz w:val="21"/>
          <w:szCs w:val="21"/>
        </w:rPr>
        <w:t>（包括《风险揭示书》、《理财产品说明书》、《</w:t>
      </w:r>
      <w:r>
        <w:rPr>
          <w:rFonts w:hint="eastAsia" w:ascii="楷体" w:hAnsi="楷体" w:eastAsia="楷体" w:cs="楷体"/>
          <w:color w:val="auto"/>
          <w:sz w:val="21"/>
          <w:szCs w:val="21"/>
          <w:lang w:val="en-US" w:eastAsia="zh-CN"/>
        </w:rPr>
        <w:t>理财</w:t>
      </w:r>
      <w:r>
        <w:rPr>
          <w:rFonts w:hint="eastAsia" w:ascii="楷体" w:hAnsi="楷体" w:eastAsia="楷体" w:cs="楷体"/>
          <w:color w:val="auto"/>
          <w:sz w:val="21"/>
          <w:szCs w:val="21"/>
        </w:rPr>
        <w:t>产品投资协议书》</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《投资者权益须知》</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rPr>
        <w:t>《</w:t>
      </w:r>
      <w:r>
        <w:rPr>
          <w:rFonts w:hint="eastAsia" w:ascii="楷体" w:hAnsi="楷体" w:eastAsia="楷体" w:cs="楷体"/>
          <w:color w:val="auto"/>
          <w:sz w:val="21"/>
          <w:szCs w:val="21"/>
          <w:lang w:eastAsia="zh-CN"/>
        </w:rPr>
        <w:t>理财产品（代理）销售协议书</w:t>
      </w:r>
      <w:r>
        <w:rPr>
          <w:rFonts w:hint="eastAsia" w:ascii="楷体" w:hAnsi="楷体" w:eastAsia="楷体" w:cs="楷体"/>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苏银理财作为本理财产品管理人承诺以诚实信用、勤勉尽责的原则管理和运用理财产品资产，</w:t>
      </w:r>
      <w:r>
        <w:rPr>
          <w:rFonts w:hint="eastAsia" w:ascii="楷体" w:hAnsi="楷体" w:eastAsia="楷体" w:cs="楷体"/>
          <w:b/>
          <w:color w:val="auto"/>
          <w:sz w:val="21"/>
          <w:szCs w:val="21"/>
          <w:u w:val="single"/>
        </w:rPr>
        <w:t>但不保证理财产品一定盈利，也不保证最低收益，极端情况下有可能会损失部分甚至全部本金。</w:t>
      </w:r>
      <w:r>
        <w:rPr>
          <w:rFonts w:hint="eastAsia" w:ascii="楷体" w:hAnsi="楷体" w:eastAsia="楷体" w:cs="楷体"/>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政策风险：</w:t>
      </w:r>
      <w:r>
        <w:rPr>
          <w:rFonts w:hint="eastAsia" w:ascii="楷体" w:hAnsi="楷体" w:eastAsia="楷体" w:cs="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信用风险：</w:t>
      </w:r>
      <w:r>
        <w:rPr>
          <w:rFonts w:hint="eastAsia" w:ascii="楷体" w:hAnsi="楷体" w:eastAsia="楷体" w:cs="楷体"/>
          <w:color w:val="auto"/>
          <w:sz w:val="21"/>
          <w:szCs w:val="21"/>
        </w:rPr>
        <w:t>本理财产品</w:t>
      </w:r>
      <w:r>
        <w:rPr>
          <w:rFonts w:hint="eastAsia" w:ascii="楷体" w:hAnsi="楷体" w:eastAsia="楷体" w:cs="楷体"/>
          <w:color w:val="auto"/>
          <w:sz w:val="21"/>
          <w:szCs w:val="21"/>
          <w:lang w:val="en-US" w:eastAsia="zh-CN"/>
        </w:rPr>
        <w:t>投资于各类金融</w:t>
      </w:r>
      <w:r>
        <w:rPr>
          <w:rFonts w:hint="eastAsia" w:ascii="楷体" w:hAnsi="楷体" w:eastAsia="楷体" w:cs="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s="楷体"/>
          <w:color w:val="auto"/>
          <w:sz w:val="21"/>
          <w:szCs w:val="21"/>
          <w:lang w:val="en-US" w:eastAsia="zh-CN"/>
        </w:rPr>
        <w:t>管理人</w:t>
      </w:r>
      <w:r>
        <w:rPr>
          <w:rFonts w:hint="eastAsia" w:ascii="楷体" w:hAnsi="楷体" w:eastAsia="楷体" w:cs="楷体"/>
          <w:color w:val="auto"/>
          <w:sz w:val="21"/>
          <w:szCs w:val="21"/>
        </w:rPr>
        <w:t>将按照投资实际收益情况，并以资产变现实际收到的资金为限支付投资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收益，投资</w:t>
      </w:r>
      <w:r>
        <w:rPr>
          <w:rFonts w:hint="eastAsia" w:ascii="楷体" w:hAnsi="楷体" w:eastAsia="楷体" w:cs="楷体"/>
          <w:color w:val="auto"/>
          <w:sz w:val="21"/>
          <w:szCs w:val="21"/>
          <w:lang w:val="en-US" w:eastAsia="zh-CN"/>
        </w:rPr>
        <w:t>者</w:t>
      </w:r>
      <w:r>
        <w:rPr>
          <w:rFonts w:hint="eastAsia" w:ascii="楷体" w:hAnsi="楷体" w:eastAsia="楷体" w:cs="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市场风险：</w:t>
      </w:r>
      <w:r>
        <w:rPr>
          <w:rFonts w:hint="eastAsia" w:ascii="楷体" w:hAnsi="楷体" w:eastAsia="楷体" w:cs="楷体"/>
          <w:color w:val="auto"/>
          <w:sz w:val="21"/>
          <w:szCs w:val="21"/>
        </w:rPr>
        <w:t>本理财产品投资</w:t>
      </w:r>
      <w:r>
        <w:rPr>
          <w:rFonts w:hint="eastAsia" w:ascii="楷体" w:hAnsi="楷体" w:eastAsia="楷体" w:cs="楷体"/>
          <w:color w:val="auto"/>
          <w:sz w:val="21"/>
          <w:szCs w:val="21"/>
          <w:lang w:val="en-US" w:eastAsia="zh-CN"/>
        </w:rPr>
        <w:t>的金融</w:t>
      </w:r>
      <w:r>
        <w:rPr>
          <w:rFonts w:hint="eastAsia" w:ascii="楷体" w:hAnsi="楷体" w:eastAsia="楷体" w:cs="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b/>
          <w:color w:val="auto"/>
          <w:sz w:val="21"/>
          <w:szCs w:val="21"/>
          <w:highlight w:val="none"/>
        </w:rPr>
      </w:pPr>
      <w:r>
        <w:rPr>
          <w:rFonts w:hint="eastAsia" w:ascii="楷体" w:hAnsi="楷体" w:eastAsia="楷体" w:cs="楷体"/>
          <w:b/>
          <w:color w:val="auto"/>
          <w:sz w:val="21"/>
          <w:szCs w:val="21"/>
          <w:highlight w:val="none"/>
        </w:rPr>
        <w:t>流动性风险：</w:t>
      </w:r>
      <w:r>
        <w:rPr>
          <w:rFonts w:hint="eastAsia" w:ascii="楷体" w:hAnsi="楷体" w:eastAsia="楷体" w:cs="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cs="楷体"/>
          <w:b w:val="0"/>
          <w:bCs/>
          <w:color w:val="auto"/>
          <w:sz w:val="21"/>
          <w:szCs w:val="21"/>
          <w:highlight w:val="none"/>
          <w:lang w:val="en-US" w:eastAsia="zh-CN"/>
        </w:rPr>
        <w:t>满足本理财产品履行相关</w:t>
      </w:r>
      <w:r>
        <w:rPr>
          <w:rFonts w:hint="eastAsia" w:ascii="楷体" w:hAnsi="楷体" w:eastAsia="楷体" w:cs="楷体"/>
          <w:b w:val="0"/>
          <w:bCs/>
          <w:color w:val="auto"/>
          <w:sz w:val="21"/>
          <w:szCs w:val="21"/>
          <w:highlight w:val="none"/>
        </w:rPr>
        <w:t>支付义务，带来流动性风险。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管理风险：</w:t>
      </w:r>
      <w:r>
        <w:rPr>
          <w:rFonts w:hint="eastAsia" w:ascii="楷体" w:hAnsi="楷体" w:eastAsia="楷体" w:cs="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操作风险：</w:t>
      </w:r>
      <w:r>
        <w:rPr>
          <w:rFonts w:hint="eastAsia" w:ascii="楷体" w:hAnsi="楷体" w:eastAsia="楷体" w:cs="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延期兑付风险：</w:t>
      </w:r>
      <w:r>
        <w:rPr>
          <w:rFonts w:hint="eastAsia" w:ascii="楷体" w:hAnsi="楷体" w:eastAsia="楷体" w:cs="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提前终止风险：</w:t>
      </w:r>
      <w:r>
        <w:rPr>
          <w:rFonts w:hint="eastAsia" w:ascii="楷体" w:hAnsi="楷体" w:eastAsia="楷体" w:cs="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s="楷体"/>
          <w:color w:val="auto"/>
          <w:sz w:val="21"/>
          <w:szCs w:val="21"/>
          <w:lang w:val="en-US" w:eastAsia="zh-CN"/>
        </w:rPr>
        <w:t>产品销售文件</w:t>
      </w:r>
      <w:r>
        <w:rPr>
          <w:rFonts w:hint="eastAsia" w:ascii="楷体" w:hAnsi="楷体" w:eastAsia="楷体" w:cs="楷体"/>
          <w:color w:val="auto"/>
          <w:sz w:val="21"/>
          <w:szCs w:val="21"/>
        </w:rPr>
        <w:t>的，产品管理人有权提前终止理财产品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信息传递风险：</w:t>
      </w:r>
      <w:r>
        <w:rPr>
          <w:rFonts w:hint="eastAsia" w:ascii="楷体" w:hAnsi="楷体" w:eastAsia="楷体" w:cs="楷体"/>
          <w:color w:val="auto"/>
          <w:sz w:val="21"/>
          <w:szCs w:val="21"/>
        </w:rPr>
        <w:t>产品管理人将按照本理财产品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cs="楷体"/>
          <w:sz w:val="21"/>
          <w:szCs w:val="21"/>
        </w:rPr>
      </w:pPr>
      <w:r>
        <w:rPr>
          <w:rFonts w:hint="eastAsia" w:ascii="楷体" w:hAnsi="楷体" w:eastAsia="楷体" w:cs="楷体"/>
          <w:b/>
          <w:sz w:val="21"/>
          <w:szCs w:val="21"/>
          <w:highlight w:val="none"/>
        </w:rPr>
        <w:t>代销风险</w:t>
      </w:r>
      <w:r>
        <w:rPr>
          <w:rFonts w:hint="eastAsia" w:ascii="楷体" w:hAnsi="楷体" w:eastAsia="楷体" w:cs="楷体"/>
          <w:b/>
          <w:sz w:val="21"/>
          <w:szCs w:val="21"/>
          <w:highlight w:val="none"/>
          <w:lang w:eastAsia="zh-CN"/>
        </w:rPr>
        <w:t>（</w:t>
      </w:r>
      <w:r>
        <w:rPr>
          <w:rFonts w:hint="eastAsia" w:ascii="楷体" w:hAnsi="楷体" w:eastAsia="楷体" w:cs="楷体"/>
          <w:b/>
          <w:sz w:val="21"/>
          <w:szCs w:val="21"/>
          <w:highlight w:val="none"/>
          <w:lang w:val="en-US" w:eastAsia="zh-CN"/>
        </w:rPr>
        <w:t>如有）</w:t>
      </w:r>
      <w:r>
        <w:rPr>
          <w:rFonts w:hint="eastAsia" w:ascii="楷体" w:hAnsi="楷体" w:eastAsia="楷体" w:cs="楷体"/>
          <w:b/>
          <w:sz w:val="21"/>
          <w:szCs w:val="21"/>
          <w:highlight w:val="none"/>
        </w:rPr>
        <w:t>：</w:t>
      </w:r>
      <w:r>
        <w:rPr>
          <w:rFonts w:hint="eastAsia" w:ascii="楷体" w:hAnsi="楷体" w:eastAsia="楷体" w:cs="楷体"/>
          <w:b w:val="0"/>
          <w:bCs/>
          <w:sz w:val="21"/>
          <w:szCs w:val="21"/>
          <w:highlight w:val="none"/>
          <w:lang w:val="en-US" w:eastAsia="zh-CN"/>
        </w:rPr>
        <w:t>如</w:t>
      </w:r>
      <w:r>
        <w:rPr>
          <w:rFonts w:hint="eastAsia" w:ascii="楷体" w:hAnsi="楷体" w:eastAsia="楷体" w:cs="楷体"/>
          <w:sz w:val="21"/>
          <w:szCs w:val="21"/>
          <w:highlight w:val="none"/>
        </w:rPr>
        <w:t>本产品通过代销渠道（非产品管理人自有渠道）销售，投资者认购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highlight w:val="none"/>
        </w:rPr>
        <w:t>理财产品的资金由代销机构从投资者资金账户扣收；份额赎回时，赎回资金按本理财产品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sz w:val="21"/>
          <w:szCs w:val="21"/>
          <w:highlight w:val="none"/>
        </w:rPr>
        <w:t>约定划付至代销机构清算账户后，由代销机构向投资者划付投资者应得赎回资金。不同代销机构的销售渠道，</w:t>
      </w:r>
      <w:r>
        <w:rPr>
          <w:rFonts w:hint="eastAsia" w:ascii="楷体" w:hAnsi="楷体" w:eastAsia="楷体" w:cs="楷体"/>
          <w:sz w:val="21"/>
          <w:szCs w:val="21"/>
        </w:rPr>
        <w:t>其</w:t>
      </w:r>
      <w:r>
        <w:rPr>
          <w:rFonts w:hint="eastAsia" w:ascii="楷体" w:hAnsi="楷体" w:eastAsia="楷体" w:cs="楷体"/>
          <w:sz w:val="21"/>
          <w:szCs w:val="21"/>
          <w:highlight w:val="none"/>
        </w:rPr>
        <w:t>认购</w:t>
      </w:r>
      <w:r>
        <w:rPr>
          <w:rFonts w:hint="eastAsia" w:ascii="楷体" w:hAnsi="楷体" w:eastAsia="楷体" w:cs="楷体"/>
          <w:sz w:val="21"/>
          <w:szCs w:val="21"/>
          <w:highlight w:val="none"/>
          <w:lang w:val="en-US" w:eastAsia="zh-CN"/>
        </w:rPr>
        <w:t>/申购</w:t>
      </w:r>
      <w:r>
        <w:rPr>
          <w:rFonts w:hint="eastAsia" w:ascii="楷体" w:hAnsi="楷体" w:eastAsia="楷体" w:cs="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s="楷体"/>
          <w:color w:val="auto"/>
          <w:sz w:val="21"/>
          <w:szCs w:val="21"/>
        </w:rPr>
      </w:pPr>
      <w:r>
        <w:rPr>
          <w:rFonts w:hint="eastAsia" w:ascii="楷体" w:hAnsi="楷体" w:eastAsia="楷体" w:cs="楷体"/>
          <w:b/>
          <w:color w:val="auto"/>
          <w:sz w:val="21"/>
          <w:szCs w:val="21"/>
        </w:rPr>
        <w:t>不可抗力风险：</w:t>
      </w:r>
      <w:r>
        <w:rPr>
          <w:rFonts w:hint="eastAsia" w:ascii="楷体" w:hAnsi="楷体" w:eastAsia="楷体" w:cs="楷体"/>
          <w:color w:val="auto"/>
          <w:sz w:val="21"/>
          <w:szCs w:val="21"/>
        </w:rPr>
        <w:t>自然</w:t>
      </w:r>
      <w:r>
        <w:rPr>
          <w:rFonts w:hint="eastAsia" w:ascii="楷体" w:hAnsi="楷体" w:eastAsia="楷体" w:cs="楷体"/>
          <w:color w:val="auto"/>
          <w:sz w:val="21"/>
          <w:szCs w:val="21"/>
          <w:highlight w:val="none"/>
        </w:rPr>
        <w:t>灾害、</w:t>
      </w:r>
      <w:r>
        <w:rPr>
          <w:rFonts w:hint="eastAsia" w:ascii="楷体" w:hAnsi="楷体" w:eastAsia="楷体" w:cs="楷体"/>
          <w:sz w:val="21"/>
          <w:szCs w:val="21"/>
          <w:highlight w:val="none"/>
        </w:rPr>
        <w:t>疫情、严重传染病</w:t>
      </w:r>
      <w:r>
        <w:rPr>
          <w:rFonts w:hint="eastAsia" w:ascii="楷体" w:hAnsi="楷体" w:eastAsia="楷体" w:cs="楷体"/>
          <w:sz w:val="21"/>
          <w:szCs w:val="21"/>
          <w:highlight w:val="none"/>
          <w:lang w:eastAsia="zh-CN"/>
        </w:rPr>
        <w:t>、</w:t>
      </w:r>
      <w:r>
        <w:rPr>
          <w:rFonts w:hint="eastAsia" w:ascii="楷体" w:hAnsi="楷体" w:eastAsia="楷体" w:cs="楷体"/>
          <w:color w:val="auto"/>
          <w:sz w:val="21"/>
          <w:szCs w:val="21"/>
          <w:highlight w:val="none"/>
        </w:rPr>
        <w:t>金</w:t>
      </w:r>
      <w:r>
        <w:rPr>
          <w:rFonts w:hint="eastAsia" w:ascii="楷体" w:hAnsi="楷体" w:eastAsia="楷体" w:cs="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s="楷体"/>
          <w:color w:val="auto"/>
          <w:sz w:val="21"/>
          <w:szCs w:val="21"/>
        </w:rPr>
      </w:pPr>
      <w:r>
        <w:rPr>
          <w:rFonts w:hint="eastAsia" w:ascii="楷体" w:hAnsi="楷体" w:eastAsia="楷体" w:cs="楷体"/>
          <w:b/>
          <w:bCs/>
          <w:color w:val="auto"/>
          <w:sz w:val="21"/>
          <w:szCs w:val="21"/>
        </w:rPr>
        <w:t>关联关系及关联交易风险</w:t>
      </w:r>
      <w:r>
        <w:rPr>
          <w:rFonts w:hint="eastAsia" w:ascii="楷体" w:hAnsi="楷体" w:eastAsia="楷体" w:cs="楷体"/>
          <w:color w:val="auto"/>
          <w:sz w:val="21"/>
          <w:szCs w:val="21"/>
        </w:rPr>
        <w:t>：本理财产品由</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理财发行并作为管理人，独立履行产品管理职责，</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理财委托销售机构销售理财产品的，可能涉及委托</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银行股份有限公司（以下简称“</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银行”）作为理财产品的销售机构，负责理财产品的代理销售工作。</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理财是</w:t>
      </w:r>
      <w:r>
        <w:rPr>
          <w:rFonts w:hint="eastAsia" w:ascii="楷体" w:hAnsi="楷体" w:eastAsia="楷体" w:cs="楷体"/>
          <w:color w:val="auto"/>
          <w:sz w:val="21"/>
          <w:szCs w:val="21"/>
          <w:lang w:val="en-US" w:eastAsia="zh-CN"/>
        </w:rPr>
        <w:t>江苏</w:t>
      </w:r>
      <w:r>
        <w:rPr>
          <w:rFonts w:hint="eastAsia" w:ascii="楷体" w:hAnsi="楷体" w:eastAsia="楷体" w:cs="楷体"/>
          <w:color w:val="auto"/>
          <w:sz w:val="21"/>
          <w:szCs w:val="21"/>
        </w:rPr>
        <w:t>银行控股的子公司，二者互为关联方，可能出现关联交易行为。</w:t>
      </w:r>
      <w:r>
        <w:rPr>
          <w:rFonts w:hint="eastAsia" w:ascii="楷体" w:hAnsi="楷体" w:eastAsia="楷体" w:cs="楷体"/>
          <w:color w:val="auto"/>
          <w:sz w:val="21"/>
          <w:szCs w:val="21"/>
          <w:lang w:val="en-US" w:eastAsia="zh-CN"/>
        </w:rPr>
        <w:t>苏银</w:t>
      </w:r>
      <w:r>
        <w:rPr>
          <w:rFonts w:hint="eastAsia" w:ascii="楷体" w:hAnsi="楷体" w:eastAsia="楷体" w:cs="楷体"/>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cs="楷体"/>
          <w:b/>
          <w:color w:val="auto"/>
          <w:sz w:val="21"/>
          <w:szCs w:val="21"/>
        </w:rPr>
      </w:pPr>
      <w:r>
        <w:rPr>
          <w:rFonts w:hint="eastAsia" w:ascii="楷体" w:hAnsi="楷体" w:eastAsia="楷体" w:cs="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资产管理计划或基金产品的特殊风险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销售文件约定的投资范围，导致本理财产品项下委托财产的损失等风险。</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国家货币政策、财政政策、产业政策等的变化对证券市场产生一定的影响，导致市场价格水平波动的风险。②宏观经济运行周期性波动，对股票市场的收益水平产生影响的风险。③上市公司的经营状况受多种因素影响，如市场、技术、竞争、管理、财务等都会导致公司盈利发生变化，从而导致股票价格变动的风险。</w:t>
      </w:r>
    </w:p>
    <w:p>
      <w:pPr>
        <w:numPr>
          <w:ilvl w:val="0"/>
          <w:numId w:val="3"/>
        </w:numPr>
        <w:tabs>
          <w:tab w:val="left" w:pos="742"/>
        </w:tabs>
        <w:ind w:left="0"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结构性存款的特殊风险：</w:t>
      </w:r>
    </w:p>
    <w:p>
      <w:pPr>
        <w:pStyle w:val="13"/>
        <w:spacing w:before="0" w:beforeAutospacing="0" w:after="0" w:afterAutospacing="0"/>
        <w:ind w:firstLine="422" w:firstLineChars="200"/>
        <w:jc w:val="both"/>
        <w:rPr>
          <w:rFonts w:hint="eastAsia" w:ascii="楷体" w:hAnsi="楷体" w:eastAsia="楷体" w:cs="楷体"/>
          <w:b/>
          <w:bCs w:val="0"/>
          <w:color w:val="auto"/>
          <w:sz w:val="21"/>
          <w:szCs w:val="21"/>
          <w:highlight w:val="none"/>
          <w:lang w:val="en-US" w:eastAsia="zh-CN"/>
        </w:rPr>
      </w:pP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1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①</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市场风险。结构性存款挂钩的境内外债券、股票、利率、汇率、指数等标的受相关国家或地区的金融市场和经济趋势的影响，收益存在不确定性。</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2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②</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3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③</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利率风险。结构性存款如挂钩特定债券或债券指数，可能因相关利率变动而导致产品收益发生变化。</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4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④</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汇率风险。结构性存款如挂钩境外证券资产，可能面临以非人民币计价的各类资产受汇率波动影响而引起人民币估值下的理财产品资产净值波动的风险。</w:t>
      </w:r>
      <w:r>
        <w:rPr>
          <w:rFonts w:hint="eastAsia" w:ascii="楷体" w:hAnsi="楷体" w:eastAsia="楷体" w:cs="楷体"/>
          <w:b/>
          <w:color w:val="auto"/>
          <w:sz w:val="21"/>
          <w:szCs w:val="21"/>
          <w:u w:val="none"/>
          <w:lang w:val="en-US" w:eastAsia="zh-CN"/>
        </w:rPr>
        <w:fldChar w:fldCharType="begin"/>
      </w:r>
      <w:r>
        <w:rPr>
          <w:rFonts w:hint="eastAsia" w:ascii="楷体" w:hAnsi="楷体" w:eastAsia="楷体" w:cs="楷体"/>
          <w:b/>
          <w:color w:val="auto"/>
          <w:sz w:val="21"/>
          <w:szCs w:val="21"/>
          <w:u w:val="none"/>
          <w:lang w:val="en-US" w:eastAsia="zh-CN"/>
        </w:rPr>
        <w:instrText xml:space="preserve"> = 5 \* GB3 \* MERGEFORMAT </w:instrText>
      </w:r>
      <w:r>
        <w:rPr>
          <w:rFonts w:hint="eastAsia" w:ascii="楷体" w:hAnsi="楷体" w:eastAsia="楷体" w:cs="楷体"/>
          <w:b/>
          <w:color w:val="auto"/>
          <w:sz w:val="21"/>
          <w:szCs w:val="21"/>
          <w:u w:val="none"/>
          <w:lang w:val="en-US" w:eastAsia="zh-CN"/>
        </w:rPr>
        <w:fldChar w:fldCharType="separate"/>
      </w:r>
      <w:r>
        <w:rPr>
          <w:rFonts w:hint="eastAsia" w:ascii="楷体" w:hAnsi="楷体" w:eastAsia="楷体" w:cs="楷体"/>
          <w:b/>
          <w:color w:val="auto"/>
          <w:sz w:val="21"/>
          <w:szCs w:val="21"/>
          <w:u w:val="none"/>
        </w:rPr>
        <w:t>⑤</w:t>
      </w:r>
      <w:r>
        <w:rPr>
          <w:rFonts w:hint="eastAsia" w:ascii="楷体" w:hAnsi="楷体" w:eastAsia="楷体" w:cs="楷体"/>
          <w:b/>
          <w:color w:val="auto"/>
          <w:sz w:val="21"/>
          <w:szCs w:val="21"/>
          <w:u w:val="none"/>
          <w:lang w:val="en-US" w:eastAsia="zh-CN"/>
        </w:rPr>
        <w:fldChar w:fldCharType="end"/>
      </w:r>
      <w:r>
        <w:rPr>
          <w:rFonts w:hint="eastAsia" w:ascii="楷体" w:hAnsi="楷体" w:eastAsia="楷体" w:cs="楷体"/>
          <w:b/>
          <w:color w:val="auto"/>
          <w:sz w:val="21"/>
          <w:szCs w:val="21"/>
          <w:u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ind w:left="0"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cs="楷体"/>
          <w:b/>
          <w:color w:val="auto"/>
          <w:sz w:val="21"/>
          <w:szCs w:val="21"/>
          <w:u w:val="none"/>
        </w:rPr>
      </w:pPr>
      <w:r>
        <w:rPr>
          <w:rFonts w:hint="eastAsia" w:ascii="楷体" w:hAnsi="楷体" w:eastAsia="楷体" w:cs="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cs="楷体"/>
          <w:b/>
          <w:color w:val="auto"/>
          <w:sz w:val="21"/>
          <w:szCs w:val="21"/>
          <w:u w:val="single"/>
          <w:lang w:val="en-US" w:eastAsia="zh-CN"/>
        </w:rPr>
        <w:t>独立做出</w:t>
      </w:r>
      <w:r>
        <w:rPr>
          <w:rFonts w:hint="eastAsia" w:ascii="楷体" w:hAnsi="楷体" w:eastAsia="楷体" w:cs="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hint="eastAsia" w:ascii="楷体" w:hAnsi="楷体" w:eastAsia="楷体" w:cs="楷体"/>
          <w:b/>
          <w:color w:val="auto"/>
          <w:sz w:val="24"/>
          <w:szCs w:val="24"/>
        </w:rPr>
      </w:pPr>
      <w:r>
        <w:rPr>
          <w:rFonts w:hint="eastAsia" w:ascii="楷体" w:hAnsi="楷体" w:eastAsia="楷体" w:cs="楷体"/>
          <w:b/>
          <w:color w:val="auto"/>
          <w:sz w:val="24"/>
          <w:szCs w:val="24"/>
        </w:rPr>
        <w:t>投资者提示</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本理财产品不保证本金及收益，您的本金可能因市场变动或者交易违约等事项而蒙受相应损失，</w:t>
      </w:r>
      <w:r>
        <w:rPr>
          <w:rFonts w:hint="eastAsia" w:ascii="楷体" w:hAnsi="楷体" w:eastAsia="楷体" w:cs="楷体"/>
          <w:b/>
          <w:bCs/>
          <w:color w:val="auto"/>
          <w:sz w:val="21"/>
          <w:szCs w:val="21"/>
          <w:u w:val="single"/>
        </w:rPr>
        <w:t>在最不利的情况下甚至可能损失全部本金。</w:t>
      </w:r>
      <w:r>
        <w:rPr>
          <w:rFonts w:hint="eastAsia" w:ascii="楷体" w:hAnsi="楷体" w:eastAsia="楷体" w:cs="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hint="eastAsia" w:ascii="楷体" w:hAnsi="楷体" w:eastAsia="楷体" w:cs="楷体"/>
          <w:b/>
          <w:color w:val="auto"/>
          <w:sz w:val="21"/>
          <w:szCs w:val="21"/>
          <w:u w:val="single"/>
        </w:rPr>
      </w:pPr>
      <w:r>
        <w:rPr>
          <w:rFonts w:hint="eastAsia" w:ascii="楷体" w:hAnsi="楷体" w:eastAsia="楷体" w:cs="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本理财产品类型为</w:t>
      </w:r>
      <w:r>
        <w:rPr>
          <w:rFonts w:hint="eastAsia" w:ascii="楷体" w:hAnsi="楷体" w:eastAsia="楷体" w:cs="楷体"/>
          <w:b/>
          <w:color w:val="auto"/>
          <w:sz w:val="21"/>
          <w:szCs w:val="21"/>
          <w:highlight w:val="none"/>
          <w:u w:val="single"/>
        </w:rPr>
        <w:t>固定收益类、公募、封闭式</w:t>
      </w:r>
      <w:r>
        <w:rPr>
          <w:rFonts w:hint="eastAsia" w:ascii="楷体" w:hAnsi="楷体" w:eastAsia="楷体" w:cs="楷体"/>
          <w:color w:val="auto"/>
          <w:sz w:val="21"/>
          <w:szCs w:val="21"/>
          <w:highlight w:val="none"/>
        </w:rPr>
        <w:t>，产品管理人对本理财产品的内部风险评级为</w:t>
      </w:r>
      <w:r>
        <w:rPr>
          <w:rFonts w:hint="eastAsia" w:ascii="楷体" w:hAnsi="楷体" w:eastAsia="楷体" w:cs="楷体"/>
          <w:b/>
          <w:color w:val="auto"/>
          <w:sz w:val="21"/>
          <w:szCs w:val="21"/>
          <w:highlight w:val="none"/>
          <w:u w:val="single"/>
        </w:rPr>
        <w:t>★★二级，适合中低风险型投资者</w:t>
      </w:r>
      <w:r>
        <w:rPr>
          <w:rFonts w:hint="eastAsia" w:ascii="楷体" w:hAnsi="楷体" w:eastAsia="楷体" w:cs="楷体"/>
          <w:color w:val="auto"/>
          <w:sz w:val="21"/>
          <w:szCs w:val="21"/>
          <w:highlight w:val="none"/>
          <w:u w:val="single"/>
        </w:rPr>
        <w:t>。</w:t>
      </w:r>
      <w:r>
        <w:rPr>
          <w:rFonts w:hint="eastAsia" w:ascii="楷体" w:hAnsi="楷体" w:eastAsia="楷体" w:cs="楷体"/>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s="楷体"/>
          <w:color w:val="auto"/>
          <w:sz w:val="21"/>
          <w:szCs w:val="21"/>
          <w:lang w:eastAsia="zh-CN"/>
        </w:rPr>
        <w:t>，</w:t>
      </w:r>
      <w:r>
        <w:rPr>
          <w:rFonts w:hint="eastAsia" w:ascii="楷体" w:hAnsi="楷体" w:eastAsia="楷体" w:cs="楷体"/>
          <w:color w:val="auto"/>
          <w:sz w:val="21"/>
          <w:szCs w:val="21"/>
          <w:lang w:val="en-US" w:eastAsia="zh-CN"/>
        </w:rPr>
        <w:t>并对评估结果签字确认</w:t>
      </w:r>
      <w:r>
        <w:rPr>
          <w:rFonts w:hint="eastAsia" w:ascii="楷体" w:hAnsi="楷体" w:eastAsia="楷体" w:cs="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cs="楷体"/>
          <w:b/>
          <w:color w:val="auto"/>
          <w:sz w:val="21"/>
          <w:szCs w:val="21"/>
        </w:rPr>
      </w:pPr>
      <w:r>
        <w:rPr>
          <w:rFonts w:hint="eastAsia" w:ascii="楷体" w:hAnsi="楷体" w:eastAsia="楷体" w:cs="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cs="楷体"/>
          <w:b/>
          <w:color w:val="auto"/>
          <w:sz w:val="28"/>
          <w:szCs w:val="28"/>
        </w:rPr>
      </w:pPr>
    </w:p>
    <w:p>
      <w:pPr>
        <w:pStyle w:val="13"/>
        <w:numPr>
          <w:ilvl w:val="-1"/>
          <w:numId w:val="0"/>
        </w:numPr>
        <w:spacing w:before="0" w:beforeAutospacing="0" w:after="0" w:afterAutospacing="0" w:line="360" w:lineRule="auto"/>
        <w:ind w:left="0" w:firstLine="0"/>
        <w:jc w:val="center"/>
        <w:rPr>
          <w:rFonts w:hint="eastAsia" w:ascii="楷体" w:hAnsi="楷体" w:eastAsia="楷体" w:cs="楷体"/>
          <w:b/>
          <w:color w:val="auto"/>
          <w:sz w:val="28"/>
          <w:szCs w:val="28"/>
        </w:rPr>
      </w:pPr>
      <w:r>
        <w:rPr>
          <w:rFonts w:hint="eastAsia" w:ascii="楷体" w:hAnsi="楷体" w:eastAsia="楷体" w:cs="楷体"/>
          <w:b/>
          <w:color w:val="auto"/>
          <w:sz w:val="28"/>
          <w:szCs w:val="28"/>
        </w:rPr>
        <w:t>投资者风险确认函</w:t>
      </w:r>
    </w:p>
    <w:p>
      <w:pPr>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投资决策系由</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本机构独立、自主、谨慎做出，</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本机构确认已经收到本理财产品的风险揭示书，且已经认真阅读本理财产品完整</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全部约定。</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本机构确认理解投资本理财产品将涉及的所有风险，并将承担且有能力承担该等风险。</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承诺理财购买资金来源合法合规，</w:t>
      </w:r>
      <w:r>
        <w:rPr>
          <w:rFonts w:hint="eastAsia" w:ascii="楷体" w:hAnsi="楷体" w:eastAsia="楷体" w:cs="楷体"/>
          <w:color w:val="auto"/>
          <w:sz w:val="21"/>
          <w:szCs w:val="21"/>
          <w:lang w:val="en-US" w:eastAsia="zh-CN"/>
        </w:rPr>
        <w:t>本人/</w:t>
      </w:r>
      <w:r>
        <w:rPr>
          <w:rFonts w:hint="eastAsia" w:ascii="楷体" w:hAnsi="楷体" w:eastAsia="楷体" w:cs="楷体"/>
          <w:color w:val="auto"/>
          <w:sz w:val="21"/>
          <w:szCs w:val="21"/>
        </w:rPr>
        <w:t>本机构</w:t>
      </w:r>
      <w:r>
        <w:rPr>
          <w:rFonts w:hint="eastAsia" w:ascii="楷体" w:hAnsi="楷体" w:eastAsia="楷体" w:cs="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cs="楷体"/>
          <w:b/>
          <w:color w:val="auto"/>
          <w:sz w:val="21"/>
          <w:szCs w:val="21"/>
        </w:rPr>
      </w:pPr>
      <w:r>
        <w:rPr>
          <w:rFonts w:hint="eastAsia" w:ascii="楷体" w:hAnsi="楷体" w:eastAsia="楷体" w:cs="楷体"/>
          <w:color w:val="auto"/>
          <w:sz w:val="21"/>
          <w:szCs w:val="21"/>
        </w:rPr>
        <w:t>经销售机构评估，本人的风险承受能力评级结果为</w:t>
      </w:r>
      <w:r>
        <w:rPr>
          <w:rFonts w:hint="eastAsia" w:ascii="楷体" w:hAnsi="楷体" w:eastAsia="楷体" w:cs="楷体"/>
          <w:b/>
          <w:color w:val="auto"/>
          <w:sz w:val="21"/>
          <w:szCs w:val="21"/>
        </w:rPr>
        <w:t>：</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投资者本人填写</w:t>
      </w:r>
      <w:r>
        <w:rPr>
          <w:rFonts w:hint="eastAsia" w:ascii="楷体" w:hAnsi="楷体" w:eastAsia="楷体" w:cs="楷体"/>
          <w:color w:val="auto"/>
          <w:sz w:val="21"/>
          <w:szCs w:val="21"/>
          <w:u w:val="single"/>
        </w:rPr>
        <w:t>）</w:t>
      </w:r>
    </w:p>
    <w:p>
      <w:pPr>
        <w:ind w:firstLine="420" w:firstLineChars="200"/>
        <w:rPr>
          <w:rFonts w:hint="eastAsia" w:ascii="楷体" w:hAnsi="楷体" w:eastAsia="楷体" w:cs="楷体"/>
          <w:color w:val="auto"/>
          <w:sz w:val="21"/>
          <w:szCs w:val="21"/>
          <w:lang w:val="en-US" w:eastAsia="zh-CN"/>
        </w:rPr>
      </w:pPr>
      <w:r>
        <w:rPr>
          <w:rFonts w:hint="eastAsia" w:ascii="楷体" w:hAnsi="楷体" w:eastAsia="楷体" w:cs="楷体"/>
          <w:color w:val="auto"/>
          <w:sz w:val="21"/>
          <w:szCs w:val="21"/>
        </w:rPr>
        <w:t>风险承受能力不低于本理财产品的风险评级，适合购买本理财产</w:t>
      </w:r>
      <w:r>
        <w:rPr>
          <w:rFonts w:hint="eastAsia" w:ascii="楷体" w:hAnsi="楷体" w:eastAsia="楷体" w:cs="楷体"/>
          <w:color w:val="auto"/>
          <w:sz w:val="21"/>
          <w:szCs w:val="21"/>
          <w:highlight w:val="none"/>
        </w:rPr>
        <w:t>品。</w:t>
      </w:r>
      <w:r>
        <w:rPr>
          <w:rFonts w:hint="eastAsia" w:ascii="楷体" w:hAnsi="楷体" w:eastAsia="楷体" w:cs="楷体"/>
          <w:sz w:val="21"/>
          <w:szCs w:val="21"/>
          <w:highlight w:val="none"/>
        </w:rPr>
        <w:t>如风险承受能力评估已超过一年，或影响风险承受能力的因素发生变化，</w:t>
      </w:r>
      <w:r>
        <w:rPr>
          <w:rFonts w:hint="eastAsia" w:ascii="楷体" w:hAnsi="楷体" w:eastAsia="楷体" w:cs="楷体"/>
          <w:color w:val="auto"/>
          <w:sz w:val="21"/>
          <w:szCs w:val="21"/>
          <w:highlight w:val="none"/>
        </w:rPr>
        <w:t>本人将</w:t>
      </w:r>
      <w:r>
        <w:rPr>
          <w:rFonts w:hint="eastAsia" w:ascii="楷体" w:hAnsi="楷体" w:eastAsia="楷体" w:cs="楷体"/>
          <w:color w:val="auto"/>
          <w:sz w:val="21"/>
          <w:szCs w:val="21"/>
        </w:rPr>
        <w:t>及时完成风险承受能力的重新评估。</w:t>
      </w:r>
    </w:p>
    <w:p>
      <w:pPr>
        <w:ind w:firstLine="420" w:firstLineChars="200"/>
        <w:rPr>
          <w:rFonts w:hint="eastAsia" w:ascii="楷体" w:hAnsi="楷体" w:eastAsia="楷体" w:cs="楷体"/>
          <w:color w:val="auto"/>
          <w:sz w:val="21"/>
          <w:szCs w:val="21"/>
          <w:u w:val="single"/>
        </w:rPr>
      </w:pPr>
      <w:r>
        <w:rPr>
          <w:rFonts w:hint="eastAsia" w:ascii="楷体" w:hAnsi="楷体" w:eastAsia="楷体" w:cs="楷体"/>
          <w:color w:val="auto"/>
          <w:sz w:val="21"/>
          <w:szCs w:val="21"/>
        </w:rPr>
        <w:t>须</w:t>
      </w:r>
      <w:r>
        <w:rPr>
          <w:rFonts w:hint="eastAsia" w:ascii="楷体" w:hAnsi="楷体" w:eastAsia="楷体" w:cs="楷体"/>
          <w:b/>
          <w:color w:val="auto"/>
          <w:sz w:val="21"/>
          <w:szCs w:val="21"/>
          <w:u w:val="single"/>
          <w:lang w:val="en-US" w:eastAsia="zh-CN"/>
        </w:rPr>
        <w:t>个人</w:t>
      </w:r>
      <w:r>
        <w:rPr>
          <w:rFonts w:hint="eastAsia" w:ascii="楷体" w:hAnsi="楷体" w:eastAsia="楷体" w:cs="楷体"/>
          <w:b/>
          <w:color w:val="auto"/>
          <w:sz w:val="21"/>
          <w:szCs w:val="21"/>
          <w:u w:val="single"/>
        </w:rPr>
        <w:t>投资者本人亲笔抄录</w:t>
      </w:r>
      <w:r>
        <w:rPr>
          <w:rFonts w:hint="eastAsia" w:ascii="楷体" w:hAnsi="楷体" w:eastAsia="楷体" w:cs="楷体"/>
          <w:color w:val="auto"/>
          <w:sz w:val="21"/>
          <w:szCs w:val="21"/>
        </w:rPr>
        <w:t>以下内容：</w:t>
      </w:r>
      <w:r>
        <w:rPr>
          <w:rFonts w:hint="eastAsia" w:ascii="楷体" w:hAnsi="楷体" w:eastAsia="楷体" w:cs="楷体"/>
          <w:b/>
          <w:color w:val="auto"/>
          <w:sz w:val="21"/>
          <w:szCs w:val="21"/>
        </w:rPr>
        <w:t>“</w:t>
      </w:r>
      <w:r>
        <w:rPr>
          <w:rFonts w:hint="eastAsia" w:ascii="楷体" w:hAnsi="楷体" w:eastAsia="楷体" w:cs="楷体"/>
          <w:b/>
          <w:color w:val="auto"/>
          <w:sz w:val="21"/>
          <w:szCs w:val="21"/>
          <w:u w:val="single"/>
        </w:rPr>
        <w:t>本人已经阅读风险揭示，愿意承担投资风险</w:t>
      </w:r>
      <w:r>
        <w:rPr>
          <w:rFonts w:hint="eastAsia" w:ascii="楷体" w:hAnsi="楷体" w:eastAsia="楷体" w:cs="楷体"/>
          <w:b/>
          <w:color w:val="auto"/>
          <w:sz w:val="21"/>
          <w:szCs w:val="21"/>
        </w:rPr>
        <w:t>”</w:t>
      </w:r>
      <w:r>
        <w:rPr>
          <w:rFonts w:hint="eastAsia" w:ascii="楷体" w:hAnsi="楷体" w:eastAsia="楷体" w:cs="楷体"/>
          <w:color w:val="auto"/>
          <w:sz w:val="21"/>
          <w:szCs w:val="21"/>
        </w:rPr>
        <w:t>。</w:t>
      </w:r>
    </w:p>
    <w:p>
      <w:pPr>
        <w:rPr>
          <w:rFonts w:hint="eastAsia" w:ascii="楷体" w:hAnsi="楷体" w:eastAsia="楷体" w:cs="楷体"/>
          <w:color w:val="auto"/>
          <w:sz w:val="21"/>
          <w:szCs w:val="21"/>
          <w:u w:val="single"/>
        </w:rPr>
      </w:pPr>
      <w:r>
        <w:rPr>
          <w:rFonts w:hint="eastAsia" w:ascii="楷体" w:hAnsi="楷体" w:eastAsia="楷体" w:cs="楷体"/>
          <w:color w:val="auto"/>
          <w:sz w:val="21"/>
          <w:szCs w:val="21"/>
          <w:u w:val="single"/>
        </w:rPr>
        <w:t xml:space="preserve">                                                           </w:t>
      </w:r>
      <w:r>
        <w:rPr>
          <w:rFonts w:hint="eastAsia" w:ascii="楷体" w:hAnsi="楷体" w:eastAsia="楷体" w:cs="楷体"/>
          <w:color w:val="auto"/>
          <w:sz w:val="21"/>
          <w:szCs w:val="21"/>
          <w:u w:val="single"/>
          <w:lang w:val="en-US" w:eastAsia="zh-CN"/>
        </w:rPr>
        <w:t xml:space="preserve">      </w:t>
      </w:r>
      <w:r>
        <w:rPr>
          <w:rFonts w:hint="eastAsia" w:ascii="楷体" w:hAnsi="楷体" w:eastAsia="楷体" w:cs="楷体"/>
          <w:color w:val="auto"/>
          <w:sz w:val="21"/>
          <w:szCs w:val="21"/>
          <w:u w:val="single"/>
        </w:rPr>
        <w:t xml:space="preserve">              </w:t>
      </w:r>
    </w:p>
    <w:p>
      <w:pPr>
        <w:jc w:val="both"/>
        <w:rPr>
          <w:rFonts w:hint="eastAsia" w:ascii="楷体" w:hAnsi="楷体" w:eastAsia="楷体" w:cs="楷体"/>
          <w:color w:val="auto"/>
          <w:sz w:val="21"/>
          <w:szCs w:val="21"/>
        </w:rPr>
      </w:pPr>
      <w:r>
        <w:rPr>
          <w:rFonts w:hint="eastAsia" w:ascii="楷体" w:hAnsi="楷体" w:eastAsia="楷体" w:cs="楷体"/>
          <w:color w:val="auto"/>
          <w:sz w:val="21"/>
          <w:szCs w:val="21"/>
        </w:rPr>
        <w:t>个人投资者签字：</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p>
      <w:pPr>
        <w:ind w:firstLine="315" w:firstLineChars="150"/>
        <w:jc w:val="both"/>
        <w:rPr>
          <w:rFonts w:hint="eastAsia" w:ascii="楷体" w:hAnsi="楷体" w:eastAsia="楷体" w:cs="楷体"/>
          <w:color w:val="auto"/>
          <w:sz w:val="21"/>
          <w:szCs w:val="21"/>
        </w:rPr>
      </w:pPr>
    </w:p>
    <w:p>
      <w:pPr>
        <w:ind w:firstLine="315" w:firstLineChars="150"/>
        <w:jc w:val="both"/>
        <w:rPr>
          <w:rFonts w:hint="eastAsia" w:ascii="楷体" w:hAnsi="楷体" w:eastAsia="楷体" w:cs="楷体"/>
          <w:color w:val="auto"/>
          <w:sz w:val="21"/>
          <w:szCs w:val="21"/>
        </w:rPr>
      </w:pPr>
    </w:p>
    <w:p>
      <w:pPr>
        <w:rPr>
          <w:rFonts w:hint="eastAsia" w:ascii="楷体" w:hAnsi="楷体" w:eastAsia="楷体" w:cs="楷体"/>
          <w:color w:val="auto"/>
          <w:sz w:val="21"/>
          <w:szCs w:val="21"/>
        </w:rPr>
      </w:pPr>
      <w:r>
        <w:rPr>
          <w:rFonts w:hint="eastAsia" w:ascii="楷体" w:hAnsi="楷体" w:eastAsia="楷体" w:cs="楷体"/>
          <w:color w:val="auto"/>
          <w:sz w:val="21"/>
          <w:szCs w:val="21"/>
        </w:rPr>
        <w:t>机构投资者（盖章）：</w:t>
      </w:r>
    </w:p>
    <w:p>
      <w:pPr>
        <w:rPr>
          <w:rFonts w:hint="eastAsia" w:ascii="楷体" w:hAnsi="楷体" w:eastAsia="楷体" w:cs="楷体"/>
          <w:color w:val="auto"/>
          <w:sz w:val="21"/>
          <w:szCs w:val="21"/>
        </w:rPr>
      </w:pPr>
    </w:p>
    <w:p>
      <w:pPr>
        <w:rPr>
          <w:rFonts w:hint="eastAsia" w:ascii="楷体" w:hAnsi="楷体" w:eastAsia="楷体" w:cs="楷体"/>
          <w:color w:val="auto"/>
          <w:sz w:val="21"/>
          <w:szCs w:val="21"/>
        </w:rPr>
      </w:pPr>
      <w:r>
        <w:rPr>
          <w:rFonts w:hint="eastAsia" w:ascii="楷体" w:hAnsi="楷体" w:eastAsia="楷体" w:cs="楷体"/>
          <w:color w:val="auto"/>
          <w:sz w:val="21"/>
          <w:szCs w:val="21"/>
        </w:rPr>
        <w:t>机构投资者法定代表人或授权代表（签字或盖章）</w:t>
      </w:r>
      <w:r>
        <w:rPr>
          <w:rFonts w:hint="eastAsia" w:ascii="楷体" w:hAnsi="楷体" w:eastAsia="楷体" w:cs="楷体"/>
          <w:color w:val="auto"/>
          <w:sz w:val="21"/>
          <w:szCs w:val="21"/>
          <w:lang w:val="en-US" w:eastAsia="zh-CN"/>
        </w:rPr>
        <w:t xml:space="preserve">                    </w:t>
      </w:r>
      <w:r>
        <w:rPr>
          <w:rFonts w:hint="eastAsia" w:ascii="楷体" w:hAnsi="楷体" w:eastAsia="楷体" w:cs="楷体"/>
          <w:color w:val="auto"/>
          <w:sz w:val="21"/>
          <w:szCs w:val="21"/>
        </w:rPr>
        <w:t>年   月   日</w:t>
      </w: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rPr>
          <w:rFonts w:hint="eastAsia" w:ascii="楷体" w:hAnsi="楷体" w:eastAsia="楷体" w:cs="楷体"/>
          <w:color w:val="auto"/>
          <w:sz w:val="21"/>
          <w:szCs w:val="21"/>
        </w:rPr>
      </w:pPr>
    </w:p>
    <w:p>
      <w:pPr>
        <w:pStyle w:val="2"/>
        <w:rPr>
          <w:rFonts w:hint="eastAsia" w:ascii="楷体" w:hAnsi="楷体" w:eastAsia="楷体" w:cs="楷体"/>
          <w:color w:val="auto"/>
          <w:sz w:val="21"/>
          <w:szCs w:val="21"/>
        </w:rPr>
      </w:pPr>
    </w:p>
    <w:p>
      <w:pPr>
        <w:spacing w:line="360" w:lineRule="exact"/>
        <w:rPr>
          <w:rFonts w:ascii="微软简仿宋" w:eastAsia="微软简仿宋"/>
          <w:szCs w:val="21"/>
        </w:rPr>
      </w:pPr>
      <w:r>
        <w:rPr>
          <w:rFonts w:hint="eastAsia" w:ascii="微软简仿宋" w:eastAsia="微软简仿宋"/>
          <w:szCs w:val="21"/>
        </w:rPr>
        <w:t>尊敬的客户：</w:t>
      </w:r>
    </w:p>
    <w:p>
      <w:pPr>
        <w:spacing w:line="360" w:lineRule="exact"/>
        <w:ind w:firstLine="420" w:firstLineChars="200"/>
        <w:rPr>
          <w:rFonts w:ascii="微软简仿宋" w:hAnsi="Times New Roman" w:eastAsia="微软简仿宋" w:cs="Calibri"/>
          <w:szCs w:val="21"/>
        </w:rPr>
      </w:pPr>
      <w:r>
        <w:rPr>
          <w:rFonts w:hint="eastAsia" w:ascii="微软简仿宋" w:eastAsia="微软简仿宋"/>
          <w:szCs w:val="21"/>
        </w:rPr>
        <w:t>根据代销机构风险评级，本产品为</w:t>
      </w:r>
      <w:r>
        <w:rPr>
          <w:rFonts w:hint="eastAsia" w:ascii="微软简仿宋" w:eastAsia="微软简仿宋"/>
          <w:b/>
          <w:color w:val="FF0000"/>
          <w:szCs w:val="21"/>
        </w:rPr>
        <w:t xml:space="preserve"> 中低风险 </w:t>
      </w:r>
      <w:r>
        <w:rPr>
          <w:rFonts w:hint="eastAsia" w:ascii="微软简仿宋" w:eastAsia="微软简仿宋"/>
          <w:szCs w:val="21"/>
        </w:rPr>
        <w:t>理财产品，适合本行风险承受能力为中低及以上客户购买，请选择与您风险承受能力相匹配的理财产品。</w:t>
      </w:r>
    </w:p>
    <w:p>
      <w:pPr>
        <w:spacing w:line="360" w:lineRule="exact"/>
        <w:ind w:firstLine="420" w:firstLineChars="200"/>
        <w:rPr>
          <w:rFonts w:ascii="微软简仿宋" w:hAnsi="Calibri" w:eastAsia="微软简仿宋" w:cs="Times New Roman"/>
          <w:szCs w:val="21"/>
        </w:rPr>
      </w:pPr>
      <w:r>
        <w:rPr>
          <w:rFonts w:hint="eastAsia" w:ascii="微软简仿宋" w:eastAsia="微软简仿宋"/>
          <w:szCs w:val="21"/>
        </w:rPr>
        <w:t>（理财产品风险分级为：低、中低、中等、中高、高）。</w:t>
      </w:r>
    </w:p>
    <w:p>
      <w:pPr>
        <w:spacing w:line="360" w:lineRule="exact"/>
        <w:ind w:firstLine="422" w:firstLineChars="200"/>
        <w:rPr>
          <w:rFonts w:ascii="微软简仿宋" w:eastAsia="微软简仿宋"/>
          <w:b/>
          <w:color w:val="FF0000"/>
          <w:szCs w:val="21"/>
        </w:rPr>
      </w:pPr>
      <w:r>
        <w:rPr>
          <w:rFonts w:hint="eastAsia" w:ascii="微软简仿宋" w:eastAsia="微软简仿宋"/>
          <w:b/>
          <w:color w:val="FF0000"/>
          <w:szCs w:val="21"/>
        </w:rPr>
        <w:t>本产品由苏银理财有限责任公司发行与管理，代销机构不承担产品的投资、兑付和风险管理责任。</w:t>
      </w:r>
    </w:p>
    <w:p>
      <w:pPr>
        <w:spacing w:line="360" w:lineRule="exact"/>
        <w:ind w:firstLine="420" w:firstLineChars="200"/>
        <w:jc w:val="right"/>
        <w:rPr>
          <w:rFonts w:ascii="微软简仿宋" w:eastAsia="微软简仿宋"/>
          <w:szCs w:val="21"/>
        </w:rPr>
      </w:pPr>
    </w:p>
    <w:p>
      <w:pPr>
        <w:pStyle w:val="13"/>
        <w:spacing w:before="0" w:beforeAutospacing="0" w:after="0" w:afterAutospacing="0" w:line="360" w:lineRule="auto"/>
        <w:jc w:val="right"/>
        <w:rPr>
          <w:rFonts w:ascii="楷体" w:hAnsi="楷体" w:eastAsia="楷体"/>
          <w:b/>
          <w:color w:val="000000"/>
        </w:rPr>
      </w:pPr>
      <w:r>
        <w:rPr>
          <w:rFonts w:hint="eastAsia" w:ascii="微软简仿宋" w:eastAsia="微软简仿宋"/>
          <w:szCs w:val="21"/>
        </w:rPr>
        <w:t>风险提示方：江苏紫金农村商业银行股份有限公司</w:t>
      </w:r>
    </w:p>
    <w:p>
      <w:bookmarkStart w:id="0" w:name="_GoBack"/>
      <w:bookmarkEnd w:id="0"/>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简仿宋">
    <w:altName w:val="宋体"/>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5C0D7C"/>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CF4001"/>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0F0848"/>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5305A6"/>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77CAA"/>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975EB9"/>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1793B"/>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330FD"/>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D178F"/>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81FA4"/>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C26CD2"/>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7840FC"/>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044F8"/>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A0409"/>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A5DDC"/>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0E77F5"/>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1403A"/>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8442F7"/>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95B9F"/>
    <w:rsid w:val="61AF2933"/>
    <w:rsid w:val="61B372F7"/>
    <w:rsid w:val="61BC26DE"/>
    <w:rsid w:val="61C77E29"/>
    <w:rsid w:val="61CA2DDD"/>
    <w:rsid w:val="61D84169"/>
    <w:rsid w:val="61DB2D1E"/>
    <w:rsid w:val="61E322C9"/>
    <w:rsid w:val="61E66335"/>
    <w:rsid w:val="61E96CB3"/>
    <w:rsid w:val="61F12870"/>
    <w:rsid w:val="62097A86"/>
    <w:rsid w:val="620F4603"/>
    <w:rsid w:val="622D7AAB"/>
    <w:rsid w:val="622E3808"/>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44A23"/>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C74D1"/>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8FD2C45"/>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88562D"/>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A4AB0"/>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A1784"/>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42E50"/>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50066C"/>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52098"/>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63FC9"/>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4845</Words>
  <Characters>4849</Characters>
  <Lines>243</Lines>
  <Paragraphs>68</Paragraphs>
  <TotalTime>0</TotalTime>
  <ScaleCrop>false</ScaleCrop>
  <LinksUpToDate>false</LinksUpToDate>
  <CharactersWithSpaces>5049</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user</cp:lastModifiedBy>
  <cp:lastPrinted>2024-07-15T08:58:00Z</cp:lastPrinted>
  <dcterms:modified xsi:type="dcterms:W3CDTF">2026-02-28T07:46:10Z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3D9DA4FEC1AC4898A5CD8A2776F83D6F</vt:lpwstr>
  </property>
</Properties>
</file>