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ind w:firstLine="420" w:firstLineChars="0"/>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“苏银理财</w:t>
      </w:r>
      <w:r>
        <w:rPr>
          <w:rFonts w:hint="eastAsia" w:ascii="楷体" w:hAnsi="楷体" w:eastAsia="楷体" w:cs="楷体"/>
          <w:b/>
          <w:color w:val="auto"/>
          <w:sz w:val="28"/>
          <w:szCs w:val="28"/>
          <w:lang w:eastAsia="zh-CN"/>
        </w:rPr>
        <w:t>恒源封闭债权</w:t>
      </w:r>
      <w:r>
        <w:rPr>
          <w:rFonts w:hint="eastAsia" w:ascii="楷体" w:hAnsi="楷体" w:eastAsia="楷体" w:cs="楷体"/>
          <w:b/>
          <w:color w:val="auto"/>
          <w:sz w:val="28"/>
          <w:szCs w:val="28"/>
          <w:lang w:val="en-US" w:eastAsia="zh-CN"/>
        </w:rPr>
        <w:t>341</w:t>
      </w:r>
      <w:r>
        <w:rPr>
          <w:rFonts w:hint="eastAsia" w:ascii="楷体" w:hAnsi="楷体" w:eastAsia="楷体" w:cs="楷体"/>
          <w:b/>
          <w:color w:val="auto"/>
          <w:sz w:val="28"/>
          <w:szCs w:val="28"/>
          <w:lang w:eastAsia="zh-CN"/>
        </w:rPr>
        <w:t>期优选3年</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资产管理计划或基金产品的特殊风险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numPr>
          <w:ilvl w:val="0"/>
          <w:numId w:val="3"/>
        </w:numPr>
        <w:tabs>
          <w:tab w:val="left" w:pos="742"/>
        </w:tabs>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s="楷体"/>
          <w:color w:val="auto"/>
          <w:sz w:val="21"/>
          <w:szCs w:val="21"/>
        </w:rPr>
      </w:pPr>
      <w:r>
        <w:rPr>
          <w:rFonts w:hint="eastAsia" w:ascii="楷体" w:hAnsi="楷体" w:eastAsia="楷体" w:cs="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1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①</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2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②</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3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③</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4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④</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5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⑤</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rPr>
        <w:t>固定收益类、公募、封闭式</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rPr>
        <w:t>★★二级，适合中低风险型投资者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并对评估结果签字确认</w:t>
      </w:r>
      <w:r>
        <w:rPr>
          <w:rFonts w:hint="eastAsia" w:ascii="楷体" w:hAnsi="楷体" w:eastAsia="楷体" w:cs="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投资者风险确认函</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投资决策系由</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本机构独立、自主、谨慎做出，</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本机构确认已经收到本理财产品的风险揭示书，且已经认真阅读本理财产品完整</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全部约定。</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本机构确认理解投资本理财产品将涉及的所有风险，并将承担且有能力承担该等风险。</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承诺理财购买资金来源合法合规，</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cs="楷体"/>
          <w:b/>
          <w:color w:val="auto"/>
          <w:sz w:val="21"/>
          <w:szCs w:val="21"/>
        </w:rPr>
      </w:pPr>
      <w:r>
        <w:rPr>
          <w:rFonts w:hint="eastAsia" w:ascii="楷体" w:hAnsi="楷体" w:eastAsia="楷体" w:cs="楷体"/>
          <w:color w:val="auto"/>
          <w:sz w:val="21"/>
          <w:szCs w:val="21"/>
        </w:rPr>
        <w:t>经销售机构评估，本人的风险承受能力评级结果为</w:t>
      </w:r>
      <w:r>
        <w:rPr>
          <w:rFonts w:hint="eastAsia" w:ascii="楷体" w:hAnsi="楷体" w:eastAsia="楷体" w:cs="楷体"/>
          <w:b/>
          <w:color w:val="auto"/>
          <w:sz w:val="21"/>
          <w:szCs w:val="21"/>
        </w:rPr>
        <w:t>：</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投资者本人填写</w:t>
      </w:r>
      <w:r>
        <w:rPr>
          <w:rFonts w:hint="eastAsia" w:ascii="楷体" w:hAnsi="楷体" w:eastAsia="楷体" w:cs="楷体"/>
          <w:color w:val="auto"/>
          <w:sz w:val="21"/>
          <w:szCs w:val="21"/>
          <w:u w:val="single"/>
        </w:rPr>
        <w:t>）</w:t>
      </w:r>
    </w:p>
    <w:p>
      <w:p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风险承受能力不低于本理财产品的风险评级，适合购买本理财产</w:t>
      </w:r>
      <w:r>
        <w:rPr>
          <w:rFonts w:hint="eastAsia" w:ascii="楷体" w:hAnsi="楷体" w:eastAsia="楷体" w:cs="楷体"/>
          <w:color w:val="auto"/>
          <w:sz w:val="21"/>
          <w:szCs w:val="21"/>
          <w:highlight w:val="none"/>
        </w:rPr>
        <w:t>品。</w:t>
      </w:r>
      <w:r>
        <w:rPr>
          <w:rFonts w:hint="eastAsia" w:ascii="楷体" w:hAnsi="楷体" w:eastAsia="楷体" w:cs="楷体"/>
          <w:sz w:val="21"/>
          <w:szCs w:val="21"/>
          <w:highlight w:val="none"/>
        </w:rPr>
        <w:t>如风险承受能力评估已超过一年，或影响风险承受能力的因素发生变化，</w:t>
      </w:r>
      <w:r>
        <w:rPr>
          <w:rFonts w:hint="eastAsia" w:ascii="楷体" w:hAnsi="楷体" w:eastAsia="楷体" w:cs="楷体"/>
          <w:color w:val="auto"/>
          <w:sz w:val="21"/>
          <w:szCs w:val="21"/>
          <w:highlight w:val="none"/>
        </w:rPr>
        <w:t>本人将</w:t>
      </w:r>
      <w:r>
        <w:rPr>
          <w:rFonts w:hint="eastAsia" w:ascii="楷体" w:hAnsi="楷体" w:eastAsia="楷体" w:cs="楷体"/>
          <w:color w:val="auto"/>
          <w:sz w:val="21"/>
          <w:szCs w:val="21"/>
        </w:rPr>
        <w:t>及时完成风险承受能力的重新评估。</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rPr>
        <w:t>须</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投资者本人亲笔抄录</w:t>
      </w:r>
      <w:r>
        <w:rPr>
          <w:rFonts w:hint="eastAsia" w:ascii="楷体" w:hAnsi="楷体" w:eastAsia="楷体" w:cs="楷体"/>
          <w:color w:val="auto"/>
          <w:sz w:val="21"/>
          <w:szCs w:val="21"/>
        </w:rPr>
        <w:t>以下内容：</w:t>
      </w:r>
      <w:r>
        <w:rPr>
          <w:rFonts w:hint="eastAsia" w:ascii="楷体" w:hAnsi="楷体" w:eastAsia="楷体" w:cs="楷体"/>
          <w:b/>
          <w:color w:val="auto"/>
          <w:sz w:val="21"/>
          <w:szCs w:val="21"/>
        </w:rPr>
        <w:t>“</w:t>
      </w:r>
      <w:r>
        <w:rPr>
          <w:rFonts w:hint="eastAsia" w:ascii="楷体" w:hAnsi="楷体" w:eastAsia="楷体" w:cs="楷体"/>
          <w:b/>
          <w:color w:val="auto"/>
          <w:sz w:val="21"/>
          <w:szCs w:val="21"/>
          <w:u w:val="single"/>
        </w:rPr>
        <w:t>本人已经阅读风险揭示，愿意承担投资风险</w:t>
      </w:r>
      <w:r>
        <w:rPr>
          <w:rFonts w:hint="eastAsia" w:ascii="楷体" w:hAnsi="楷体" w:eastAsia="楷体" w:cs="楷体"/>
          <w:b/>
          <w:color w:val="auto"/>
          <w:sz w:val="21"/>
          <w:szCs w:val="21"/>
        </w:rPr>
        <w:t>”</w:t>
      </w:r>
      <w:r>
        <w:rPr>
          <w:rFonts w:hint="eastAsia" w:ascii="楷体" w:hAnsi="楷体" w:eastAsia="楷体" w:cs="楷体"/>
          <w:color w:val="auto"/>
          <w:sz w:val="21"/>
          <w:szCs w:val="21"/>
        </w:rPr>
        <w:t>。</w:t>
      </w:r>
    </w:p>
    <w:p>
      <w:pPr>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lang w:val="en-US" w:eastAsia="zh-CN"/>
        </w:rPr>
        <w:t xml:space="preserve">      </w:t>
      </w:r>
      <w:r>
        <w:rPr>
          <w:rFonts w:hint="eastAsia" w:ascii="楷体" w:hAnsi="楷体" w:eastAsia="楷体" w:cs="楷体"/>
          <w:color w:val="auto"/>
          <w:sz w:val="21"/>
          <w:szCs w:val="21"/>
          <w:u w:val="single"/>
        </w:rPr>
        <w:t xml:space="preserve">              </w:t>
      </w:r>
    </w:p>
    <w:p>
      <w:pPr>
        <w:jc w:val="both"/>
        <w:rPr>
          <w:rFonts w:hint="eastAsia" w:ascii="楷体" w:hAnsi="楷体" w:eastAsia="楷体" w:cs="楷体"/>
          <w:color w:val="auto"/>
          <w:sz w:val="21"/>
          <w:szCs w:val="21"/>
        </w:rPr>
      </w:pPr>
      <w:r>
        <w:rPr>
          <w:rFonts w:hint="eastAsia" w:ascii="楷体" w:hAnsi="楷体" w:eastAsia="楷体" w:cs="楷体"/>
          <w:color w:val="auto"/>
          <w:sz w:val="21"/>
          <w:szCs w:val="21"/>
        </w:rPr>
        <w:t>个人投资者签字：</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ind w:firstLine="315" w:firstLineChars="150"/>
        <w:jc w:val="both"/>
        <w:rPr>
          <w:rFonts w:hint="eastAsia" w:ascii="楷体" w:hAnsi="楷体" w:eastAsia="楷体" w:cs="楷体"/>
          <w:color w:val="auto"/>
          <w:sz w:val="21"/>
          <w:szCs w:val="21"/>
        </w:rPr>
      </w:pPr>
    </w:p>
    <w:p>
      <w:pPr>
        <w:ind w:firstLine="315" w:firstLineChars="150"/>
        <w:jc w:val="both"/>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机构投资者（盖章）：</w:t>
      </w:r>
    </w:p>
    <w:p>
      <w:pPr>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机构投资者法定代表人或授权代表（签字或盖章）</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spacing w:line="360" w:lineRule="exact"/>
        <w:rPr>
          <w:rFonts w:ascii="微软简仿宋" w:eastAsia="微软简仿宋"/>
          <w:szCs w:val="21"/>
        </w:rPr>
      </w:pPr>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pPr>
        <w:pStyle w:val="2"/>
      </w:pPr>
      <w:bookmarkStart w:id="0" w:name="_GoBack"/>
      <w:bookmarkEnd w:id="0"/>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D3000"/>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82917"/>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AF87BD4"/>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0A31C0"/>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AF11D4"/>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D8163C"/>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43692"/>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005ED"/>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62604"/>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2E3933"/>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482F3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05A42"/>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2026-02-28T07:34:14Z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