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苏银理财恒源封闭债权341期优选3年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恒源封闭债权341期优选3年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苏银理财恒源封闭债权341期优选3年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Z7003126000055，</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A份额：苏银理财恒源封闭债权341期优选3年A/J15125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B份额：苏银理财恒源封闭债权341期优选3年B/J15126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C份额：苏银理财恒源封闭债权341期优选3年C/J15127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10</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2026年3月11日，如管理人调整募集期，则产品成立日/份额登记日将相应调整，以管理人公告为准。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9</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27</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1112</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A份额：2.20%；B份额：2.15%；C份额：2.05%。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3"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C</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0%</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C</w:t>
            </w:r>
            <w:r>
              <w:rPr>
                <w:rFonts w:hint="eastAsia" w:ascii="楷体" w:hAnsi="楷体" w:eastAsia="楷体" w:cs="楷体"/>
                <w:color w:val="auto"/>
                <w:spacing w:val="-2"/>
                <w:sz w:val="18"/>
                <w:szCs w:val="18"/>
              </w:rPr>
              <w:t>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val="0"/>
                <w:bCs/>
                <w:spacing w:val="-2"/>
                <w:kern w:val="2"/>
                <w:sz w:val="18"/>
                <w:szCs w:val="18"/>
                <w:u w:val="none"/>
                <w:lang w:val="en-US" w:eastAsia="zh-CN" w:bidi="ar-SA"/>
              </w:rPr>
              <w:t>本产品存续期间可按年分红。产品成立日后每年的3月11日为观察日（遇节假日顺延至下一工作日），若观察日产品所有份额单位净值大于1，且产品拥有足够的可分配现金，管理人将现金分红。管理人将通过苏银理财有限责任公司官方网站（www.suyinwealth.com）以及销售机构公告分配方案。分红资金将于观察日后5个工作日内分配至投资者资金账户。</w:t>
            </w:r>
            <w:r>
              <w:rPr>
                <w:rFonts w:hint="eastAsia" w:ascii="楷体" w:hAnsi="楷体" w:eastAsia="楷体" w:cs="楷体"/>
                <w:b/>
                <w:bCs w:val="0"/>
                <w:spacing w:val="-2"/>
                <w:kern w:val="2"/>
                <w:sz w:val="18"/>
                <w:szCs w:val="18"/>
                <w:u w:val="single"/>
                <w:lang w:val="en-US" w:eastAsia="zh-CN" w:bidi="ar-SA"/>
              </w:rPr>
              <w:t>管理人有权根据产品实际运作情况决定是否分配收益，可能存在当年不分红的情形。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银行股份有限公司/江苏句容农村商业银行股份有限公司/江苏丰县农村商业银行股份有限公司/江苏盐城农村商业银行股份有限公司/江苏镇江农村商业银行股份有限公司/江苏溧水农村商业银行股份有限公司/江苏东台农村商业银行股份有限公司/江苏沛县农村商业银行股份有限公司/江苏扬州农村商业银行股份有限公司/江苏淮安农村商业银行股份有限公司/江苏沭阳农村商业银行股份有限公司/江苏民丰农村商业银行股份有限公司/江苏泗阳农村商业银行股份有限公司/江苏姜堰农村商业银行股份有限公司/江苏江都农村商业银行股份有限公司/江苏如东农村商业银行股份有限公司/江苏洪泽农村商业银行股份有限公司/江苏海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B份额：江苏紫金农村商业银行股份有限公司/宁波通商银行股份有限公司/杭州联合农村商业银行股份有限公司/江苏太仓农村商业银行股份有限公司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C份额：北京农村商业银行股份有限公司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w:t>
      </w:r>
      <w:r>
        <w:rPr>
          <w:rFonts w:hint="eastAsia" w:ascii="楷体" w:hAnsi="楷体" w:eastAsia="楷体" w:cs="楷体"/>
          <w:color w:val="auto"/>
          <w:sz w:val="21"/>
          <w:szCs w:val="21"/>
          <w:highlight w:val="none"/>
        </w:rPr>
        <w:t>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投资者持有本理财产品期间及到期时，管理人不承诺保证投资本金安全且不保证理财收益，投资者收益（如有）随理财产品的投资盈亏水平浮动。</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本产品存续期间可按</w:t>
      </w:r>
      <w:r>
        <w:rPr>
          <w:rFonts w:hint="eastAsia" w:ascii="楷体" w:hAnsi="楷体" w:eastAsia="楷体" w:cs="楷体"/>
          <w:sz w:val="21"/>
          <w:szCs w:val="21"/>
          <w:highlight w:val="none"/>
          <w:lang w:val="en-US" w:eastAsia="zh-CN"/>
        </w:rPr>
        <w:t>年</w:t>
      </w:r>
      <w:r>
        <w:rPr>
          <w:rFonts w:hint="eastAsia" w:ascii="楷体" w:hAnsi="楷体" w:eastAsia="楷体" w:cs="楷体"/>
          <w:sz w:val="21"/>
          <w:szCs w:val="21"/>
          <w:highlight w:val="none"/>
        </w:rPr>
        <w:t>分红</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rPr>
        <w:t>若观察日产品</w:t>
      </w:r>
      <w:r>
        <w:rPr>
          <w:rFonts w:hint="eastAsia" w:ascii="楷体" w:hAnsi="楷体" w:eastAsia="楷体" w:cs="楷体"/>
          <w:sz w:val="21"/>
          <w:szCs w:val="21"/>
          <w:highlight w:val="none"/>
          <w:lang w:val="en-US" w:eastAsia="zh-CN"/>
        </w:rPr>
        <w:t>所有份额</w:t>
      </w:r>
      <w:r>
        <w:rPr>
          <w:rFonts w:hint="eastAsia" w:ascii="楷体" w:hAnsi="楷体" w:eastAsia="楷体" w:cs="楷体"/>
          <w:sz w:val="21"/>
          <w:szCs w:val="21"/>
          <w:highlight w:val="none"/>
        </w:rPr>
        <w:t>单位净值大于1，且产品拥有足够的可分配现金</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rPr>
        <w:t>管理人</w:t>
      </w:r>
      <w:r>
        <w:rPr>
          <w:rFonts w:hint="eastAsia" w:ascii="楷体" w:hAnsi="楷体" w:eastAsia="楷体" w:cs="楷体"/>
          <w:sz w:val="21"/>
          <w:szCs w:val="21"/>
          <w:highlight w:val="none"/>
          <w:lang w:eastAsia="zh-CN"/>
        </w:rPr>
        <w:t>将现金分红。</w:t>
      </w:r>
      <w:r>
        <w:rPr>
          <w:rFonts w:hint="eastAsia" w:ascii="楷体" w:hAnsi="楷体" w:eastAsia="楷体" w:cs="楷体"/>
          <w:b/>
          <w:bCs/>
          <w:sz w:val="21"/>
          <w:szCs w:val="21"/>
          <w:highlight w:val="none"/>
          <w:u w:val="single"/>
        </w:rPr>
        <w:t>管理人有权根据产品实际运作情况决定是否分配收益，可能存在当</w:t>
      </w:r>
      <w:r>
        <w:rPr>
          <w:rFonts w:hint="eastAsia" w:ascii="楷体" w:hAnsi="楷体" w:eastAsia="楷体" w:cs="楷体"/>
          <w:b/>
          <w:bCs/>
          <w:sz w:val="21"/>
          <w:szCs w:val="21"/>
          <w:highlight w:val="none"/>
          <w:u w:val="single"/>
          <w:lang w:val="en-US" w:eastAsia="zh-CN"/>
        </w:rPr>
        <w:t>年</w:t>
      </w:r>
      <w:r>
        <w:rPr>
          <w:rFonts w:hint="eastAsia" w:ascii="楷体" w:hAnsi="楷体" w:eastAsia="楷体" w:cs="楷体"/>
          <w:b/>
          <w:bCs/>
          <w:sz w:val="21"/>
          <w:szCs w:val="21"/>
          <w:highlight w:val="none"/>
          <w:u w:val="single"/>
        </w:rPr>
        <w:t>不分红的情形。</w:t>
      </w:r>
    </w:p>
    <w:p>
      <w:pPr>
        <w:ind w:firstLine="422" w:firstLineChars="200"/>
        <w:rPr>
          <w:rFonts w:hint="eastAsia" w:ascii="楷体" w:hAnsi="楷体" w:eastAsia="楷体" w:cs="楷体"/>
          <w:sz w:val="21"/>
          <w:szCs w:val="21"/>
          <w:highlight w:val="none"/>
        </w:rPr>
      </w:pPr>
      <w:r>
        <w:rPr>
          <w:rFonts w:hint="eastAsia" w:ascii="楷体" w:hAnsi="楷体" w:eastAsia="楷体" w:cs="楷体"/>
          <w:b/>
          <w:bCs/>
          <w:sz w:val="21"/>
          <w:szCs w:val="21"/>
          <w:highlight w:val="none"/>
          <w:lang w:val="en-US" w:eastAsia="zh-CN"/>
        </w:rPr>
        <w:t>（一）分红</w:t>
      </w:r>
      <w:r>
        <w:rPr>
          <w:rFonts w:hint="eastAsia" w:ascii="楷体" w:hAnsi="楷体" w:eastAsia="楷体" w:cs="楷体"/>
          <w:b/>
          <w:bCs/>
          <w:sz w:val="21"/>
          <w:szCs w:val="21"/>
          <w:highlight w:val="none"/>
        </w:rPr>
        <w:t>计算示例：</w:t>
      </w:r>
      <w:r>
        <w:rPr>
          <w:rFonts w:hint="eastAsia" w:ascii="楷体" w:hAnsi="楷体" w:eastAsia="楷体" w:cs="楷体"/>
          <w:b/>
          <w:bCs/>
          <w:sz w:val="21"/>
          <w:szCs w:val="21"/>
          <w:highlight w:val="none"/>
          <w:u w:val="single"/>
        </w:rPr>
        <w:t>（以下示例均为假设情况，不代表本产品实际投资业绩）</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rPr>
        <w:t>假定投资者持有该产品</w:t>
      </w:r>
      <w:r>
        <w:rPr>
          <w:rFonts w:hint="eastAsia" w:ascii="楷体" w:hAnsi="楷体" w:eastAsia="楷体" w:cs="楷体"/>
          <w:sz w:val="21"/>
          <w:szCs w:val="21"/>
          <w:highlight w:val="none"/>
          <w:lang w:val="en-US" w:eastAsia="zh-CN"/>
        </w:rPr>
        <w:t>A</w:t>
      </w:r>
      <w:r>
        <w:rPr>
          <w:rFonts w:hint="eastAsia" w:ascii="楷体" w:hAnsi="楷体" w:eastAsia="楷体" w:cs="楷体"/>
          <w:sz w:val="21"/>
          <w:szCs w:val="21"/>
          <w:highlight w:val="none"/>
        </w:rPr>
        <w:t>份额10,000.00份</w:t>
      </w:r>
      <w:r>
        <w:rPr>
          <w:rFonts w:hint="eastAsia" w:ascii="楷体" w:hAnsi="楷体" w:eastAsia="楷体" w:cs="楷体"/>
          <w:sz w:val="21"/>
          <w:szCs w:val="21"/>
          <w:highlight w:val="none"/>
          <w:lang w:val="en-US" w:eastAsia="zh-CN"/>
        </w:rPr>
        <w:t>。</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1.情景一</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第n个观察日A份额</w:t>
      </w:r>
      <w:r>
        <w:rPr>
          <w:rFonts w:hint="eastAsia" w:ascii="楷体" w:hAnsi="楷体" w:eastAsia="楷体" w:cs="楷体"/>
          <w:sz w:val="21"/>
          <w:szCs w:val="21"/>
          <w:highlight w:val="none"/>
        </w:rPr>
        <w:t>单位净值为1.0</w:t>
      </w:r>
      <w:r>
        <w:rPr>
          <w:rFonts w:hint="eastAsia" w:ascii="楷体" w:hAnsi="楷体" w:eastAsia="楷体" w:cs="楷体"/>
          <w:sz w:val="21"/>
          <w:szCs w:val="21"/>
          <w:highlight w:val="none"/>
          <w:lang w:val="en-US" w:eastAsia="zh-CN"/>
        </w:rPr>
        <w:t>03000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若</w:t>
      </w:r>
      <w:r>
        <w:rPr>
          <w:rFonts w:hint="eastAsia" w:ascii="楷体" w:hAnsi="楷体" w:eastAsia="楷体" w:cs="楷体"/>
          <w:sz w:val="21"/>
          <w:szCs w:val="21"/>
          <w:highlight w:val="none"/>
        </w:rPr>
        <w:t>理财产品</w:t>
      </w:r>
      <w:r>
        <w:rPr>
          <w:rFonts w:hint="eastAsia" w:ascii="楷体" w:hAnsi="楷体" w:eastAsia="楷体" w:cs="楷体"/>
          <w:sz w:val="21"/>
          <w:szCs w:val="21"/>
          <w:highlight w:val="none"/>
          <w:lang w:val="en-US" w:eastAsia="zh-CN"/>
        </w:rPr>
        <w:t>所有份额</w:t>
      </w:r>
      <w:r>
        <w:rPr>
          <w:rFonts w:hint="eastAsia" w:ascii="楷体" w:hAnsi="楷体" w:eastAsia="楷体" w:cs="楷体"/>
          <w:sz w:val="21"/>
          <w:szCs w:val="21"/>
          <w:highlight w:val="none"/>
        </w:rPr>
        <w:t>单位净值大于</w:t>
      </w: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，且产品拥有足够的可分配现金，管理人</w:t>
      </w:r>
      <w:r>
        <w:rPr>
          <w:rFonts w:hint="eastAsia" w:ascii="楷体" w:hAnsi="楷体" w:eastAsia="楷体" w:cs="楷体"/>
          <w:sz w:val="21"/>
          <w:szCs w:val="21"/>
          <w:highlight w:val="none"/>
          <w:lang w:val="en-US" w:eastAsia="zh-CN"/>
        </w:rPr>
        <w:t>根据实际运作情况决定</w:t>
      </w:r>
      <w:r>
        <w:rPr>
          <w:rFonts w:hint="eastAsia" w:ascii="楷体" w:hAnsi="楷体" w:eastAsia="楷体" w:cs="楷体"/>
          <w:sz w:val="21"/>
          <w:szCs w:val="21"/>
          <w:highlight w:val="none"/>
        </w:rPr>
        <w:t>每</w:t>
      </w:r>
      <w:r>
        <w:rPr>
          <w:rFonts w:hint="eastAsia" w:ascii="楷体" w:hAnsi="楷体" w:eastAsia="楷体" w:cs="楷体"/>
          <w:sz w:val="21"/>
          <w:szCs w:val="21"/>
          <w:highlight w:val="none"/>
          <w:lang w:val="en-US" w:eastAsia="zh-CN"/>
        </w:rPr>
        <w:t>产品</w:t>
      </w:r>
      <w:r>
        <w:rPr>
          <w:rFonts w:hint="eastAsia" w:ascii="楷体" w:hAnsi="楷体" w:eastAsia="楷体" w:cs="楷体"/>
          <w:sz w:val="21"/>
          <w:szCs w:val="21"/>
          <w:highlight w:val="none"/>
        </w:rPr>
        <w:t>份额分红为0.0</w:t>
      </w:r>
      <w:r>
        <w:rPr>
          <w:rFonts w:hint="eastAsia" w:ascii="楷体" w:hAnsi="楷体" w:eastAsia="楷体" w:cs="楷体"/>
          <w:sz w:val="21"/>
          <w:szCs w:val="21"/>
          <w:highlight w:val="none"/>
          <w:lang w:val="en-US" w:eastAsia="zh-CN"/>
        </w:rPr>
        <w:t>0</w:t>
      </w:r>
      <w:r>
        <w:rPr>
          <w:rFonts w:hint="eastAsia" w:ascii="楷体" w:hAnsi="楷体" w:eastAsia="楷体" w:cs="楷体"/>
          <w:sz w:val="21"/>
          <w:szCs w:val="21"/>
          <w:highlight w:val="none"/>
        </w:rPr>
        <w:t>2</w:t>
      </w:r>
      <w:r>
        <w:rPr>
          <w:rFonts w:hint="eastAsia" w:ascii="楷体" w:hAnsi="楷体" w:eastAsia="楷体" w:cs="楷体"/>
          <w:sz w:val="21"/>
          <w:szCs w:val="21"/>
          <w:highlight w:val="none"/>
          <w:lang w:val="en-US" w:eastAsia="zh-CN"/>
        </w:rPr>
        <w:t>700</w:t>
      </w:r>
      <w:r>
        <w:rPr>
          <w:rFonts w:hint="eastAsia" w:ascii="楷体" w:hAnsi="楷体" w:eastAsia="楷体" w:cs="楷体"/>
          <w:sz w:val="21"/>
          <w:szCs w:val="21"/>
          <w:highlight w:val="none"/>
        </w:rPr>
        <w:t>元。</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投资者可得分红=10,000.00×0.0</w:t>
      </w:r>
      <w:r>
        <w:rPr>
          <w:rFonts w:hint="eastAsia" w:ascii="楷体" w:hAnsi="楷体" w:eastAsia="楷体" w:cs="楷体"/>
          <w:sz w:val="21"/>
          <w:szCs w:val="21"/>
          <w:highlight w:val="none"/>
          <w:lang w:val="en-US" w:eastAsia="zh-CN"/>
        </w:rPr>
        <w:t>02700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27</w:t>
      </w:r>
      <w:r>
        <w:rPr>
          <w:rFonts w:hint="eastAsia" w:ascii="楷体" w:hAnsi="楷体" w:eastAsia="楷体" w:cs="楷体"/>
          <w:sz w:val="21"/>
          <w:szCs w:val="21"/>
          <w:highlight w:val="none"/>
        </w:rPr>
        <w:t>（元）</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2.情景二</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第n个观察日A份额</w:t>
      </w:r>
      <w:r>
        <w:rPr>
          <w:rFonts w:hint="eastAsia" w:ascii="楷体" w:hAnsi="楷体" w:eastAsia="楷体" w:cs="楷体"/>
          <w:sz w:val="21"/>
          <w:szCs w:val="21"/>
          <w:highlight w:val="none"/>
        </w:rPr>
        <w:t>单位净值为</w:t>
      </w:r>
      <w:r>
        <w:rPr>
          <w:rFonts w:hint="eastAsia" w:ascii="楷体" w:hAnsi="楷体" w:eastAsia="楷体" w:cs="楷体"/>
          <w:sz w:val="21"/>
          <w:szCs w:val="21"/>
          <w:highlight w:val="none"/>
          <w:lang w:val="en-US" w:eastAsia="zh-CN"/>
        </w:rPr>
        <w:t>0.997500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因</w:t>
      </w:r>
      <w:r>
        <w:rPr>
          <w:rFonts w:hint="eastAsia" w:ascii="楷体" w:hAnsi="楷体" w:eastAsia="楷体" w:cs="楷体"/>
          <w:sz w:val="21"/>
          <w:szCs w:val="21"/>
          <w:highlight w:val="none"/>
        </w:rPr>
        <w:t>理财产品</w:t>
      </w:r>
      <w:r>
        <w:rPr>
          <w:rFonts w:hint="eastAsia" w:ascii="楷体" w:hAnsi="楷体" w:eastAsia="楷体" w:cs="楷体"/>
          <w:sz w:val="21"/>
          <w:szCs w:val="21"/>
          <w:highlight w:val="none"/>
          <w:lang w:val="en-US" w:eastAsia="zh-CN"/>
        </w:rPr>
        <w:t>份额</w:t>
      </w:r>
      <w:r>
        <w:rPr>
          <w:rFonts w:hint="eastAsia" w:ascii="楷体" w:hAnsi="楷体" w:eastAsia="楷体" w:cs="楷体"/>
          <w:sz w:val="21"/>
          <w:szCs w:val="21"/>
          <w:highlight w:val="none"/>
        </w:rPr>
        <w:t>单位净值</w:t>
      </w:r>
      <w:r>
        <w:rPr>
          <w:rFonts w:hint="eastAsia" w:ascii="楷体" w:hAnsi="楷体" w:eastAsia="楷体" w:cs="楷体"/>
          <w:sz w:val="21"/>
          <w:szCs w:val="21"/>
          <w:highlight w:val="none"/>
          <w:lang w:val="en-US" w:eastAsia="zh-CN"/>
        </w:rPr>
        <w:t>小</w:t>
      </w:r>
      <w:r>
        <w:rPr>
          <w:rFonts w:hint="eastAsia" w:ascii="楷体" w:hAnsi="楷体" w:eastAsia="楷体" w:cs="楷体"/>
          <w:sz w:val="21"/>
          <w:szCs w:val="21"/>
          <w:highlight w:val="none"/>
        </w:rPr>
        <w:t>于</w:t>
      </w: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，管理人</w:t>
      </w:r>
      <w:r>
        <w:rPr>
          <w:rFonts w:hint="eastAsia" w:ascii="楷体" w:hAnsi="楷体" w:eastAsia="楷体" w:cs="楷体"/>
          <w:sz w:val="21"/>
          <w:szCs w:val="21"/>
          <w:highlight w:val="none"/>
          <w:lang w:val="en-US" w:eastAsia="zh-CN"/>
        </w:rPr>
        <w:t>根据实际运作情况决定不进行分红</w:t>
      </w:r>
      <w:r>
        <w:rPr>
          <w:rFonts w:hint="eastAsia" w:ascii="楷体" w:hAnsi="楷体" w:eastAsia="楷体" w:cs="楷体"/>
          <w:sz w:val="21"/>
          <w:szCs w:val="21"/>
          <w:highlight w:val="none"/>
        </w:rPr>
        <w:t>。</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3.情景三</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第n个观察日A份额</w:t>
      </w:r>
      <w:r>
        <w:rPr>
          <w:rFonts w:hint="eastAsia" w:ascii="楷体" w:hAnsi="楷体" w:eastAsia="楷体" w:cs="楷体"/>
          <w:sz w:val="21"/>
          <w:szCs w:val="21"/>
          <w:highlight w:val="none"/>
        </w:rPr>
        <w:t>单位净值为</w:t>
      </w:r>
      <w:r>
        <w:rPr>
          <w:rFonts w:hint="eastAsia" w:ascii="楷体" w:hAnsi="楷体" w:eastAsia="楷体" w:cs="楷体"/>
          <w:sz w:val="21"/>
          <w:szCs w:val="21"/>
          <w:highlight w:val="none"/>
          <w:lang w:val="en-US" w:eastAsia="zh-CN"/>
        </w:rPr>
        <w:t>1.002500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若</w:t>
      </w:r>
      <w:r>
        <w:rPr>
          <w:rFonts w:hint="eastAsia" w:ascii="楷体" w:hAnsi="楷体" w:eastAsia="楷体" w:cs="楷体"/>
          <w:sz w:val="21"/>
          <w:szCs w:val="21"/>
          <w:highlight w:val="none"/>
        </w:rPr>
        <w:t>理财产品</w:t>
      </w:r>
      <w:r>
        <w:rPr>
          <w:rFonts w:hint="eastAsia" w:ascii="楷体" w:hAnsi="楷体" w:eastAsia="楷体" w:cs="楷体"/>
          <w:sz w:val="21"/>
          <w:szCs w:val="21"/>
          <w:highlight w:val="none"/>
          <w:lang w:val="en-US" w:eastAsia="zh-CN"/>
        </w:rPr>
        <w:t>所有份额</w:t>
      </w:r>
      <w:r>
        <w:rPr>
          <w:rFonts w:hint="eastAsia" w:ascii="楷体" w:hAnsi="楷体" w:eastAsia="楷体" w:cs="楷体"/>
          <w:sz w:val="21"/>
          <w:szCs w:val="21"/>
          <w:highlight w:val="none"/>
        </w:rPr>
        <w:t>单位净值</w:t>
      </w:r>
      <w:r>
        <w:rPr>
          <w:rFonts w:hint="eastAsia" w:ascii="楷体" w:hAnsi="楷体" w:eastAsia="楷体" w:cs="楷体"/>
          <w:sz w:val="21"/>
          <w:szCs w:val="21"/>
          <w:highlight w:val="none"/>
          <w:lang w:val="en-US" w:eastAsia="zh-CN"/>
        </w:rPr>
        <w:t>大</w:t>
      </w:r>
      <w:r>
        <w:rPr>
          <w:rFonts w:hint="eastAsia" w:ascii="楷体" w:hAnsi="楷体" w:eastAsia="楷体" w:cs="楷体"/>
          <w:sz w:val="21"/>
          <w:szCs w:val="21"/>
          <w:highlight w:val="none"/>
        </w:rPr>
        <w:t>于</w:t>
      </w: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但</w:t>
      </w:r>
      <w:r>
        <w:rPr>
          <w:rFonts w:hint="eastAsia" w:ascii="楷体" w:hAnsi="楷体" w:eastAsia="楷体" w:cs="楷体"/>
          <w:sz w:val="21"/>
          <w:szCs w:val="21"/>
          <w:highlight w:val="none"/>
        </w:rPr>
        <w:t>产品可分配现金</w:t>
      </w:r>
      <w:r>
        <w:rPr>
          <w:rFonts w:hint="eastAsia" w:ascii="楷体" w:hAnsi="楷体" w:eastAsia="楷体" w:cs="楷体"/>
          <w:sz w:val="21"/>
          <w:szCs w:val="21"/>
          <w:highlight w:val="none"/>
          <w:lang w:val="en-US" w:eastAsia="zh-CN"/>
        </w:rPr>
        <w:t>不足</w:t>
      </w:r>
      <w:r>
        <w:rPr>
          <w:rFonts w:hint="eastAsia" w:ascii="楷体" w:hAnsi="楷体" w:eastAsia="楷体" w:cs="楷体"/>
          <w:sz w:val="21"/>
          <w:szCs w:val="21"/>
          <w:highlight w:val="none"/>
        </w:rPr>
        <w:t>，管理人</w:t>
      </w:r>
      <w:r>
        <w:rPr>
          <w:rFonts w:hint="eastAsia" w:ascii="楷体" w:hAnsi="楷体" w:eastAsia="楷体" w:cs="楷体"/>
          <w:sz w:val="21"/>
          <w:szCs w:val="21"/>
          <w:highlight w:val="none"/>
          <w:lang w:val="en-US" w:eastAsia="zh-CN"/>
        </w:rPr>
        <w:t>根据实际运作情况决定不进行分红</w:t>
      </w:r>
      <w:r>
        <w:rPr>
          <w:rFonts w:hint="eastAsia" w:ascii="楷体" w:hAnsi="楷体" w:eastAsia="楷体" w:cs="楷体"/>
          <w:sz w:val="21"/>
          <w:szCs w:val="21"/>
          <w:highlight w:val="none"/>
        </w:rPr>
        <w:t>。</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bCs/>
          <w:sz w:val="21"/>
          <w:szCs w:val="21"/>
          <w:highlight w:val="none"/>
          <w:lang w:val="en-US" w:eastAsia="zh-CN"/>
        </w:rPr>
        <w:t>（二）到期</w:t>
      </w:r>
      <w:r>
        <w:rPr>
          <w:rFonts w:hint="eastAsia" w:ascii="楷体" w:hAnsi="楷体" w:eastAsia="楷体" w:cs="楷体"/>
          <w:b/>
          <w:bCs/>
          <w:sz w:val="21"/>
          <w:szCs w:val="21"/>
          <w:highlight w:val="none"/>
        </w:rPr>
        <w:t>计算示例：</w:t>
      </w:r>
      <w:r>
        <w:rPr>
          <w:rFonts w:hint="eastAsia" w:ascii="楷体" w:hAnsi="楷体" w:eastAsia="楷体" w:cs="楷体"/>
          <w:b/>
          <w:bCs/>
          <w:sz w:val="21"/>
          <w:szCs w:val="21"/>
          <w:highlight w:val="none"/>
          <w:u w:val="single"/>
        </w:rPr>
        <w:t>（以下示例均为假设情况，不代表本产品实际投资业绩）</w:t>
      </w:r>
    </w:p>
    <w:p>
      <w:pPr>
        <w:numPr>
          <w:ilvl w:val="0"/>
          <w:numId w:val="0"/>
        </w:numPr>
        <w:ind w:firstLine="420" w:firstLineChars="200"/>
        <w:rPr>
          <w:rFonts w:hint="eastAsia" w:ascii="楷体" w:hAnsi="楷体" w:eastAsia="楷体" w:cs="楷体"/>
          <w:b/>
          <w:bCs/>
          <w:sz w:val="21"/>
          <w:szCs w:val="21"/>
          <w:highlight w:val="none"/>
          <w:u w:val="single"/>
        </w:rPr>
      </w:pPr>
      <w:r>
        <w:rPr>
          <w:rFonts w:hint="eastAsia" w:ascii="楷体" w:hAnsi="楷体" w:eastAsia="楷体" w:cs="楷体"/>
          <w:sz w:val="21"/>
          <w:szCs w:val="21"/>
          <w:highlight w:val="none"/>
        </w:rPr>
        <w:t>假定投资者持有该产品</w:t>
      </w:r>
      <w:r>
        <w:rPr>
          <w:rFonts w:hint="eastAsia" w:ascii="楷体" w:hAnsi="楷体" w:eastAsia="楷体" w:cs="楷体"/>
          <w:sz w:val="21"/>
          <w:szCs w:val="21"/>
          <w:highlight w:val="none"/>
          <w:lang w:val="en-US" w:eastAsia="zh-CN"/>
        </w:rPr>
        <w:t>A</w:t>
      </w:r>
      <w:r>
        <w:rPr>
          <w:rFonts w:hint="eastAsia" w:ascii="楷体" w:hAnsi="楷体" w:eastAsia="楷体" w:cs="楷体"/>
          <w:sz w:val="21"/>
          <w:szCs w:val="21"/>
          <w:highlight w:val="none"/>
        </w:rPr>
        <w:t>份额10,000.00份</w:t>
      </w:r>
      <w:r>
        <w:rPr>
          <w:rFonts w:hint="eastAsia" w:ascii="楷体" w:hAnsi="楷体" w:eastAsia="楷体" w:cs="楷体"/>
          <w:sz w:val="21"/>
          <w:szCs w:val="21"/>
          <w:highlight w:val="none"/>
          <w:lang w:val="en-US" w:eastAsia="zh-CN"/>
        </w:rPr>
        <w:t>。</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情景一</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本理财产品到期，产品到期日单位净值为1.030000，则投资者在资金到账日收到的赎回资金为10300元。投资者持有本理财产品期间的投资收益为赎回资金和投资本金之差（10300-10000=300元）与本理财产品历次分红向投资者分配的分红资金之和。</w:t>
      </w:r>
    </w:p>
    <w:p>
      <w:pPr>
        <w:numPr>
          <w:ilvl w:val="0"/>
          <w:numId w:val="0"/>
        </w:numPr>
        <w:ind w:left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2.</w:t>
      </w:r>
      <w:r>
        <w:rPr>
          <w:rFonts w:hint="eastAsia" w:ascii="楷体" w:hAnsi="楷体" w:eastAsia="楷体" w:cs="楷体"/>
          <w:sz w:val="21"/>
          <w:szCs w:val="21"/>
          <w:highlight w:val="none"/>
        </w:rPr>
        <w:t>情景二</w:t>
      </w:r>
    </w:p>
    <w:p>
      <w:pPr>
        <w:ind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本理财产品到期，产品到期日单位净值为0.970000，则投资者在资金到账日收到的赎回资金为9700元。投资者持有本理财产品期间的投资收益为赎回资金和投资本金之差（9700-10000=-300元）与本理财产品历次分红向投资者分配的分红资金之和。</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bCs/>
          <w:sz w:val="21"/>
          <w:szCs w:val="21"/>
          <w:highlight w:val="none"/>
          <w:u w:val="single"/>
        </w:rPr>
        <w:t>上述情况假设仅用于向投资者示例现金分红</w:t>
      </w:r>
      <w:r>
        <w:rPr>
          <w:rFonts w:hint="eastAsia" w:ascii="楷体" w:hAnsi="楷体" w:eastAsia="楷体" w:cs="楷体"/>
          <w:b/>
          <w:bCs/>
          <w:sz w:val="21"/>
          <w:szCs w:val="21"/>
          <w:highlight w:val="none"/>
          <w:u w:val="single"/>
          <w:lang w:val="en-US" w:eastAsia="zh-CN"/>
        </w:rPr>
        <w:t>及到期赎回资金</w:t>
      </w:r>
      <w:r>
        <w:rPr>
          <w:rFonts w:hint="eastAsia" w:ascii="楷体" w:hAnsi="楷体" w:eastAsia="楷体" w:cs="楷体"/>
          <w:b/>
          <w:bCs/>
          <w:sz w:val="21"/>
          <w:szCs w:val="21"/>
          <w:highlight w:val="none"/>
          <w:u w:val="single"/>
        </w:rPr>
        <w:t>计算方法之用，并不代表管理人对实际分红</w:t>
      </w:r>
      <w:r>
        <w:rPr>
          <w:rFonts w:hint="eastAsia" w:ascii="楷体" w:hAnsi="楷体" w:eastAsia="楷体" w:cs="楷体"/>
          <w:b/>
          <w:bCs/>
          <w:sz w:val="21"/>
          <w:szCs w:val="21"/>
          <w:highlight w:val="none"/>
          <w:u w:val="single"/>
          <w:lang w:val="en-US" w:eastAsia="zh-CN"/>
        </w:rPr>
        <w:t>/兑付</w:t>
      </w:r>
      <w:r>
        <w:rPr>
          <w:rFonts w:hint="eastAsia" w:ascii="楷体" w:hAnsi="楷体" w:eastAsia="楷体" w:cs="楷体"/>
          <w:b/>
          <w:bCs/>
          <w:sz w:val="21"/>
          <w:szCs w:val="21"/>
          <w:highlight w:val="none"/>
          <w:u w:val="single"/>
        </w:rPr>
        <w:t>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bookmarkStart w:id="0" w:name="_GoBack"/>
      <w:bookmarkEnd w:id="0"/>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rPr>
          <w:rFonts w:hint="eastAsia"/>
        </w:rPr>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77284C"/>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704E4"/>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50E2D"/>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64BB9"/>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94B02"/>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A84334"/>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27608"/>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223E7"/>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3A1C03"/>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308C"/>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9F6289"/>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7E57"/>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9852F4"/>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CC1279"/>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0979D9"/>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004E5"/>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7F510C"/>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2026-02-26T02:00:09Z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