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恒源封闭纯债</w:t>
      </w:r>
      <w:r>
        <w:rPr>
          <w:rFonts w:hint="eastAsia" w:ascii="楷体" w:hAnsi="楷体" w:eastAsia="楷体" w:cs="楷体"/>
          <w:b/>
          <w:color w:val="auto"/>
          <w:sz w:val="28"/>
          <w:szCs w:val="28"/>
          <w:lang w:val="en-US" w:eastAsia="zh-CN"/>
        </w:rPr>
        <w:t>211</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pPr>
        <w:pStyle w:val="2"/>
      </w:pPr>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CE0"/>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17725"/>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5F6"/>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5579D"/>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70D40"/>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16E4C"/>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96385"/>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8E0BEA"/>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13765"/>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238E3"/>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163800"/>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16826"/>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4841</Words>
  <Characters>4845</Characters>
  <Lines>243</Lines>
  <Paragraphs>68</Paragraphs>
  <TotalTime>0</TotalTime>
  <ScaleCrop>false</ScaleCrop>
  <LinksUpToDate>false</LinksUpToDate>
  <CharactersWithSpaces>5044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2026-02-28T06:54:04Z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