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keepNext w:val="0"/>
        <w:keepLines w:val="0"/>
        <w:pageBreakBefore w:val="0"/>
        <w:wordWrap/>
        <w:topLinePunct w:val="0"/>
        <w:autoSpaceDE/>
        <w:autoSpaceDN/>
        <w:bidi w:val="0"/>
        <w:spacing w:before="0" w:beforeAutospacing="0" w:after="0" w:afterAutospacing="0" w:line="240" w:lineRule="auto"/>
        <w:jc w:val="center"/>
        <w:textAlignment w:val="auto"/>
        <w:rPr>
          <w:rFonts w:hint="eastAsia" w:ascii="楷体" w:hAnsi="楷体" w:eastAsia="楷体" w:cs="楷体"/>
          <w:b/>
          <w:color w:val="auto"/>
          <w:sz w:val="28"/>
          <w:szCs w:val="28"/>
          <w:lang w:val="en-US" w:eastAsia="zh-CN"/>
        </w:rPr>
      </w:pPr>
      <w:r>
        <w:rPr>
          <w:rFonts w:hint="eastAsia" w:ascii="楷体" w:hAnsi="楷体" w:eastAsia="楷体" w:cs="楷体"/>
          <w:b/>
          <w:color w:val="auto"/>
          <w:sz w:val="28"/>
          <w:szCs w:val="28"/>
        </w:rPr>
        <w:t>“</w:t>
      </w:r>
      <w:r>
        <w:rPr>
          <w:rFonts w:hint="eastAsia" w:ascii="楷体" w:hAnsi="楷体" w:eastAsia="楷体" w:cs="楷体"/>
          <w:b/>
          <w:color w:val="auto"/>
          <w:sz w:val="28"/>
          <w:szCs w:val="28"/>
          <w:lang w:eastAsia="zh-CN"/>
        </w:rPr>
        <w:t>苏银理财恒源封闭纯债211期</w:t>
      </w:r>
      <w:r>
        <w:rPr>
          <w:rFonts w:hint="eastAsia" w:ascii="楷体" w:hAnsi="楷体" w:eastAsia="楷体" w:cs="楷体"/>
          <w:b/>
          <w:color w:val="auto"/>
          <w:sz w:val="28"/>
          <w:szCs w:val="28"/>
        </w:rPr>
        <w:t>”理财产品</w:t>
      </w:r>
      <w:r>
        <w:rPr>
          <w:rFonts w:hint="eastAsia" w:ascii="楷体" w:hAnsi="楷体" w:eastAsia="楷体" w:cs="楷体"/>
          <w:b/>
          <w:color w:val="auto"/>
          <w:sz w:val="28"/>
          <w:szCs w:val="28"/>
          <w:lang w:val="en-US" w:eastAsia="zh-CN"/>
        </w:rPr>
        <w:t>说明书</w:t>
      </w:r>
    </w:p>
    <w:p>
      <w:pPr>
        <w:pStyle w:val="13"/>
        <w:keepNext w:val="0"/>
        <w:keepLines w:val="0"/>
        <w:pageBreakBefore w:val="0"/>
        <w:wordWrap/>
        <w:topLinePunct w:val="0"/>
        <w:autoSpaceDE/>
        <w:autoSpaceDN/>
        <w:bidi w:val="0"/>
        <w:spacing w:before="0" w:beforeAutospacing="0" w:after="0" w:afterAutospacing="0" w:line="240" w:lineRule="auto"/>
        <w:jc w:val="center"/>
        <w:textAlignment w:val="auto"/>
        <w:rPr>
          <w:rFonts w:hint="eastAsia" w:ascii="楷体" w:hAnsi="楷体" w:eastAsia="楷体"/>
          <w:b/>
          <w:color w:val="auto"/>
          <w:sz w:val="28"/>
          <w:szCs w:val="28"/>
          <w:highlight w:val="none"/>
        </w:rPr>
      </w:pPr>
      <w:r>
        <w:rPr>
          <w:rFonts w:hint="eastAsia" w:ascii="楷体" w:hAnsi="楷体" w:eastAsia="楷体" w:cs="Times New Roman"/>
          <w:kern w:val="2"/>
          <w:sz w:val="21"/>
          <w:szCs w:val="21"/>
          <w:highlight w:val="none"/>
          <w:lang w:val="en-US" w:eastAsia="zh-CN" w:bidi="ar-SA"/>
        </w:rPr>
        <w:t>（</w:t>
      </w:r>
      <w:r>
        <w:rPr>
          <w:rFonts w:hint="eastAsia" w:ascii="楷体" w:hAnsi="楷体" w:eastAsia="楷体" w:cs="Times New Roman"/>
          <w:b/>
          <w:bCs/>
          <w:kern w:val="2"/>
          <w:sz w:val="21"/>
          <w:szCs w:val="21"/>
          <w:highlight w:val="none"/>
          <w:lang w:val="en-US" w:eastAsia="zh-CN" w:bidi="ar-SA"/>
        </w:rPr>
        <w:t>2026年2月版</w:t>
      </w:r>
      <w:r>
        <w:rPr>
          <w:rFonts w:hint="eastAsia" w:ascii="楷体" w:hAnsi="楷体" w:eastAsia="楷体" w:cs="Times New Roman"/>
          <w:kern w:val="2"/>
          <w:sz w:val="21"/>
          <w:szCs w:val="21"/>
          <w:highlight w:val="none"/>
          <w:lang w:val="en-US" w:eastAsia="zh-CN" w:bidi="ar-SA"/>
        </w:rPr>
        <w:t>）</w:t>
      </w:r>
    </w:p>
    <w:p>
      <w:pPr>
        <w:jc w:val="center"/>
        <w:rPr>
          <w:rFonts w:hint="eastAsia" w:ascii="楷体" w:hAnsi="楷体" w:eastAsia="楷体" w:cs="楷体"/>
          <w:b/>
          <w:color w:val="auto"/>
          <w:sz w:val="24"/>
          <w:szCs w:val="24"/>
        </w:rPr>
      </w:pPr>
      <w:r>
        <w:rPr>
          <w:rFonts w:hint="eastAsia" w:ascii="楷体" w:hAnsi="楷体" w:eastAsia="楷体" w:cs="楷体"/>
          <w:b/>
          <w:color w:val="auto"/>
          <w:kern w:val="0"/>
          <w:sz w:val="24"/>
          <w:szCs w:val="24"/>
        </w:rPr>
        <w:t>理财非存款、产品有风险、投资须谨慎</w:t>
      </w:r>
    </w:p>
    <w:p>
      <w:pPr>
        <w:rPr>
          <w:rFonts w:hint="eastAsia" w:ascii="楷体" w:hAnsi="楷体" w:eastAsia="楷体" w:cs="楷体"/>
          <w:b/>
          <w:color w:val="auto"/>
          <w:sz w:val="21"/>
          <w:szCs w:val="21"/>
        </w:rPr>
      </w:pPr>
      <w:r>
        <w:rPr>
          <w:rFonts w:hint="eastAsia" w:ascii="楷体" w:hAnsi="楷体" w:eastAsia="楷体" w:cs="楷体"/>
          <w:b/>
          <w:color w:val="auto"/>
          <w:sz w:val="21"/>
          <w:szCs w:val="21"/>
        </w:rPr>
        <w:t>重要须知</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在购买本理财产品前，投资者应确保自己完全理解该项投资的性质和所涉及的风险，详细了解和审慎评估该理财产品的</w:t>
      </w:r>
      <w:r>
        <w:rPr>
          <w:rFonts w:hint="eastAsia" w:ascii="楷体" w:hAnsi="楷体" w:eastAsia="楷体" w:cs="楷体"/>
          <w:sz w:val="21"/>
          <w:szCs w:val="21"/>
          <w:lang w:val="en-US" w:eastAsia="zh-CN"/>
        </w:rPr>
        <w:t>投资范围</w:t>
      </w:r>
      <w:r>
        <w:rPr>
          <w:rFonts w:hint="eastAsia" w:ascii="楷体" w:hAnsi="楷体" w:eastAsia="楷体" w:cs="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本理财产品不保证本金及收益，您的本金可能因市场变动</w:t>
      </w:r>
      <w:r>
        <w:rPr>
          <w:rFonts w:hint="eastAsia" w:ascii="楷体" w:hAnsi="楷体" w:eastAsia="楷体" w:cs="楷体"/>
          <w:b/>
          <w:sz w:val="21"/>
          <w:szCs w:val="21"/>
          <w:u w:val="single"/>
          <w:lang w:val="en-US" w:eastAsia="zh-CN"/>
        </w:rPr>
        <w:t>或者交易违约等事项</w:t>
      </w:r>
      <w:r>
        <w:rPr>
          <w:rFonts w:hint="eastAsia" w:ascii="楷体" w:hAnsi="楷体" w:eastAsia="楷体" w:cs="楷体"/>
          <w:b/>
          <w:sz w:val="21"/>
          <w:szCs w:val="21"/>
          <w:u w:val="single"/>
        </w:rPr>
        <w:t>而蒙受相应损失，投资者应充分认识投资风险，谨慎投资</w:t>
      </w:r>
      <w:r>
        <w:rPr>
          <w:rFonts w:hint="eastAsia" w:ascii="楷体" w:hAnsi="楷体" w:eastAsia="楷体" w:cs="楷体"/>
          <w:b/>
          <w:sz w:val="21"/>
          <w:szCs w:val="21"/>
          <w:u w:val="single"/>
          <w:lang w:eastAsia="zh-CN"/>
        </w:rPr>
        <w:t>。</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本理财产品任何业绩比较基准</w:t>
      </w:r>
      <w:r>
        <w:rPr>
          <w:rFonts w:hint="eastAsia" w:ascii="楷体" w:hAnsi="楷体" w:eastAsia="楷体" w:cs="楷体"/>
          <w:b/>
          <w:sz w:val="21"/>
          <w:szCs w:val="21"/>
          <w:u w:val="single"/>
          <w:lang w:val="en-US" w:eastAsia="zh-CN"/>
        </w:rPr>
        <w:t>及</w:t>
      </w:r>
      <w:r>
        <w:rPr>
          <w:rFonts w:hint="eastAsia" w:ascii="楷体" w:hAnsi="楷体" w:eastAsia="楷体" w:cs="楷体"/>
          <w:b/>
          <w:sz w:val="21"/>
          <w:szCs w:val="21"/>
          <w:u w:val="single"/>
        </w:rPr>
        <w:t>类似表述均属不具有法律约束力的用语</w:t>
      </w:r>
      <w:r>
        <w:rPr>
          <w:rFonts w:hint="eastAsia" w:ascii="楷体" w:hAnsi="楷体" w:eastAsia="楷体" w:cs="楷体"/>
          <w:b/>
          <w:sz w:val="21"/>
          <w:szCs w:val="21"/>
          <w:u w:val="single"/>
          <w:lang w:eastAsia="zh-CN"/>
        </w:rPr>
        <w:t>。</w:t>
      </w:r>
      <w:r>
        <w:rPr>
          <w:rFonts w:hint="eastAsia" w:ascii="楷体" w:hAnsi="楷体" w:eastAsia="楷体" w:cs="楷体"/>
          <w:b/>
          <w:sz w:val="21"/>
          <w:szCs w:val="21"/>
          <w:u w:val="single"/>
        </w:rPr>
        <w:t>业绩比较基准</w:t>
      </w:r>
      <w:r>
        <w:rPr>
          <w:rFonts w:hint="eastAsia" w:ascii="楷体" w:hAnsi="楷体" w:eastAsia="楷体" w:cs="楷体"/>
          <w:b/>
          <w:sz w:val="21"/>
          <w:szCs w:val="21"/>
          <w:u w:val="single"/>
          <w:lang w:val="en-US" w:eastAsia="zh-CN"/>
        </w:rPr>
        <w:t>为</w:t>
      </w:r>
      <w:r>
        <w:rPr>
          <w:rFonts w:hint="eastAsia" w:ascii="楷体" w:hAnsi="楷体" w:eastAsia="楷体" w:cs="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cs="楷体"/>
          <w:sz w:val="21"/>
          <w:szCs w:val="21"/>
          <w:highlight w:val="none"/>
        </w:rPr>
      </w:pPr>
      <w:r>
        <w:rPr>
          <w:rFonts w:hint="eastAsia" w:ascii="楷体" w:hAnsi="楷体" w:eastAsia="楷体" w:cs="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如有）</w:t>
      </w:r>
      <w:r>
        <w:rPr>
          <w:rFonts w:hint="eastAsia" w:ascii="楷体" w:hAnsi="楷体" w:eastAsia="楷体" w:cs="楷体"/>
          <w:sz w:val="21"/>
          <w:szCs w:val="21"/>
        </w:rPr>
        <w:t>、不可抗力风险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关联关系及关联交易风险、</w:t>
      </w:r>
      <w:r>
        <w:rPr>
          <w:rFonts w:hint="eastAsia" w:ascii="楷体" w:hAnsi="楷体" w:eastAsia="楷体" w:cs="楷体"/>
          <w:sz w:val="21"/>
          <w:szCs w:val="21"/>
          <w:lang w:eastAsia="zh-CN"/>
        </w:rPr>
        <w:t>特定投资标的风险</w:t>
      </w:r>
      <w:r>
        <w:rPr>
          <w:rFonts w:hint="eastAsia" w:ascii="楷体" w:hAnsi="楷体" w:eastAsia="楷体" w:cs="楷体"/>
          <w:sz w:val="21"/>
          <w:szCs w:val="21"/>
        </w:rPr>
        <w:t>等。请仔细阅读《“苏银理财</w:t>
      </w:r>
      <w:r>
        <w:rPr>
          <w:rFonts w:hint="eastAsia" w:ascii="楷体" w:hAnsi="楷体" w:eastAsia="楷体" w:cs="楷体"/>
          <w:sz w:val="21"/>
          <w:szCs w:val="21"/>
          <w:lang w:eastAsia="zh-CN"/>
        </w:rPr>
        <w:t>恒源封闭纯债211期</w:t>
      </w:r>
      <w:r>
        <w:rPr>
          <w:rFonts w:hint="eastAsia" w:ascii="楷体" w:hAnsi="楷体" w:eastAsia="楷体" w:cs="楷体"/>
          <w:sz w:val="21"/>
          <w:szCs w:val="21"/>
        </w:rPr>
        <w:t>”理财产</w:t>
      </w:r>
      <w:r>
        <w:rPr>
          <w:rFonts w:hint="eastAsia" w:ascii="楷体" w:hAnsi="楷体" w:eastAsia="楷体" w:cs="楷体"/>
          <w:sz w:val="21"/>
          <w:szCs w:val="21"/>
          <w:highlight w:val="none"/>
        </w:rPr>
        <w:t>品风险揭示书》的“风险揭示”部分。</w:t>
      </w:r>
    </w:p>
    <w:p>
      <w:pPr>
        <w:numPr>
          <w:ilvl w:val="0"/>
          <w:numId w:val="1"/>
        </w:numPr>
        <w:ind w:left="420" w:leftChars="0" w:hanging="420" w:firstLineChars="0"/>
        <w:rPr>
          <w:rFonts w:hint="eastAsia" w:ascii="楷体" w:hAnsi="楷体" w:eastAsia="楷体" w:cs="楷体"/>
          <w:b/>
          <w:bCs/>
          <w:sz w:val="21"/>
          <w:szCs w:val="21"/>
          <w:highlight w:val="none"/>
          <w:u w:val="single"/>
        </w:rPr>
      </w:pPr>
      <w:r>
        <w:rPr>
          <w:rFonts w:hint="eastAsia" w:ascii="楷体" w:hAnsi="楷体" w:eastAsia="楷体" w:cs="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楷体"/>
          <w:b/>
          <w:sz w:val="21"/>
          <w:szCs w:val="21"/>
          <w:highlight w:val="none"/>
          <w:u w:val="single"/>
        </w:rPr>
      </w:pPr>
      <w:r>
        <w:rPr>
          <w:rFonts w:hint="eastAsia" w:ascii="楷体" w:hAnsi="楷体" w:eastAsia="楷体" w:cs="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产品要素</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为保护投资者合法权益，尊重投资者的知情权和自主选择权，现将本理财产品的基本要素说明如下：</w:t>
      </w:r>
    </w:p>
    <w:tbl>
      <w:tblPr>
        <w:tblStyle w:val="16"/>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产品名称</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lang w:eastAsia="zh-CN"/>
              </w:rPr>
              <w:t>苏银理财恒源封闭纯债211期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0"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理财产品登记编码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Z7003126000059，</w:t>
            </w:r>
            <w:r>
              <w:rPr>
                <w:rFonts w:hint="eastAsia" w:ascii="楷体" w:hAnsi="楷体" w:eastAsia="楷体" w:cs="楷体"/>
                <w:color w:val="auto"/>
                <w:spacing w:val="-2"/>
                <w:sz w:val="18"/>
                <w:szCs w:val="18"/>
              </w:rPr>
              <w:t>投资者可依据该编码在中国理财网</w:t>
            </w:r>
            <w:r>
              <w:rPr>
                <w:rFonts w:hint="eastAsia" w:ascii="楷体" w:hAnsi="楷体" w:eastAsia="楷体" w:cs="楷体"/>
                <w:color w:val="auto"/>
                <w:spacing w:val="-2"/>
                <w:sz w:val="18"/>
                <w:szCs w:val="18"/>
              </w:rPr>
              <w:fldChar w:fldCharType="begin"/>
            </w:r>
            <w:r>
              <w:rPr>
                <w:rFonts w:hint="eastAsia" w:ascii="楷体" w:hAnsi="楷体" w:eastAsia="楷体" w:cs="楷体"/>
                <w:color w:val="auto"/>
                <w:spacing w:val="-2"/>
                <w:sz w:val="18"/>
                <w:szCs w:val="18"/>
              </w:rPr>
              <w:instrText xml:space="preserve"> HYPERLINK "http://www.chinawealth.com.cn/" </w:instrText>
            </w:r>
            <w:r>
              <w:rPr>
                <w:rFonts w:hint="eastAsia" w:ascii="楷体" w:hAnsi="楷体" w:eastAsia="楷体" w:cs="楷体"/>
                <w:color w:val="auto"/>
                <w:spacing w:val="-2"/>
                <w:sz w:val="18"/>
                <w:szCs w:val="18"/>
              </w:rPr>
              <w:fldChar w:fldCharType="separate"/>
            </w:r>
            <w:r>
              <w:rPr>
                <w:rFonts w:hint="eastAsia" w:ascii="楷体" w:hAnsi="楷体" w:eastAsia="楷体" w:cs="楷体"/>
                <w:color w:val="auto"/>
                <w:spacing w:val="-2"/>
                <w:sz w:val="18"/>
                <w:szCs w:val="18"/>
              </w:rPr>
              <w:t>www.chinawealth.com.cn</w:t>
            </w:r>
            <w:r>
              <w:rPr>
                <w:rFonts w:hint="eastAsia" w:ascii="楷体" w:hAnsi="楷体" w:eastAsia="楷体" w:cs="楷体"/>
                <w:color w:val="auto"/>
                <w:spacing w:val="-2"/>
                <w:sz w:val="18"/>
                <w:szCs w:val="18"/>
              </w:rPr>
              <w:fldChar w:fldCharType="end"/>
            </w:r>
            <w:r>
              <w:rPr>
                <w:rFonts w:hint="eastAsia" w:ascii="楷体" w:hAnsi="楷体" w:eastAsia="楷体" w:cs="楷体"/>
                <w:color w:val="auto"/>
                <w:spacing w:val="-2"/>
                <w:sz w:val="18"/>
                <w:szCs w:val="18"/>
              </w:rPr>
              <w:t>查询产品信息</w:t>
            </w:r>
            <w:r>
              <w:rPr>
                <w:rFonts w:hint="eastAsia" w:ascii="楷体" w:hAnsi="楷体" w:eastAsia="楷体" w:cs="楷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0"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highlight w:val="none"/>
              </w:rPr>
              <w:t>销售</w:t>
            </w:r>
            <w:r>
              <w:rPr>
                <w:rFonts w:hint="eastAsia" w:ascii="楷体" w:hAnsi="楷体" w:eastAsia="楷体" w:cs="楷体"/>
                <w:b/>
                <w:color w:val="auto"/>
                <w:spacing w:val="-2"/>
                <w:sz w:val="18"/>
                <w:szCs w:val="18"/>
                <w:highlight w:val="none"/>
                <w:lang w:val="en-US" w:eastAsia="zh-CN"/>
              </w:rPr>
              <w:t>名称</w:t>
            </w:r>
            <w:r>
              <w:rPr>
                <w:rFonts w:hint="eastAsia" w:ascii="楷体" w:hAnsi="楷体" w:eastAsia="楷体" w:cs="楷体"/>
                <w:b/>
                <w:color w:val="auto"/>
                <w:spacing w:val="-2"/>
                <w:sz w:val="18"/>
                <w:szCs w:val="18"/>
                <w:highlight w:val="none"/>
              </w:rPr>
              <w:t>/销售代码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A份额：苏银理财恒源封闭纯债211期6月A/J15054</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B份额：苏银理财恒源封闭纯债211期6月B/J15055</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C份额：苏银理财恒源封闭纯债211期6月C/J15056</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D份额：苏银理财恒源封闭纯债211期6月D/J15057</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E份额：苏银理财恒源封闭纯债211期6月E/J15058</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G份额：苏银理财恒源封闭纯债211期6月G/J15059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rPr>
              <w:t>产品类型</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lang w:val="en-US" w:eastAsia="zh-CN"/>
              </w:rPr>
            </w:pPr>
            <w:r>
              <w:rPr>
                <w:rFonts w:hint="eastAsia" w:ascii="楷体" w:hAnsi="楷体" w:eastAsia="楷体" w:cs="楷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color w:val="auto"/>
                <w:sz w:val="18"/>
                <w:szCs w:val="18"/>
              </w:rPr>
            </w:pPr>
            <w:r>
              <w:rPr>
                <w:rFonts w:hint="eastAsia" w:ascii="楷体" w:hAnsi="楷体" w:eastAsia="楷体" w:cs="楷体"/>
                <w:color w:val="auto"/>
                <w:sz w:val="18"/>
                <w:szCs w:val="18"/>
                <w:lang w:val="en-US" w:eastAsia="zh-CN"/>
              </w:rPr>
              <w:t>1.</w:t>
            </w:r>
            <w:r>
              <w:rPr>
                <w:rFonts w:hint="eastAsia" w:ascii="楷体" w:hAnsi="楷体" w:eastAsia="楷体" w:cs="楷体"/>
                <w:color w:val="auto"/>
                <w:sz w:val="18"/>
                <w:szCs w:val="18"/>
              </w:rPr>
              <w:t>本理财产品经苏银理财内部风险评级为</w:t>
            </w:r>
            <w:r>
              <w:rPr>
                <w:rFonts w:hint="eastAsia" w:ascii="楷体" w:hAnsi="楷体" w:eastAsia="楷体" w:cs="楷体"/>
                <w:b/>
                <w:color w:val="auto"/>
                <w:sz w:val="18"/>
                <w:szCs w:val="18"/>
                <w:u w:val="single"/>
              </w:rPr>
              <w:t>★★二级，适合中低风险型投资者，适合投资策略为稳健发展</w:t>
            </w:r>
            <w:r>
              <w:rPr>
                <w:rFonts w:hint="eastAsia" w:ascii="楷体" w:hAnsi="楷体" w:eastAsia="楷体" w:cs="楷体"/>
                <w:b/>
                <w:color w:val="auto"/>
                <w:sz w:val="18"/>
                <w:szCs w:val="18"/>
                <w:u w:val="single"/>
                <w:lang w:val="en-US" w:eastAsia="zh-CN"/>
              </w:rPr>
              <w:t>的投资者</w:t>
            </w:r>
            <w:r>
              <w:rPr>
                <w:rFonts w:hint="eastAsia" w:ascii="楷体" w:hAnsi="楷体" w:eastAsia="楷体" w:cs="楷体"/>
                <w:color w:val="auto"/>
                <w:sz w:val="18"/>
                <w:szCs w:val="18"/>
              </w:rPr>
              <w:t>。本评级为</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内部评级，由</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根据理财产品的投资组合、同类产品过往业绩和风险状况等因素，对理财产品进行评级，仅供</w:t>
            </w:r>
            <w:r>
              <w:rPr>
                <w:rFonts w:hint="eastAsia" w:ascii="楷体" w:hAnsi="楷体" w:eastAsia="楷体" w:cs="楷体"/>
                <w:color w:val="auto"/>
                <w:sz w:val="18"/>
                <w:szCs w:val="18"/>
                <w:lang w:val="en-US" w:eastAsia="zh-CN"/>
              </w:rPr>
              <w:t>投资者</w:t>
            </w:r>
            <w:r>
              <w:rPr>
                <w:rFonts w:hint="eastAsia" w:ascii="楷体" w:hAnsi="楷体" w:eastAsia="楷体" w:cs="楷体"/>
                <w:color w:val="auto"/>
                <w:sz w:val="18"/>
                <w:szCs w:val="18"/>
              </w:rPr>
              <w:t>参考。</w:t>
            </w:r>
          </w:p>
          <w:tbl>
            <w:tblPr>
              <w:tblStyle w:val="16"/>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b/>
                <w:sz w:val="18"/>
                <w:szCs w:val="18"/>
                <w:highlight w:val="none"/>
                <w:u w:val="single"/>
              </w:rPr>
            </w:pPr>
            <w:r>
              <w:rPr>
                <w:rFonts w:hint="eastAsia" w:ascii="楷体" w:hAnsi="楷体" w:eastAsia="楷体" w:cs="楷体"/>
                <w:sz w:val="18"/>
                <w:szCs w:val="18"/>
                <w:highlight w:val="none"/>
                <w:lang w:val="en-US" w:eastAsia="zh-CN"/>
              </w:rPr>
              <w:t>2.</w:t>
            </w:r>
            <w:r>
              <w:rPr>
                <w:rFonts w:hint="eastAsia" w:ascii="楷体" w:hAnsi="楷体" w:eastAsia="楷体" w:cs="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cs="楷体"/>
                <w:b/>
                <w:bCs/>
                <w:sz w:val="18"/>
                <w:szCs w:val="18"/>
                <w:highlight w:val="none"/>
                <w:u w:val="single"/>
              </w:rPr>
              <w:t>如本产品通过代理销售机构渠道销售，</w:t>
            </w:r>
            <w:r>
              <w:rPr>
                <w:rFonts w:hint="eastAsia" w:ascii="楷体" w:hAnsi="楷体" w:eastAsia="楷体" w:cs="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z w:val="18"/>
                <w:szCs w:val="18"/>
                <w:lang w:val="en-US" w:eastAsia="zh-CN"/>
              </w:rPr>
              <w:t>3.</w:t>
            </w:r>
            <w:r>
              <w:rPr>
                <w:rFonts w:hint="eastAsia" w:ascii="楷体" w:hAnsi="楷体" w:eastAsia="楷体" w:cs="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销售对象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kern w:val="0"/>
                <w:sz w:val="18"/>
                <w:szCs w:val="18"/>
                <w:highlight w:val="none"/>
                <w:lang w:val="en-US" w:eastAsia="zh-CN" w:bidi="ar-SA"/>
              </w:rPr>
              <w:t>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币种</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份额面值</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val="0"/>
                <w:color w:val="auto"/>
                <w:spacing w:val="-2"/>
                <w:kern w:val="0"/>
                <w:sz w:val="18"/>
                <w:szCs w:val="18"/>
                <w:u w:val="none"/>
              </w:rPr>
            </w:pPr>
            <w:r>
              <w:rPr>
                <w:rFonts w:hint="eastAsia" w:ascii="楷体" w:hAnsi="楷体" w:eastAsia="楷体" w:cs="楷体"/>
                <w:color w:val="auto"/>
                <w:spacing w:val="-2"/>
                <w:kern w:val="0"/>
                <w:sz w:val="18"/>
                <w:szCs w:val="18"/>
                <w:highlight w:val="none"/>
                <w:lang w:val="en-US" w:eastAsia="zh-CN"/>
              </w:rPr>
              <w:t>本产品计划发行规模为20</w:t>
            </w:r>
            <w:r>
              <w:rPr>
                <w:rFonts w:hint="eastAsia" w:ascii="楷体" w:hAnsi="楷体" w:eastAsia="楷体" w:cs="楷体"/>
                <w:color w:val="auto"/>
                <w:spacing w:val="-2"/>
                <w:kern w:val="0"/>
                <w:sz w:val="18"/>
                <w:szCs w:val="18"/>
                <w:highlight w:val="none"/>
              </w:rPr>
              <w:t>亿</w:t>
            </w:r>
            <w:r>
              <w:rPr>
                <w:rFonts w:hint="eastAsia" w:ascii="楷体" w:hAnsi="楷体" w:eastAsia="楷体" w:cs="楷体"/>
                <w:color w:val="auto"/>
                <w:spacing w:val="-2"/>
                <w:kern w:val="0"/>
                <w:sz w:val="18"/>
                <w:szCs w:val="18"/>
                <w:highlight w:val="none"/>
                <w:lang w:val="en-US" w:eastAsia="zh-CN"/>
              </w:rPr>
              <w:t>元，</w:t>
            </w:r>
            <w:r>
              <w:rPr>
                <w:rFonts w:hint="eastAsia" w:ascii="楷体" w:hAnsi="楷体" w:eastAsia="楷体" w:cs="楷体"/>
                <w:color w:val="auto"/>
                <w:spacing w:val="-2"/>
                <w:kern w:val="0"/>
                <w:sz w:val="18"/>
                <w:szCs w:val="18"/>
                <w:highlight w:val="none"/>
              </w:rPr>
              <w:t>管理人有权</w:t>
            </w:r>
            <w:r>
              <w:rPr>
                <w:rFonts w:hint="eastAsia" w:ascii="楷体" w:hAnsi="楷体" w:eastAsia="楷体" w:cs="楷体"/>
                <w:color w:val="auto"/>
                <w:spacing w:val="-2"/>
                <w:kern w:val="0"/>
                <w:sz w:val="18"/>
                <w:szCs w:val="18"/>
                <w:highlight w:val="none"/>
                <w:lang w:val="en-US" w:eastAsia="zh-CN"/>
              </w:rPr>
              <w:t>根据实际需要</w:t>
            </w:r>
            <w:r>
              <w:rPr>
                <w:rFonts w:hint="eastAsia" w:ascii="楷体" w:hAnsi="楷体" w:eastAsia="楷体" w:cs="楷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lang w:val="en-US" w:eastAsia="zh-CN"/>
              </w:rPr>
            </w:pPr>
            <w:r>
              <w:rPr>
                <w:rFonts w:hint="eastAsia" w:ascii="楷体" w:hAnsi="楷体" w:eastAsia="楷体" w:cs="楷体"/>
                <w:b/>
                <w:color w:val="auto"/>
                <w:spacing w:val="-2"/>
                <w:sz w:val="18"/>
                <w:szCs w:val="18"/>
                <w:highlight w:val="none"/>
                <w:lang w:val="en-US" w:eastAsia="zh-CN"/>
              </w:rPr>
              <w:t>最低发行规模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highlight w:val="none"/>
              </w:rPr>
              <w:t>本产品最低发行规模为</w:t>
            </w:r>
            <w:r>
              <w:rPr>
                <w:rFonts w:hint="eastAsia" w:ascii="楷体" w:hAnsi="楷体" w:eastAsia="楷体" w:cs="楷体"/>
                <w:spacing w:val="-2"/>
                <w:sz w:val="18"/>
                <w:szCs w:val="18"/>
                <w:highlight w:val="none"/>
                <w:lang w:val="en-US" w:eastAsia="zh-CN"/>
              </w:rPr>
              <w:t>3000万</w:t>
            </w:r>
            <w:r>
              <w:rPr>
                <w:rFonts w:hint="eastAsia" w:ascii="楷体" w:hAnsi="楷体" w:eastAsia="楷体" w:cs="楷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0"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购买</w:t>
            </w:r>
            <w:r>
              <w:rPr>
                <w:rFonts w:hint="eastAsia" w:ascii="楷体" w:hAnsi="楷体" w:eastAsia="楷体" w:cs="楷体"/>
                <w:b/>
                <w:color w:val="auto"/>
                <w:spacing w:val="-2"/>
                <w:sz w:val="18"/>
                <w:szCs w:val="18"/>
              </w:rPr>
              <w:t>起点/追加金额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default"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A/B/C/D/E份额：1元/0.01元的整数倍；G份额：10万元/1万元的整数倍。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highlight w:val="none"/>
              </w:rPr>
            </w:pPr>
            <w:r>
              <w:rPr>
                <w:rFonts w:hint="eastAsia" w:ascii="楷体" w:hAnsi="楷体" w:eastAsia="楷体" w:cs="楷体"/>
                <w:sz w:val="18"/>
                <w:szCs w:val="18"/>
              </w:rPr>
              <w:t>苏银理财有权对上述起点金额</w:t>
            </w:r>
            <w:r>
              <w:rPr>
                <w:rFonts w:hint="eastAsia" w:ascii="楷体" w:hAnsi="楷体" w:eastAsia="楷体" w:cs="楷体"/>
                <w:sz w:val="18"/>
                <w:szCs w:val="18"/>
                <w:highlight w:val="none"/>
              </w:rPr>
              <w:t>和</w:t>
            </w:r>
            <w:r>
              <w:rPr>
                <w:rFonts w:hint="eastAsia" w:ascii="楷体" w:hAnsi="楷体" w:eastAsia="楷体" w:cs="楷体"/>
                <w:sz w:val="18"/>
                <w:szCs w:val="18"/>
                <w:highlight w:val="none"/>
                <w:lang w:val="en-US" w:eastAsia="zh-CN"/>
              </w:rPr>
              <w:t>追加</w:t>
            </w:r>
            <w:r>
              <w:rPr>
                <w:rFonts w:hint="eastAsia" w:ascii="楷体" w:hAnsi="楷体" w:eastAsia="楷体" w:cs="楷体"/>
                <w:sz w:val="18"/>
                <w:szCs w:val="18"/>
                <w:highlight w:val="none"/>
              </w:rPr>
              <w:t>金额进行</w:t>
            </w:r>
            <w:r>
              <w:rPr>
                <w:rFonts w:hint="eastAsia" w:ascii="楷体" w:hAnsi="楷体" w:eastAsia="楷体" w:cs="楷体"/>
                <w:sz w:val="18"/>
                <w:szCs w:val="18"/>
              </w:rPr>
              <w:t>调整，并在调整前进行公告。</w:t>
            </w:r>
            <w:r>
              <w:rPr>
                <w:rFonts w:hint="eastAsia" w:ascii="楷体" w:hAnsi="楷体" w:eastAsia="楷体" w:cs="楷体"/>
                <w:sz w:val="18"/>
                <w:szCs w:val="18"/>
                <w:lang w:eastAsia="zh-CN"/>
              </w:rPr>
              <w:t>（</w:t>
            </w:r>
            <w:r>
              <w:rPr>
                <w:rFonts w:hint="eastAsia" w:ascii="楷体" w:hAnsi="楷体" w:eastAsia="楷体" w:cs="楷体"/>
                <w:sz w:val="18"/>
                <w:szCs w:val="18"/>
              </w:rPr>
              <w:t>具体以销售机构设置为准</w:t>
            </w:r>
            <w:r>
              <w:rPr>
                <w:rFonts w:hint="eastAsia" w:ascii="楷体" w:hAnsi="楷体" w:eastAsia="楷体" w:cs="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募集期</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202</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3</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3</w:t>
            </w:r>
            <w:r>
              <w:rPr>
                <w:rFonts w:hint="eastAsia" w:ascii="楷体" w:hAnsi="楷体" w:eastAsia="楷体" w:cs="楷体"/>
                <w:color w:val="auto"/>
                <w:spacing w:val="-2"/>
                <w:sz w:val="18"/>
                <w:szCs w:val="18"/>
              </w:rPr>
              <w:t>日至202</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3</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10</w:t>
            </w:r>
            <w:r>
              <w:rPr>
                <w:rFonts w:hint="eastAsia" w:ascii="楷体" w:hAnsi="楷体" w:eastAsia="楷体" w:cs="楷体"/>
                <w:color w:val="auto"/>
                <w:spacing w:val="-2"/>
                <w:sz w:val="18"/>
                <w:szCs w:val="18"/>
              </w:rPr>
              <w:t>日</w:t>
            </w:r>
            <w:r>
              <w:rPr>
                <w:rFonts w:hint="eastAsia" w:ascii="楷体" w:hAnsi="楷体" w:eastAsia="楷体" w:cs="楷体"/>
                <w:color w:val="auto"/>
                <w:spacing w:val="-2"/>
                <w:sz w:val="18"/>
                <w:szCs w:val="18"/>
                <w:lang w:eastAsia="zh-CN"/>
              </w:rPr>
              <w:t>。</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rPr>
              <w:t>投资者可于募集期结束日交易闭市</w:t>
            </w:r>
            <w:bookmarkStart w:id="0" w:name="_GoBack"/>
            <w:bookmarkEnd w:id="0"/>
            <w:r>
              <w:rPr>
                <w:rFonts w:hint="eastAsia" w:ascii="楷体" w:hAnsi="楷体" w:eastAsia="楷体" w:cs="楷体"/>
                <w:spacing w:val="-2"/>
                <w:sz w:val="18"/>
                <w:szCs w:val="18"/>
              </w:rPr>
              <w:t>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产品成立日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2026年3月11日，如管理人调整募集期，则产品成立日将相应调整，以管理人公告为准。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w:t>
            </w:r>
            <w:r>
              <w:rPr>
                <w:rFonts w:hint="eastAsia" w:ascii="楷体" w:hAnsi="楷体" w:eastAsia="楷体" w:cs="楷体"/>
                <w:b/>
                <w:color w:val="auto"/>
                <w:spacing w:val="-2"/>
                <w:sz w:val="18"/>
                <w:szCs w:val="18"/>
                <w:lang w:val="en-US" w:eastAsia="zh-CN"/>
              </w:rPr>
              <w:t>终止日/</w:t>
            </w:r>
          </w:p>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到期日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202</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9</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9</w:t>
            </w:r>
            <w:r>
              <w:rPr>
                <w:rFonts w:hint="eastAsia" w:ascii="楷体" w:hAnsi="楷体" w:eastAsia="楷体" w:cs="楷体"/>
                <w:color w:val="auto"/>
                <w:spacing w:val="-2"/>
                <w:sz w:val="18"/>
                <w:szCs w:val="18"/>
              </w:rPr>
              <w:t>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如遇节假日，顺延至下一工作日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在符合产品说明书约定的条件下，管理人有权</w:t>
            </w:r>
            <w:r>
              <w:rPr>
                <w:rFonts w:hint="eastAsia" w:ascii="楷体" w:hAnsi="楷体" w:eastAsia="楷体" w:cs="楷体"/>
                <w:color w:val="auto"/>
                <w:spacing w:val="-2"/>
                <w:sz w:val="18"/>
                <w:szCs w:val="18"/>
                <w:lang w:val="en-US" w:eastAsia="zh-CN"/>
              </w:rPr>
              <w:t>调整产品到期日</w:t>
            </w:r>
            <w:r>
              <w:rPr>
                <w:rFonts w:hint="eastAsia" w:ascii="楷体" w:hAnsi="楷体" w:eastAsia="楷体" w:cs="楷体"/>
                <w:color w:val="auto"/>
                <w:spacing w:val="-2"/>
                <w:sz w:val="18"/>
                <w:szCs w:val="18"/>
              </w:rPr>
              <w:t>，产品到期日受制于提前终止</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延期终止</w:t>
            </w:r>
            <w:r>
              <w:rPr>
                <w:rFonts w:hint="eastAsia" w:ascii="楷体" w:hAnsi="楷体" w:eastAsia="楷体" w:cs="楷体"/>
                <w:color w:val="auto"/>
                <w:spacing w:val="-2"/>
                <w:sz w:val="18"/>
                <w:szCs w:val="18"/>
              </w:rPr>
              <w:t>条款。详见下文“</w:t>
            </w:r>
            <w:r>
              <w:rPr>
                <w:rFonts w:hint="eastAsia" w:ascii="楷体" w:hAnsi="楷体" w:eastAsia="楷体" w:cs="楷体"/>
                <w:color w:val="auto"/>
                <w:spacing w:val="-2"/>
                <w:sz w:val="18"/>
                <w:szCs w:val="18"/>
                <w:lang w:val="en-US" w:eastAsia="zh-CN"/>
              </w:rPr>
              <w:t>八</w:t>
            </w:r>
            <w:r>
              <w:rPr>
                <w:rFonts w:hint="eastAsia" w:ascii="楷体" w:hAnsi="楷体" w:eastAsia="楷体" w:cs="楷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182</w:t>
            </w:r>
            <w:r>
              <w:rPr>
                <w:rFonts w:hint="eastAsia" w:ascii="楷体" w:hAnsi="楷体" w:eastAsia="楷体" w:cs="楷体"/>
                <w:color w:val="auto"/>
                <w:spacing w:val="-2"/>
                <w:sz w:val="18"/>
                <w:szCs w:val="18"/>
              </w:rPr>
              <w:t>天（以理财产品实际存续天数为准）</w:t>
            </w:r>
            <w:r>
              <w:rPr>
                <w:rFonts w:hint="eastAsia" w:ascii="楷体" w:hAnsi="楷体" w:eastAsia="楷体" w:cs="楷体"/>
                <w:color w:val="auto"/>
                <w:spacing w:val="-2"/>
                <w:sz w:val="18"/>
                <w:szCs w:val="18"/>
                <w:lang w:eastAsia="zh-CN"/>
              </w:rPr>
              <w:t>。</w:t>
            </w:r>
            <w:r>
              <w:rPr>
                <w:rFonts w:hint="eastAsia" w:ascii="楷体" w:hAnsi="楷体" w:eastAsia="楷体" w:cs="楷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spacing w:val="-2"/>
                <w:sz w:val="18"/>
                <w:szCs w:val="18"/>
                <w:highlight w:val="none"/>
              </w:rPr>
              <w:t>单个</w:t>
            </w:r>
            <w:r>
              <w:rPr>
                <w:rFonts w:hint="eastAsia" w:ascii="楷体" w:hAnsi="楷体" w:eastAsia="楷体" w:cs="楷体"/>
                <w:b/>
                <w:spacing w:val="-2"/>
                <w:sz w:val="18"/>
                <w:szCs w:val="18"/>
                <w:highlight w:val="none"/>
                <w:lang w:val="en-US" w:eastAsia="zh-CN"/>
              </w:rPr>
              <w:t>投资者</w:t>
            </w:r>
            <w:r>
              <w:rPr>
                <w:rFonts w:hint="eastAsia" w:ascii="楷体" w:hAnsi="楷体" w:eastAsia="楷体" w:cs="楷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92"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b/>
                <w:bCs/>
                <w:spacing w:val="-2"/>
                <w:sz w:val="18"/>
                <w:szCs w:val="18"/>
                <w:u w:val="single"/>
              </w:rPr>
            </w:pPr>
            <w:r>
              <w:rPr>
                <w:rFonts w:hint="eastAsia" w:ascii="楷体" w:hAnsi="楷体" w:eastAsia="楷体" w:cs="楷体"/>
                <w:b/>
                <w:bCs/>
                <w:spacing w:val="-2"/>
                <w:sz w:val="18"/>
                <w:szCs w:val="18"/>
                <w:u w:val="single"/>
                <w:lang w:val="en-US" w:eastAsia="zh-CN"/>
              </w:rPr>
              <w:t>1.管理人</w:t>
            </w:r>
            <w:r>
              <w:rPr>
                <w:rFonts w:hint="eastAsia" w:ascii="楷体" w:hAnsi="楷体" w:eastAsia="楷体" w:cs="楷体"/>
                <w:b/>
                <w:bCs/>
                <w:spacing w:val="-2"/>
                <w:sz w:val="18"/>
                <w:szCs w:val="18"/>
                <w:u w:val="single"/>
              </w:rPr>
              <w:t>参考过往投资经验，依据近期货币市场工具、银行存款、存单、债券（含永续债）等资产投资收益水平，</w:t>
            </w:r>
            <w:r>
              <w:rPr>
                <w:rFonts w:hint="eastAsia" w:ascii="楷体" w:hAnsi="楷体" w:eastAsia="楷体" w:cs="楷体"/>
                <w:b/>
                <w:spacing w:val="-2"/>
                <w:sz w:val="18"/>
                <w:szCs w:val="18"/>
                <w:u w:val="single"/>
              </w:rPr>
              <w:t>在产品说明书约定的投资范围和投资比例内，</w:t>
            </w:r>
            <w:r>
              <w:rPr>
                <w:rFonts w:hint="eastAsia" w:ascii="楷体" w:hAnsi="楷体" w:eastAsia="楷体" w:cs="楷体"/>
                <w:b/>
                <w:spacing w:val="-2"/>
                <w:sz w:val="18"/>
                <w:szCs w:val="18"/>
                <w:highlight w:val="none"/>
                <w:u w:val="single"/>
              </w:rPr>
              <w:t>综合考虑各</w:t>
            </w:r>
            <w:r>
              <w:rPr>
                <w:rFonts w:hint="eastAsia" w:ascii="楷体" w:hAnsi="楷体" w:eastAsia="楷体" w:cs="楷体"/>
                <w:b/>
                <w:spacing w:val="-2"/>
                <w:sz w:val="18"/>
                <w:szCs w:val="18"/>
                <w:highlight w:val="none"/>
                <w:u w:val="single"/>
                <w:lang w:val="en-US" w:eastAsia="zh-CN"/>
              </w:rPr>
              <w:t>类</w:t>
            </w:r>
            <w:r>
              <w:rPr>
                <w:rFonts w:hint="eastAsia" w:ascii="楷体" w:hAnsi="楷体" w:eastAsia="楷体" w:cs="楷体"/>
                <w:b/>
                <w:spacing w:val="-2"/>
                <w:sz w:val="18"/>
                <w:szCs w:val="18"/>
                <w:highlight w:val="none"/>
                <w:u w:val="single"/>
              </w:rPr>
              <w:t>份额收取的</w:t>
            </w:r>
            <w:r>
              <w:rPr>
                <w:rFonts w:hint="eastAsia" w:ascii="楷体" w:hAnsi="楷体" w:eastAsia="楷体" w:cs="楷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spacing w:val="-2"/>
                <w:sz w:val="18"/>
                <w:szCs w:val="18"/>
              </w:rPr>
            </w:pPr>
            <w:r>
              <w:rPr>
                <w:rFonts w:hint="eastAsia" w:ascii="楷体" w:hAnsi="楷体" w:eastAsia="楷体" w:cs="楷体"/>
                <w:b/>
                <w:bCs/>
                <w:spacing w:val="-2"/>
                <w:sz w:val="18"/>
                <w:szCs w:val="18"/>
                <w:u w:val="single"/>
                <w:lang w:val="en-US" w:eastAsia="zh-CN"/>
              </w:rPr>
              <w:t>2.</w:t>
            </w:r>
            <w:r>
              <w:rPr>
                <w:rFonts w:hint="eastAsia" w:ascii="楷体" w:hAnsi="楷体" w:eastAsia="楷体" w:cs="楷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楷体"/>
                <w:b w:val="0"/>
                <w:bCs/>
                <w:spacing w:val="-2"/>
                <w:sz w:val="18"/>
                <w:szCs w:val="18"/>
                <w:highlight w:val="none"/>
                <w:u w:val="none"/>
              </w:rPr>
              <w:t>各</w:t>
            </w:r>
            <w:r>
              <w:rPr>
                <w:rFonts w:hint="eastAsia" w:ascii="楷体" w:hAnsi="楷体" w:eastAsia="楷体" w:cs="楷体"/>
                <w:b w:val="0"/>
                <w:bCs/>
                <w:spacing w:val="-2"/>
                <w:sz w:val="18"/>
                <w:szCs w:val="18"/>
                <w:highlight w:val="none"/>
                <w:u w:val="none"/>
                <w:lang w:val="en-US" w:eastAsia="zh-CN"/>
              </w:rPr>
              <w:t>类</w:t>
            </w:r>
            <w:r>
              <w:rPr>
                <w:rFonts w:hint="eastAsia" w:ascii="楷体" w:hAnsi="楷体" w:eastAsia="楷体" w:cs="楷体"/>
                <w:b w:val="0"/>
                <w:bCs/>
                <w:spacing w:val="-2"/>
                <w:sz w:val="18"/>
                <w:szCs w:val="18"/>
                <w:highlight w:val="none"/>
                <w:u w:val="none"/>
              </w:rPr>
              <w:t>份额业绩比较基准如下：</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2"/>
                <w:sz w:val="18"/>
                <w:szCs w:val="18"/>
                <w:lang w:val="en-US" w:eastAsia="zh-CN" w:bidi="ar-SA"/>
              </w:rPr>
            </w:pPr>
            <w:r>
              <w:rPr>
                <w:rFonts w:hint="eastAsia" w:ascii="楷体" w:hAnsi="楷体" w:eastAsia="楷体" w:cs="楷体"/>
                <w:color w:val="auto"/>
                <w:spacing w:val="-2"/>
                <w:kern w:val="2"/>
                <w:sz w:val="18"/>
                <w:szCs w:val="18"/>
                <w:lang w:val="en-US" w:eastAsia="zh-CN" w:bidi="ar-SA"/>
              </w:rPr>
              <w:t>A份额：2.03%；B份额：2.03%；C份额：1.98%；D份额：1.88%；E份额：1.80%；G份额：2.05%。</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03"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eastAsia="zh-CN"/>
              </w:rPr>
            </w:pPr>
            <w:r>
              <w:rPr>
                <w:rFonts w:hint="eastAsia" w:ascii="楷体" w:hAnsi="楷体" w:eastAsia="楷体" w:cs="楷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1.托管费率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：0.02%</w:t>
            </w:r>
            <w:r>
              <w:rPr>
                <w:rFonts w:hint="eastAsia" w:ascii="楷体" w:hAnsi="楷体" w:eastAsia="楷体" w:cs="楷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rPr>
            </w:pPr>
            <w:r>
              <w:rPr>
                <w:rFonts w:hint="eastAsia" w:ascii="楷体" w:hAnsi="楷体" w:eastAsia="楷体" w:cs="楷体"/>
                <w:color w:val="auto"/>
                <w:spacing w:val="-2"/>
                <w:sz w:val="18"/>
                <w:szCs w:val="18"/>
              </w:rPr>
              <w:t>2.销售服务费率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：A份额：0.15%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B份额：0.15%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C份额：0.20%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D份额：0.30%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E份额：0.35%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G份额：0.15%</w:t>
            </w:r>
            <w:r>
              <w:rPr>
                <w:rFonts w:hint="eastAsia" w:ascii="楷体" w:hAnsi="楷体" w:eastAsia="楷体" w:cs="楷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3.投资管理费率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：A份额：0.10%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B份额：0.10%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C份额：0.10%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D份额：0.10%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E份额：0.13%</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G份额：0.08%</w:t>
            </w:r>
            <w:r>
              <w:rPr>
                <w:rFonts w:hint="eastAsia" w:ascii="楷体" w:hAnsi="楷体" w:eastAsia="楷体" w:cs="楷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4.超额业绩报酬</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如有）</w:t>
            </w:r>
            <w:r>
              <w:rPr>
                <w:rFonts w:hint="eastAsia" w:ascii="楷体" w:hAnsi="楷体" w:eastAsia="楷体" w:cs="楷体"/>
                <w:color w:val="auto"/>
                <w:spacing w:val="-2"/>
                <w:sz w:val="18"/>
                <w:szCs w:val="18"/>
              </w:rPr>
              <w:t>：若产品各份额实际投资收益在扣除托管费、销售服务费、投资管理费等费用后超过各份额业绩比较基准，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5"/>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楷体"/>
                <w:b/>
                <w:bCs/>
                <w:spacing w:val="-2"/>
                <w:sz w:val="18"/>
                <w:szCs w:val="18"/>
                <w:highlight w:val="none"/>
                <w:u w:val="single"/>
              </w:rPr>
            </w:pPr>
            <w:r>
              <w:rPr>
                <w:rFonts w:hint="eastAsia" w:ascii="楷体" w:hAnsi="楷体" w:eastAsia="楷体" w:cs="楷体"/>
                <w:b/>
                <w:bCs/>
                <w:spacing w:val="-2"/>
                <w:sz w:val="18"/>
                <w:szCs w:val="18"/>
                <w:highlight w:val="none"/>
                <w:u w:val="single"/>
              </w:rPr>
              <w:t>本产品设置有多</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份额按照设置的销售对象和销售起点在不同的销售机构销售，各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份额实际收取的销售服务费</w:t>
            </w:r>
            <w:r>
              <w:rPr>
                <w:rFonts w:hint="eastAsia" w:ascii="楷体" w:hAnsi="楷体" w:eastAsia="楷体" w:cs="楷体"/>
                <w:b/>
                <w:bCs/>
                <w:spacing w:val="-2"/>
                <w:sz w:val="18"/>
                <w:szCs w:val="18"/>
                <w:highlight w:val="none"/>
                <w:u w:val="single"/>
                <w:lang w:val="en-US" w:eastAsia="zh-CN"/>
              </w:rPr>
              <w:t>率</w:t>
            </w:r>
            <w:r>
              <w:rPr>
                <w:rFonts w:hint="eastAsia" w:ascii="楷体" w:hAnsi="楷体" w:eastAsia="楷体" w:cs="楷体"/>
                <w:b/>
                <w:bCs/>
                <w:spacing w:val="-2"/>
                <w:sz w:val="18"/>
                <w:szCs w:val="18"/>
                <w:highlight w:val="none"/>
                <w:u w:val="single"/>
              </w:rPr>
              <w:t>、投资管理费</w:t>
            </w:r>
            <w:r>
              <w:rPr>
                <w:rFonts w:hint="eastAsia" w:ascii="楷体" w:hAnsi="楷体" w:eastAsia="楷体" w:cs="楷体"/>
                <w:b/>
                <w:bCs/>
                <w:spacing w:val="-2"/>
                <w:sz w:val="18"/>
                <w:szCs w:val="18"/>
                <w:highlight w:val="none"/>
                <w:u w:val="single"/>
                <w:lang w:val="en-US" w:eastAsia="zh-CN"/>
              </w:rPr>
              <w:t>率</w:t>
            </w:r>
            <w:r>
              <w:rPr>
                <w:rFonts w:hint="eastAsia" w:ascii="楷体" w:hAnsi="楷体" w:eastAsia="楷体" w:cs="楷体"/>
                <w:b/>
                <w:bCs/>
                <w:spacing w:val="-2"/>
                <w:sz w:val="18"/>
                <w:szCs w:val="18"/>
                <w:highlight w:val="none"/>
                <w:u w:val="single"/>
              </w:rPr>
              <w:t>和超额业绩报酬（如有）可能存在差异，投资者应根据各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楷体"/>
                <w:b/>
                <w:spacing w:val="-2"/>
                <w:sz w:val="18"/>
                <w:szCs w:val="18"/>
                <w:u w:val="single"/>
              </w:rPr>
            </w:pPr>
            <w:r>
              <w:rPr>
                <w:rFonts w:hint="eastAsia" w:ascii="楷体" w:hAnsi="楷体" w:eastAsia="楷体" w:cs="楷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楷体"/>
                <w:spacing w:val="-2"/>
                <w:kern w:val="2"/>
                <w:sz w:val="18"/>
                <w:szCs w:val="18"/>
                <w:highlight w:val="none"/>
                <w:lang w:val="en-US" w:eastAsia="zh-CN" w:bidi="ar-SA"/>
              </w:rPr>
            </w:pPr>
            <w:r>
              <w:rPr>
                <w:rFonts w:hint="eastAsia" w:ascii="楷体" w:hAnsi="楷体" w:eastAsia="楷体" w:cs="楷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楷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产品管理人</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s="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s="楷体"/>
          <w:color w:val="auto"/>
          <w:sz w:val="21"/>
          <w:szCs w:val="21"/>
          <w:highlight w:val="none"/>
          <w:lang w:val="en-US" w:eastAsia="zh-CN"/>
        </w:rPr>
        <w:t>监管机构</w:t>
      </w:r>
      <w:r>
        <w:rPr>
          <w:rFonts w:hint="eastAsia" w:ascii="楷体" w:hAnsi="楷体" w:eastAsia="楷体" w:cs="楷体"/>
          <w:color w:val="auto"/>
          <w:sz w:val="21"/>
          <w:szCs w:val="21"/>
          <w:highlight w:val="none"/>
        </w:rPr>
        <w:t>批准的其他业务等。</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投资者在此授权并同意苏银理财享有以下权利：按照本理财产品合同的约定，管理、运用和处分理财计划资金</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按照本理财产品合同的约定，及时、足额获得投资管理费</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管理人有权根据本理财产品合同的约定提前终止或延长本理财产品的期限</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管理人有权调整本理财产品的认购规模上限、认购起点、认购金额上限、认购资金的最</w:t>
      </w:r>
      <w:r>
        <w:rPr>
          <w:rFonts w:hint="eastAsia" w:ascii="楷体" w:hAnsi="楷体" w:eastAsia="楷体" w:cs="楷体"/>
          <w:color w:val="auto"/>
          <w:sz w:val="21"/>
          <w:szCs w:val="21"/>
          <w:highlight w:val="none"/>
          <w:lang w:val="en-US" w:eastAsia="zh-CN"/>
        </w:rPr>
        <w:t>低</w:t>
      </w:r>
      <w:r>
        <w:rPr>
          <w:rFonts w:hint="eastAsia" w:ascii="楷体" w:hAnsi="楷体" w:eastAsia="楷体" w:cs="楷体"/>
          <w:color w:val="auto"/>
          <w:sz w:val="21"/>
          <w:szCs w:val="21"/>
          <w:highlight w:val="none"/>
        </w:rPr>
        <w:t>金额等要素</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管理人有权依照法律规定和监管机构的要求将投资者的信息向有权部门或相关机构披露</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Cs w:val="21"/>
          <w:highlight w:val="none"/>
        </w:rPr>
        <w:t>产品托管人</w:t>
      </w:r>
    </w:p>
    <w:p>
      <w:pPr>
        <w:numPr>
          <w:ilvl w:val="0"/>
          <w:numId w:val="0"/>
        </w:num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s="楷体"/>
          <w:color w:val="auto"/>
          <w:sz w:val="21"/>
          <w:szCs w:val="21"/>
          <w:highlight w:val="none"/>
        </w:rPr>
        <w:t>。托管人职责</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cs="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s="楷体"/>
          <w:color w:val="auto"/>
          <w:sz w:val="21"/>
          <w:szCs w:val="21"/>
          <w:lang w:val="en-US" w:eastAsia="zh-CN"/>
        </w:rPr>
        <w:t>销售文件</w:t>
      </w:r>
      <w:r>
        <w:rPr>
          <w:rFonts w:hint="eastAsia" w:ascii="楷体" w:hAnsi="楷体" w:eastAsia="楷体" w:cs="楷体"/>
          <w:b w:val="0"/>
          <w:bCs w:val="0"/>
          <w:sz w:val="21"/>
          <w:szCs w:val="21"/>
          <w:highlight w:val="none"/>
          <w:u w:val="none"/>
        </w:rPr>
        <w:t>、协助投资者与管理人沟通、接受投资者咨询和</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A份额：江苏银行股份有限公司/江苏高淳农村商业银行股份有限公司/江苏海安农村商业银行股份有限公司/江苏沭阳农村商业银行股份有限公司/江苏启东农村商业银行股份有限公司/江苏民丰农村商业银行股份有限公司/江苏泗阳农村商业银行股份有限公司/江苏洪泽农村商业银行股份有限公司/江苏泗洪农村商业银行股份有限公司/江苏金湖农村商业银行股份有限公司/江苏盱眙农村商业银行股份有限公司/江苏建湖农村商业银行股份有限公司/宁夏银行股份有限公司/江苏赣榆农村商业银行股份有限公司/江苏阜宁农村商业银行股份有限公司/华夏银行股份有限公司/江苏江南农村商业银行股份有限公司/江苏邳州农村商业银行股份有限公司/江苏新沂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B份额：上海银行股份有限公司/甘肃银行股份有限公司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C份额：江苏紫金农村商业银行股份有限公司/江苏宜兴农村商业银行股份有限公司/江苏扬州农村商业银行股份有限公司/江苏江都农村商业银行股份有限公司/江苏仪征农村商业银行股份有限公司/江苏太仓农村商业银行股份有限公司/江苏张家港农村商业银行股份有限公司/兰州银行股份有限公司/威海银行股份有限公司/江苏常熟农村商业银行股份有限公司/江苏溧水农村商业银行股份有限公司/江苏大丰农村商业银行股份有限公司/江苏东台农村商业银行股份有限公司/东营银行股份有限公司/连云港东方农村商业银行股份有限公司/江苏东海农村商业银行股份有限公司/江苏睢宁农村商业银行股份有限公司/江苏丹阳农村商业银行股份有限公司/江苏淮安农村商业银行股份有限公司/汉口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D份额：江苏苏州农村商业银行股份有限公司/九江银行股份有限公司/江苏常熟农村商业银行股份有限公司/青岛银行股份有限公司/北京农村商业银行股份有限公司/潍坊银行股份有限公司/石嘴山银行股份有限公司/秦皇岛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E份额：重庆农村商业银行股份有限公司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G份额：江苏银行股份有限公司/江苏高淳农村商业银行股份有限公司/江苏海安农村商业银行股份有限公司/江苏民丰农村商业银行股份有限公司/江苏扬州农村商业银行股份有限公司/江苏建湖农村商业银行股份有限公司/连云港东方农村商业银行股份有限公司/江苏溧水农村商业银行股份有限公司/江苏大丰农村商业银行股份有限公司/江苏东台农村商业银行股份有限公司/苏州银行股份有限公司/江苏阜宁农村商业银行股份有限公司/江苏东海农村商业银行股份有限公司/江苏江南农村商业银行股份有限公司</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名词释义</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在本</w:t>
      </w: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销售代码：指本理财产品可能</w:t>
      </w:r>
      <w:r>
        <w:rPr>
          <w:rFonts w:hint="eastAsia" w:ascii="楷体" w:hAnsi="楷体" w:eastAsia="楷体" w:cs="楷体"/>
          <w:color w:val="auto"/>
          <w:sz w:val="21"/>
          <w:szCs w:val="21"/>
          <w:highlight w:val="none"/>
          <w:lang w:val="en-US" w:eastAsia="zh-CN"/>
        </w:rPr>
        <w:t>设置一类或多类</w:t>
      </w:r>
      <w:r>
        <w:rPr>
          <w:rFonts w:hint="eastAsia" w:ascii="楷体" w:hAnsi="楷体" w:eastAsia="楷体" w:cs="楷体"/>
          <w:color w:val="auto"/>
          <w:sz w:val="21"/>
          <w:szCs w:val="21"/>
          <w:highlight w:val="none"/>
        </w:rPr>
        <w:t>产品份额，管理人在理财产品销售管理过程中</w:t>
      </w:r>
      <w:r>
        <w:rPr>
          <w:rFonts w:hint="eastAsia" w:ascii="楷体" w:hAnsi="楷体" w:eastAsia="楷体" w:cs="楷体"/>
          <w:color w:val="auto"/>
          <w:sz w:val="21"/>
          <w:szCs w:val="21"/>
          <w:highlight w:val="none"/>
          <w:lang w:val="en-US" w:eastAsia="zh-CN"/>
        </w:rPr>
        <w:t>对各类份额</w:t>
      </w:r>
      <w:r>
        <w:rPr>
          <w:rFonts w:hint="eastAsia" w:ascii="楷体" w:hAnsi="楷体" w:eastAsia="楷体" w:cs="楷体"/>
          <w:color w:val="auto"/>
          <w:sz w:val="21"/>
          <w:szCs w:val="21"/>
          <w:highlight w:val="none"/>
        </w:rPr>
        <w:t>设置的内部</w:t>
      </w:r>
      <w:r>
        <w:rPr>
          <w:rFonts w:hint="eastAsia" w:ascii="楷体" w:hAnsi="楷体" w:eastAsia="楷体" w:cs="楷体"/>
          <w:color w:val="auto"/>
          <w:sz w:val="21"/>
          <w:szCs w:val="21"/>
          <w:highlight w:val="none"/>
          <w:lang w:val="en-US" w:eastAsia="zh-CN"/>
        </w:rPr>
        <w:t>代码</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产品资产总值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流动性受限资产：</w:t>
      </w:r>
      <w:r>
        <w:rPr>
          <w:rFonts w:hint="eastAsia" w:ascii="楷体" w:hAnsi="楷体" w:eastAsia="楷体" w:cs="楷体"/>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kern w:val="2"/>
          <w:sz w:val="21"/>
          <w:szCs w:val="21"/>
          <w:highlight w:val="none"/>
        </w:rPr>
        <w:t>7个工作日可变现资产</w:t>
      </w:r>
      <w:r>
        <w:rPr>
          <w:rFonts w:hint="eastAsia" w:ascii="楷体" w:hAnsi="楷体" w:eastAsia="楷体" w:cs="楷体"/>
          <w:kern w:val="2"/>
          <w:sz w:val="21"/>
          <w:szCs w:val="21"/>
          <w:highlight w:val="none"/>
          <w:lang w:eastAsia="zh-CN"/>
        </w:rPr>
        <w:t>：</w:t>
      </w:r>
      <w:r>
        <w:rPr>
          <w:rFonts w:hint="eastAsia" w:ascii="楷体" w:hAnsi="楷体" w:eastAsia="楷体" w:cs="楷体"/>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工作日：</w:t>
      </w:r>
      <w:r>
        <w:rPr>
          <w:rFonts w:hint="eastAsia" w:ascii="楷体" w:hAnsi="楷体" w:eastAsia="楷体" w:cs="楷体"/>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交易日：指上海证券交易所和深圳证券交易所的正常开盘交易日。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份额登记日/份额确认日：指管理人对投资者提交的</w:t>
      </w:r>
      <w:r>
        <w:rPr>
          <w:rFonts w:hint="eastAsia" w:ascii="楷体" w:hAnsi="楷体" w:eastAsia="楷体" w:cs="楷体"/>
          <w:color w:val="auto"/>
          <w:sz w:val="21"/>
          <w:szCs w:val="21"/>
          <w:lang w:val="en-US" w:eastAsia="zh-CN"/>
        </w:rPr>
        <w:t>购买</w:t>
      </w:r>
      <w:r>
        <w:rPr>
          <w:rFonts w:hint="eastAsia" w:ascii="楷体" w:hAnsi="楷体" w:eastAsia="楷体" w:cs="楷体"/>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投资管理</w:t>
      </w:r>
    </w:p>
    <w:p>
      <w:pPr>
        <w:numPr>
          <w:ilvl w:val="0"/>
          <w:numId w:val="6"/>
        </w:numPr>
        <w:tabs>
          <w:tab w:val="left" w:pos="993"/>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投资范围和比例</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理财产品直接或间接投资于货币市场工具、银行存款、存单、债券（含永续债）和监管机构允许投资的其他标准化类资产。具体资产投资比例为：货币市场工具、债券等固定收益类资产占产品资产总值比例不低于80%，符合监管要求的其他资产占产品资产总值比例不超过20%。</w:t>
      </w:r>
    </w:p>
    <w:p>
      <w:p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firstLine="0" w:firstLineChars="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投资合作机构主要职责是对理财产品受托资金进行投资管理，</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cs="楷体"/>
          <w:sz w:val="21"/>
          <w:szCs w:val="21"/>
          <w:lang w:eastAsia="zh-CN"/>
        </w:rPr>
      </w:pPr>
      <w:r>
        <w:rPr>
          <w:rFonts w:hint="eastAsia" w:ascii="楷体" w:hAnsi="楷体" w:eastAsia="楷体" w:cs="楷体"/>
          <w:sz w:val="21"/>
          <w:szCs w:val="21"/>
          <w:lang w:eastAsia="zh-CN"/>
        </w:rPr>
        <w:t>①</w:t>
      </w:r>
      <w:r>
        <w:rPr>
          <w:rFonts w:hint="eastAsia" w:ascii="楷体" w:hAnsi="楷体" w:eastAsia="楷体" w:cs="楷体"/>
          <w:sz w:val="21"/>
          <w:szCs w:val="21"/>
        </w:rPr>
        <w:t>江苏省国际信托有限责任公司</w:t>
      </w:r>
      <w:r>
        <w:rPr>
          <w:rFonts w:hint="eastAsia" w:ascii="楷体" w:hAnsi="楷体" w:eastAsia="楷体" w:cs="楷体"/>
          <w:sz w:val="21"/>
          <w:szCs w:val="21"/>
          <w:lang w:eastAsia="zh-CN"/>
        </w:rPr>
        <w:t>：</w:t>
      </w:r>
      <w:r>
        <w:rPr>
          <w:rFonts w:hint="eastAsia" w:ascii="楷体" w:hAnsi="楷体" w:eastAsia="楷体" w:cs="楷体"/>
          <w:sz w:val="21"/>
          <w:szCs w:val="21"/>
        </w:rPr>
        <w:t>江苏省国际信托有限责任公司是经江苏省人民政府和中国银行业监督管理委员会批准设立的非银行金融机构，是江苏省国信集团的主要成员企业之一，专业从事金融信托业务。②创金合信基金管理有限公司</w:t>
      </w:r>
      <w:r>
        <w:rPr>
          <w:rFonts w:hint="eastAsia" w:ascii="楷体" w:hAnsi="楷体" w:eastAsia="楷体" w:cs="楷体"/>
          <w:sz w:val="21"/>
          <w:szCs w:val="21"/>
          <w:lang w:eastAsia="zh-CN"/>
        </w:rPr>
        <w:t>：</w:t>
      </w:r>
      <w:r>
        <w:rPr>
          <w:rFonts w:hint="eastAsia" w:ascii="楷体" w:hAnsi="楷体" w:eastAsia="楷体" w:cs="楷体"/>
          <w:sz w:val="21"/>
          <w:szCs w:val="21"/>
        </w:rPr>
        <w:t>创金合信基金管理有限公司成立于2014年7月9日，由第一创业证券股份有限公司、深圳市金合信投资合伙企业（有限合伙）共同发起设立，注册地为深圳。③</w:t>
      </w:r>
      <w:r>
        <w:rPr>
          <w:rFonts w:hint="eastAsia" w:ascii="楷体" w:hAnsi="楷体" w:eastAsia="楷体"/>
          <w:b w:val="0"/>
          <w:bCs w:val="0"/>
          <w:sz w:val="20"/>
          <w:szCs w:val="20"/>
        </w:rPr>
        <w:t>国投泰康信托有限公司</w:t>
      </w:r>
      <w:r>
        <w:rPr>
          <w:rFonts w:hint="eastAsia" w:ascii="楷体" w:hAnsi="楷体" w:eastAsia="楷体"/>
          <w:b w:val="0"/>
          <w:bCs w:val="0"/>
          <w:sz w:val="20"/>
          <w:szCs w:val="20"/>
          <w:lang w:eastAsia="zh-CN"/>
        </w:rPr>
        <w:t>：</w:t>
      </w:r>
      <w:r>
        <w:rPr>
          <w:rFonts w:hint="eastAsia" w:ascii="楷体" w:hAnsi="楷体" w:eastAsia="楷体"/>
          <w:b w:val="0"/>
          <w:bCs w:val="0"/>
          <w:sz w:val="20"/>
          <w:szCs w:val="20"/>
        </w:rPr>
        <w:t>国投泰康信托有限公司是国家开发投资集团有限公司下属的混合所有制非银行金融机构，成立于1986年8月26日，总部位于北京，企业性质为中央国有企业，注册资本为26.71亿元人民币</w:t>
      </w:r>
      <w:r>
        <w:rPr>
          <w:rFonts w:hint="eastAsia" w:ascii="楷体" w:hAnsi="楷体" w:eastAsia="楷体" w:cs="楷体"/>
          <w:sz w:val="21"/>
          <w:szCs w:val="21"/>
        </w:rPr>
        <w:t>。④</w:t>
      </w:r>
      <w:r>
        <w:rPr>
          <w:rFonts w:hint="eastAsia" w:ascii="楷体" w:hAnsi="楷体" w:eastAsia="楷体"/>
          <w:b w:val="0"/>
          <w:bCs w:val="0"/>
          <w:sz w:val="20"/>
          <w:szCs w:val="20"/>
        </w:rPr>
        <w:t>国联信托股份有限公司</w:t>
      </w:r>
      <w:r>
        <w:rPr>
          <w:rFonts w:hint="eastAsia" w:ascii="楷体" w:hAnsi="楷体" w:eastAsia="楷体" w:cs="楷体"/>
          <w:sz w:val="21"/>
          <w:szCs w:val="21"/>
          <w:lang w:eastAsia="zh-CN"/>
        </w:rPr>
        <w:t>：</w:t>
      </w:r>
      <w:r>
        <w:rPr>
          <w:rFonts w:hint="eastAsia" w:ascii="楷体" w:hAnsi="楷体" w:eastAsia="楷体"/>
          <w:b w:val="0"/>
          <w:bCs w:val="0"/>
          <w:sz w:val="20"/>
          <w:szCs w:val="20"/>
        </w:rPr>
        <w:t>国联信托股份有限公司是经中国银保监会批准设立的地方国有企业，成立于1987年1月13日，总部位于江苏省无锡市，注册资本为30亿元人民币</w:t>
      </w:r>
      <w:r>
        <w:rPr>
          <w:rFonts w:hint="eastAsia" w:ascii="楷体" w:hAnsi="楷体" w:eastAsia="楷体" w:cs="楷体"/>
          <w:sz w:val="21"/>
          <w:szCs w:val="21"/>
        </w:rPr>
        <w:t>。⑤</w:t>
      </w:r>
      <w:r>
        <w:rPr>
          <w:rFonts w:hint="eastAsia" w:ascii="楷体" w:hAnsi="楷体" w:eastAsia="楷体"/>
          <w:b w:val="0"/>
          <w:bCs w:val="0"/>
          <w:sz w:val="20"/>
          <w:szCs w:val="20"/>
        </w:rPr>
        <w:t>国联证券资产管理有限公司</w:t>
      </w:r>
      <w:r>
        <w:rPr>
          <w:rFonts w:hint="eastAsia" w:ascii="楷体" w:hAnsi="楷体" w:eastAsia="楷体"/>
          <w:b w:val="0"/>
          <w:bCs w:val="0"/>
          <w:sz w:val="20"/>
          <w:szCs w:val="20"/>
          <w:lang w:eastAsia="zh-CN"/>
        </w:rPr>
        <w:t>：</w:t>
      </w:r>
      <w:r>
        <w:rPr>
          <w:rFonts w:hint="eastAsia" w:ascii="楷体" w:hAnsi="楷体" w:eastAsia="楷体"/>
          <w:b w:val="0"/>
          <w:bCs w:val="0"/>
          <w:sz w:val="20"/>
          <w:szCs w:val="20"/>
        </w:rPr>
        <w:t>国联证券资产管理有限公司成立于2023年9月20日，注册资本为10亿元人民币，法定代表人为葛小波，注册地址位于山东省青岛市，经营范围包括证券业务及证券财务顾问服务。</w:t>
      </w:r>
      <w:r>
        <w:rPr>
          <w:rFonts w:hint="eastAsia" w:ascii="楷体" w:hAnsi="楷体" w:eastAsia="楷体" w:cs="楷体"/>
          <w:b w:val="0"/>
          <w:bCs w:val="0"/>
          <w:sz w:val="20"/>
          <w:szCs w:val="20"/>
        </w:rPr>
        <w:fldChar w:fldCharType="begin"/>
      </w:r>
      <w:r>
        <w:rPr>
          <w:rFonts w:hint="eastAsia" w:ascii="楷体" w:hAnsi="楷体" w:eastAsia="楷体" w:cs="楷体"/>
          <w:b w:val="0"/>
          <w:bCs w:val="0"/>
          <w:sz w:val="20"/>
          <w:szCs w:val="20"/>
        </w:rPr>
        <w:instrText xml:space="preserve"> = 6 \* GB3 \* MERGEFORMAT </w:instrText>
      </w:r>
      <w:r>
        <w:rPr>
          <w:rFonts w:hint="eastAsia" w:ascii="楷体" w:hAnsi="楷体" w:eastAsia="楷体" w:cs="楷体"/>
          <w:b w:val="0"/>
          <w:bCs w:val="0"/>
          <w:sz w:val="20"/>
          <w:szCs w:val="20"/>
        </w:rPr>
        <w:fldChar w:fldCharType="separate"/>
      </w:r>
      <w:r>
        <w:rPr>
          <w:rFonts w:hint="eastAsia" w:ascii="楷体" w:hAnsi="楷体" w:eastAsia="楷体" w:cs="楷体"/>
        </w:rPr>
        <w:t>⑥</w:t>
      </w:r>
      <w:r>
        <w:rPr>
          <w:rFonts w:hint="eastAsia" w:ascii="楷体" w:hAnsi="楷体" w:eastAsia="楷体" w:cs="楷体"/>
          <w:b w:val="0"/>
          <w:bCs w:val="0"/>
          <w:sz w:val="20"/>
          <w:szCs w:val="20"/>
        </w:rPr>
        <w:fldChar w:fldCharType="end"/>
      </w:r>
      <w:r>
        <w:rPr>
          <w:rFonts w:hint="eastAsia" w:ascii="楷体" w:hAnsi="楷体" w:eastAsia="楷体" w:cs="楷体"/>
          <w:b w:val="0"/>
          <w:bCs w:val="0"/>
          <w:sz w:val="20"/>
          <w:szCs w:val="20"/>
        </w:rPr>
        <w:t>紫金信托有限责任公司</w:t>
      </w:r>
      <w:r>
        <w:rPr>
          <w:rFonts w:hint="eastAsia" w:ascii="楷体" w:hAnsi="楷体" w:eastAsia="楷体" w:cs="楷体"/>
          <w:b w:val="0"/>
          <w:bCs w:val="0"/>
          <w:sz w:val="20"/>
          <w:szCs w:val="20"/>
          <w:lang w:eastAsia="zh-CN"/>
        </w:rPr>
        <w:t>：</w:t>
      </w:r>
      <w:r>
        <w:rPr>
          <w:rFonts w:hint="eastAsia" w:ascii="楷体" w:hAnsi="楷体" w:eastAsia="楷体" w:cs="楷体"/>
          <w:b w:val="0"/>
          <w:bCs w:val="0"/>
          <w:sz w:val="20"/>
          <w:szCs w:val="20"/>
        </w:rPr>
        <w:t>紫金信托有限责任公司是一家经中国银保监会批准设立的信托公司，注册资本为32.71亿元人民币，总部位于南京。</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s="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color w:val="auto"/>
          <w:sz w:val="21"/>
          <w:szCs w:val="21"/>
        </w:rPr>
        <w:t>针对上述1、2</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杠杆率</w:t>
      </w:r>
      <w:r>
        <w:rPr>
          <w:rFonts w:hint="eastAsia" w:ascii="楷体" w:hAnsi="楷体" w:eastAsia="楷体" w:cs="楷体"/>
          <w:color w:val="auto"/>
          <w:sz w:val="21"/>
          <w:szCs w:val="21"/>
        </w:rPr>
        <w:t>不</w:t>
      </w:r>
      <w:r>
        <w:rPr>
          <w:rFonts w:hint="eastAsia" w:ascii="楷体" w:hAnsi="楷体" w:eastAsia="楷体" w:cs="楷体"/>
          <w:color w:val="auto"/>
          <w:sz w:val="21"/>
          <w:szCs w:val="21"/>
          <w:highlight w:val="none"/>
        </w:rPr>
        <w:t>超过</w:t>
      </w:r>
      <w:r>
        <w:rPr>
          <w:rFonts w:hint="eastAsia" w:ascii="楷体" w:hAnsi="楷体" w:eastAsia="楷体" w:cs="楷体"/>
          <w:color w:val="auto"/>
          <w:sz w:val="21"/>
          <w:szCs w:val="21"/>
          <w:highlight w:val="none"/>
          <w:lang w:val="en-US" w:eastAsia="zh-CN"/>
        </w:rPr>
        <w:t>20</w:t>
      </w:r>
      <w:r>
        <w:rPr>
          <w:rFonts w:hint="eastAsia" w:ascii="楷体" w:hAnsi="楷体" w:eastAsia="楷体" w:cs="楷体"/>
          <w:color w:val="auto"/>
          <w:sz w:val="21"/>
          <w:szCs w:val="21"/>
          <w:highlight w:val="none"/>
        </w:rPr>
        <w:t>0%。</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若法律法规、国家监管政策或市场情况发生重大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产品认购</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认购方式</w:t>
      </w:r>
      <w:r>
        <w:rPr>
          <w:rFonts w:hint="eastAsia" w:ascii="楷体" w:hAnsi="楷体" w:eastAsia="楷体" w:cs="楷体"/>
          <w:color w:val="auto"/>
          <w:sz w:val="21"/>
          <w:szCs w:val="21"/>
          <w:lang w:val="en-US" w:eastAsia="zh-CN"/>
        </w:rPr>
        <w:t>及确认</w:t>
      </w:r>
    </w:p>
    <w:p>
      <w:pPr>
        <w:numPr>
          <w:ilvl w:val="0"/>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本理财产品可在各销售机构指定渠道进行认购</w:t>
      </w:r>
      <w:r>
        <w:rPr>
          <w:rFonts w:hint="eastAsia" w:ascii="楷体" w:hAnsi="楷体" w:eastAsia="楷体" w:cs="楷体"/>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cs="楷体"/>
          <w:sz w:val="21"/>
          <w:szCs w:val="21"/>
          <w:highlight w:val="none"/>
        </w:rPr>
        <w:t>因投资者资金账户余额不足、司法冻结、不可抗力因素或其他不可归责于</w:t>
      </w: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和销售机构的事由出现，造成认购申请未被确认的，</w:t>
      </w: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认购份额的计算</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认购份额=认购金额/产品</w:t>
      </w:r>
      <w:r>
        <w:rPr>
          <w:rFonts w:hint="eastAsia" w:ascii="楷体" w:hAnsi="楷体" w:eastAsia="楷体" w:cs="楷体"/>
          <w:color w:val="auto"/>
          <w:sz w:val="21"/>
          <w:szCs w:val="21"/>
          <w:lang w:val="en-US" w:eastAsia="zh-CN"/>
        </w:rPr>
        <w:t>份额面值，</w:t>
      </w:r>
      <w:r>
        <w:rPr>
          <w:rFonts w:hint="eastAsia" w:ascii="楷体" w:hAnsi="楷体" w:eastAsia="楷体" w:cs="楷体"/>
          <w:color w:val="auto"/>
          <w:sz w:val="21"/>
          <w:szCs w:val="21"/>
        </w:rPr>
        <w:t>认购份额以四舍五入的方法保留到小数点后两位。</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产品终止</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提前终止</w:t>
      </w:r>
    </w:p>
    <w:p>
      <w:pPr>
        <w:numPr>
          <w:ilvl w:val="0"/>
          <w:numId w:val="0"/>
        </w:numPr>
        <w:ind w:left="0"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在理财产品投资运作期间内，投资者无权要求提前终止该理财产品。在理财产品投资运作期间内，</w:t>
      </w:r>
      <w:r>
        <w:rPr>
          <w:rFonts w:hint="eastAsia" w:ascii="楷体" w:hAnsi="楷体" w:eastAsia="楷体" w:cs="楷体"/>
          <w:b w:val="0"/>
          <w:bCs w:val="0"/>
          <w:color w:val="auto"/>
          <w:sz w:val="21"/>
          <w:szCs w:val="21"/>
          <w:lang w:val="en-US" w:eastAsia="zh-CN"/>
        </w:rPr>
        <w:t>包括但不限于</w:t>
      </w:r>
      <w:r>
        <w:rPr>
          <w:rFonts w:hint="eastAsia" w:ascii="楷体" w:hAnsi="楷体" w:eastAsia="楷体" w:cs="楷体"/>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如理财产品管理人提前终止本理财产品，将至少提前2个工作日（含）按说明书约定的信息披露方式予以披露</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明确产品终止日</w:t>
      </w:r>
      <w:r>
        <w:rPr>
          <w:rFonts w:hint="eastAsia" w:ascii="楷体" w:hAnsi="楷体" w:eastAsia="楷体" w:cs="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正常终止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延期</w:t>
      </w:r>
      <w:r>
        <w:rPr>
          <w:rFonts w:hint="eastAsia" w:ascii="楷体" w:hAnsi="楷体" w:eastAsia="楷体" w:cs="楷体"/>
          <w:color w:val="auto"/>
          <w:sz w:val="21"/>
          <w:szCs w:val="21"/>
          <w:lang w:val="en-US" w:eastAsia="zh-CN"/>
        </w:rPr>
        <w:t>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投资者可得资金计算</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投资者可得资金=投资者持有份额×产品到期</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终止）</w:t>
      </w:r>
      <w:r>
        <w:rPr>
          <w:rFonts w:hint="eastAsia" w:ascii="楷体" w:hAnsi="楷体" w:eastAsia="楷体" w:cs="楷体"/>
          <w:b w:val="0"/>
          <w:bCs w:val="0"/>
          <w:color w:val="auto"/>
          <w:sz w:val="21"/>
          <w:szCs w:val="21"/>
        </w:rPr>
        <w:t>时单位净值</w:t>
      </w:r>
      <w:r>
        <w:rPr>
          <w:rFonts w:hint="eastAsia" w:ascii="楷体" w:hAnsi="楷体" w:eastAsia="楷体" w:cs="楷体"/>
          <w:b w:val="0"/>
          <w:bCs w:val="0"/>
          <w:color w:val="auto"/>
          <w:sz w:val="21"/>
          <w:szCs w:val="21"/>
          <w:lang w:val="en-US" w:eastAsia="zh-CN"/>
        </w:rPr>
        <w:t>-超额业绩报酬（如有）</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终止</w:t>
      </w:r>
      <w:r>
        <w:rPr>
          <w:rFonts w:hint="eastAsia" w:ascii="楷体" w:hAnsi="楷体" w:eastAsia="楷体" w:cs="楷体"/>
          <w:color w:val="auto"/>
          <w:sz w:val="21"/>
          <w:szCs w:val="21"/>
        </w:rPr>
        <w:t>清算</w:t>
      </w:r>
    </w:p>
    <w:p>
      <w:pPr>
        <w:ind w:firstLine="420" w:firstLineChars="200"/>
        <w:rPr>
          <w:rFonts w:hint="eastAsia" w:ascii="楷体" w:hAnsi="楷体" w:eastAsia="楷体" w:cs="楷体"/>
        </w:rPr>
      </w:pPr>
      <w:r>
        <w:rPr>
          <w:rFonts w:hint="eastAsia" w:ascii="楷体" w:hAnsi="楷体" w:eastAsia="楷体" w:cs="楷体"/>
          <w:color w:val="auto"/>
          <w:sz w:val="21"/>
          <w:szCs w:val="21"/>
        </w:rPr>
        <w:t>投资者的投资本金和收益（如有）将于产品到期日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产品终止日）</w:t>
      </w:r>
      <w:r>
        <w:rPr>
          <w:rFonts w:hint="eastAsia" w:ascii="楷体" w:hAnsi="楷体" w:eastAsia="楷体" w:cs="楷体"/>
          <w:color w:val="auto"/>
          <w:sz w:val="21"/>
          <w:szCs w:val="21"/>
        </w:rPr>
        <w:t>后5个工作日以内划至投资者指定账户，如遇</w:t>
      </w:r>
      <w:r>
        <w:rPr>
          <w:rFonts w:hint="eastAsia" w:ascii="楷体" w:hAnsi="楷体" w:eastAsia="楷体" w:cs="楷体"/>
          <w:color w:val="auto"/>
          <w:sz w:val="21"/>
          <w:szCs w:val="21"/>
          <w:lang w:val="en-US" w:eastAsia="zh-CN"/>
        </w:rPr>
        <w:t>非工作日</w:t>
      </w:r>
      <w:r>
        <w:rPr>
          <w:rFonts w:hint="eastAsia" w:ascii="楷体" w:hAnsi="楷体" w:eastAsia="楷体" w:cs="楷体"/>
          <w:color w:val="auto"/>
          <w:sz w:val="21"/>
          <w:szCs w:val="21"/>
        </w:rPr>
        <w:t>则相应顺延。</w:t>
      </w:r>
    </w:p>
    <w:p>
      <w:pPr>
        <w:numPr>
          <w:ilvl w:val="0"/>
          <w:numId w:val="2"/>
        </w:numPr>
        <w:tabs>
          <w:tab w:val="left" w:pos="1134"/>
        </w:tabs>
        <w:ind w:left="420" w:leftChars="0" w:firstLine="0" w:firstLineChars="0"/>
        <w:rPr>
          <w:rFonts w:hint="eastAsia" w:ascii="楷体" w:hAnsi="楷体" w:eastAsia="楷体" w:cs="楷体"/>
          <w:b/>
          <w:color w:val="auto"/>
          <w:sz w:val="21"/>
          <w:szCs w:val="21"/>
          <w:lang w:val="en-US" w:eastAsia="zh-CN"/>
        </w:rPr>
      </w:pPr>
      <w:r>
        <w:rPr>
          <w:rFonts w:hint="eastAsia" w:ascii="楷体" w:hAnsi="楷体" w:eastAsia="楷体" w:cs="楷体"/>
          <w:b/>
          <w:color w:val="auto"/>
          <w:sz w:val="21"/>
          <w:szCs w:val="21"/>
          <w:lang w:val="en-US" w:eastAsia="zh-CN"/>
        </w:rPr>
        <w:t>情景示例</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以下示例均为假设情况，不代表本产品实际投资业绩。</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1.情景一</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-10,000.00=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2.情景二</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-10,000.00=-2</w:t>
      </w:r>
      <w:r>
        <w:rPr>
          <w:rFonts w:hint="eastAsia" w:ascii="楷体" w:hAnsi="楷体" w:eastAsia="楷体" w:cs="楷体"/>
          <w:color w:val="auto"/>
          <w:sz w:val="21"/>
          <w:szCs w:val="21"/>
          <w:lang w:val="en-US" w:eastAsia="zh-CN"/>
        </w:rPr>
        <w:t>4</w:t>
      </w:r>
      <w:r>
        <w:rPr>
          <w:rFonts w:hint="eastAsia" w:ascii="楷体" w:hAnsi="楷体" w:eastAsia="楷体" w:cs="楷体"/>
          <w:color w:val="auto"/>
          <w:sz w:val="21"/>
          <w:szCs w:val="21"/>
        </w:rPr>
        <w:t>.0</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（元）</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cs="楷体"/>
          <w:b/>
          <w:bCs w:val="0"/>
          <w:sz w:val="21"/>
          <w:szCs w:val="21"/>
          <w:highlight w:val="none"/>
        </w:rPr>
      </w:pPr>
      <w:r>
        <w:rPr>
          <w:rFonts w:hint="eastAsia" w:ascii="楷体" w:hAnsi="楷体" w:eastAsia="楷体" w:cs="楷体"/>
          <w:b/>
          <w:bCs w:val="0"/>
          <w:color w:val="auto"/>
          <w:sz w:val="21"/>
          <w:szCs w:val="21"/>
          <w:lang w:val="en-US" w:eastAsia="zh-CN"/>
        </w:rPr>
        <w:t>产品费用</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本产品费用包括托管费、销售服务费、投资管理费、超额业绩报酬（如有）以及产品运作和清算中产生的其他费用等。计提方法</w:t>
      </w:r>
      <w:r>
        <w:rPr>
          <w:rFonts w:hint="eastAsia" w:ascii="楷体" w:hAnsi="楷体" w:eastAsia="楷体" w:cs="楷体"/>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托管费：每日计提，</w:t>
      </w:r>
      <w:r>
        <w:rPr>
          <w:rFonts w:hint="eastAsia" w:ascii="楷体" w:hAnsi="楷体" w:eastAsia="楷体" w:cs="楷体"/>
          <w:sz w:val="21"/>
          <w:szCs w:val="21"/>
        </w:rPr>
        <w:t>每日应计提的托管费＝前一日的产品资产净值×托管费率÷365</w:t>
      </w:r>
      <w:r>
        <w:rPr>
          <w:rFonts w:hint="eastAsia" w:ascii="楷体" w:hAnsi="楷体" w:eastAsia="楷体" w:cs="楷体"/>
          <w:sz w:val="21"/>
          <w:szCs w:val="21"/>
          <w:lang w:eastAsia="zh-CN"/>
        </w:rPr>
        <w:t>。</w:t>
      </w:r>
    </w:p>
    <w:p>
      <w:pPr>
        <w:numPr>
          <w:ilvl w:val="0"/>
          <w:numId w:val="10"/>
        </w:numPr>
        <w:tabs>
          <w:tab w:val="left" w:pos="728"/>
        </w:tabs>
        <w:ind w:left="0" w:firstLine="420" w:firstLineChars="200"/>
        <w:rPr>
          <w:rFonts w:hint="eastAsia" w:ascii="楷体" w:hAnsi="楷体" w:eastAsia="楷体" w:cs="楷体"/>
          <w:sz w:val="21"/>
          <w:szCs w:val="21"/>
          <w:lang w:eastAsia="zh-CN"/>
        </w:rPr>
      </w:pPr>
      <w:r>
        <w:rPr>
          <w:rFonts w:hint="eastAsia" w:ascii="楷体" w:hAnsi="楷体" w:eastAsia="楷体" w:cs="楷体"/>
          <w:color w:val="auto"/>
          <w:sz w:val="21"/>
          <w:szCs w:val="21"/>
        </w:rPr>
        <w:t>销售服务费：每日计提</w:t>
      </w:r>
      <w:r>
        <w:rPr>
          <w:rFonts w:hint="eastAsia" w:ascii="楷体" w:hAnsi="楷体" w:eastAsia="楷体" w:cs="楷体"/>
          <w:color w:val="auto"/>
          <w:sz w:val="21"/>
          <w:szCs w:val="21"/>
          <w:lang w:eastAsia="zh-CN"/>
        </w:rPr>
        <w:t>，</w:t>
      </w:r>
      <w:r>
        <w:rPr>
          <w:rFonts w:hint="eastAsia" w:ascii="楷体" w:hAnsi="楷体" w:eastAsia="楷体" w:cs="楷体"/>
          <w:sz w:val="21"/>
          <w:szCs w:val="21"/>
        </w:rPr>
        <w:t>每日应计提的销售服务费＝前一日的产品资产净值×销售服务费率÷365</w:t>
      </w:r>
      <w:r>
        <w:rPr>
          <w:rFonts w:hint="eastAsia" w:ascii="楷体" w:hAnsi="楷体" w:eastAsia="楷体" w:cs="楷体"/>
          <w:sz w:val="21"/>
          <w:szCs w:val="21"/>
          <w:lang w:eastAsia="zh-CN"/>
        </w:rPr>
        <w:t>。</w:t>
      </w:r>
    </w:p>
    <w:p>
      <w:pPr>
        <w:numPr>
          <w:ilvl w:val="0"/>
          <w:numId w:val="10"/>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投资管理费：每日计提，</w:t>
      </w:r>
      <w:r>
        <w:rPr>
          <w:rFonts w:hint="eastAsia" w:ascii="楷体" w:hAnsi="楷体" w:eastAsia="楷体" w:cs="楷体"/>
          <w:sz w:val="21"/>
          <w:szCs w:val="21"/>
        </w:rPr>
        <w:t>每日应计提的投资管理费＝前一日的产品资产净值×投资管理费率÷365</w:t>
      </w:r>
      <w:r>
        <w:rPr>
          <w:rFonts w:hint="eastAsia" w:ascii="楷体" w:hAnsi="楷体" w:eastAsia="楷体" w:cs="楷体"/>
          <w:sz w:val="21"/>
          <w:szCs w:val="21"/>
          <w:lang w:eastAsia="zh-CN"/>
        </w:rPr>
        <w:t>。</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超额业绩报酬</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如有）</w:t>
      </w:r>
      <w:r>
        <w:rPr>
          <w:rFonts w:hint="eastAsia" w:ascii="楷体" w:hAnsi="楷体" w:eastAsia="楷体" w:cs="楷体"/>
          <w:color w:val="auto"/>
          <w:sz w:val="21"/>
          <w:szCs w:val="21"/>
        </w:rPr>
        <w:t>：</w:t>
      </w:r>
      <w:r>
        <w:rPr>
          <w:rFonts w:hint="eastAsia" w:ascii="楷体" w:hAnsi="楷体" w:eastAsia="楷体" w:cs="楷体"/>
          <w:sz w:val="21"/>
          <w:szCs w:val="21"/>
          <w:highlight w:val="none"/>
        </w:rPr>
        <w:t>管理人按</w:t>
      </w:r>
      <w:r>
        <w:rPr>
          <w:rFonts w:hint="eastAsia" w:ascii="楷体" w:hAnsi="楷体" w:eastAsia="楷体" w:cs="楷体"/>
          <w:sz w:val="21"/>
          <w:szCs w:val="21"/>
          <w:highlight w:val="none"/>
          <w:lang w:val="en-US" w:eastAsia="zh-CN"/>
        </w:rPr>
        <w:t>产品存续期</w:t>
      </w:r>
      <w:r>
        <w:rPr>
          <w:rFonts w:hint="eastAsia" w:ascii="楷体" w:hAnsi="楷体" w:eastAsia="楷体" w:cs="楷体"/>
          <w:sz w:val="21"/>
          <w:szCs w:val="21"/>
          <w:highlight w:val="none"/>
        </w:rPr>
        <w:t>收取超额业绩报酬</w:t>
      </w:r>
      <w:r>
        <w:rPr>
          <w:rFonts w:hint="eastAsia" w:ascii="楷体" w:hAnsi="楷体" w:eastAsia="楷体" w:cs="楷体"/>
          <w:sz w:val="21"/>
          <w:szCs w:val="21"/>
          <w:highlight w:val="none"/>
          <w:lang w:eastAsia="zh-CN"/>
        </w:rPr>
        <w:t>，</w:t>
      </w:r>
      <w:r>
        <w:rPr>
          <w:rFonts w:hint="eastAsia" w:ascii="楷体" w:hAnsi="楷体" w:eastAsia="楷体" w:cs="楷体"/>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ascii="楷体" w:hAnsi="楷体" w:eastAsia="楷体" w:cs="楷体"/>
        </w:rPr>
      </w:pPr>
      <w:r>
        <w:rPr>
          <w:rFonts w:hint="eastAsia" w:ascii="楷体" w:hAnsi="楷体" w:eastAsia="楷体" w:cs="楷体"/>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Cs w:val="21"/>
          <w:lang w:val="en-US" w:eastAsia="zh-CN"/>
        </w:rPr>
        <w:t>费用计算</w:t>
      </w:r>
      <w:r>
        <w:rPr>
          <w:rFonts w:hint="eastAsia" w:ascii="楷体" w:hAnsi="楷体" w:eastAsia="楷体" w:cs="楷体"/>
          <w:color w:val="auto"/>
          <w:szCs w:val="21"/>
        </w:rPr>
        <w:t>四舍五入保留至小数点后两位</w:t>
      </w:r>
      <w:r>
        <w:rPr>
          <w:rFonts w:hint="eastAsia" w:ascii="楷体" w:hAnsi="楷体" w:eastAsia="楷体" w:cs="楷体"/>
          <w:color w:val="auto"/>
          <w:szCs w:val="21"/>
          <w:lang w:eastAsia="zh-CN"/>
        </w:rPr>
        <w:t>。</w:t>
      </w:r>
    </w:p>
    <w:p>
      <w:p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楷体"/>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产品估值</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估值对象</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估值要求</w:t>
      </w:r>
    </w:p>
    <w:p>
      <w:pPr>
        <w:numPr>
          <w:ilvl w:val="0"/>
          <w:numId w:val="12"/>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本产品资产估值的目的是客观、准确</w:t>
      </w:r>
      <w:r>
        <w:rPr>
          <w:rFonts w:hint="eastAsia" w:ascii="楷体" w:hAnsi="楷体" w:eastAsia="楷体" w:cs="楷体"/>
          <w:color w:val="auto"/>
          <w:sz w:val="21"/>
          <w:szCs w:val="21"/>
          <w:lang w:val="en-US" w:eastAsia="zh-CN"/>
        </w:rPr>
        <w:t>地</w:t>
      </w:r>
      <w:r>
        <w:rPr>
          <w:rFonts w:hint="eastAsia" w:ascii="楷体" w:hAnsi="楷体" w:eastAsia="楷体" w:cs="楷体"/>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本产品单位净值精确到小数点后</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位，小数点</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位后截位。</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估值方法</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1.存款类资产、货币市场工具：以本金列示，逐日计提利息。</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7.其他资产：按公允价值进行估值。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估值错误的处理</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暂停估值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信息披露</w:t>
      </w:r>
    </w:p>
    <w:p>
      <w:pPr>
        <w:numPr>
          <w:ilvl w:val="0"/>
          <w:numId w:val="13"/>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方式</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通过苏银理财有限责任公司官方网站（www</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suyinwealth</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com）进行信息披露。</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将信息披露内容发送销售机构，由销售机构通过</w:t>
      </w:r>
      <w:r>
        <w:rPr>
          <w:rFonts w:hint="eastAsia" w:ascii="楷体" w:hAnsi="楷体" w:eastAsia="楷体" w:cs="楷体"/>
          <w:sz w:val="21"/>
          <w:szCs w:val="21"/>
          <w:highlight w:val="none"/>
          <w:lang w:val="en-US" w:eastAsia="zh-CN"/>
        </w:rPr>
        <w:t>短信及</w:t>
      </w:r>
      <w:r>
        <w:rPr>
          <w:rFonts w:hint="eastAsia" w:ascii="楷体" w:hAnsi="楷体" w:eastAsia="楷体" w:cs="楷体"/>
          <w:sz w:val="21"/>
          <w:szCs w:val="21"/>
          <w:highlight w:val="none"/>
        </w:rPr>
        <w:t>销售机构电子渠道和营业网点</w:t>
      </w:r>
      <w:r>
        <w:rPr>
          <w:rFonts w:hint="eastAsia" w:ascii="楷体" w:hAnsi="楷体" w:eastAsia="楷体" w:cs="楷体"/>
          <w:sz w:val="21"/>
          <w:szCs w:val="21"/>
          <w:highlight w:val="none"/>
          <w:lang w:val="en-US" w:eastAsia="zh-CN"/>
        </w:rPr>
        <w:t>等方式</w:t>
      </w:r>
      <w:r>
        <w:rPr>
          <w:rFonts w:hint="eastAsia" w:ascii="楷体" w:hAnsi="楷体" w:eastAsia="楷体" w:cs="楷体"/>
          <w:sz w:val="21"/>
          <w:szCs w:val="21"/>
          <w:highlight w:val="none"/>
        </w:rPr>
        <w:t>进行信息披露。</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rPr>
        <w:t>相关信息在发布或发出之日视为通知已送达投资者并生效，</w:t>
      </w:r>
      <w:r>
        <w:rPr>
          <w:rFonts w:hint="eastAsia" w:ascii="楷体" w:hAnsi="楷体" w:eastAsia="楷体" w:cs="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cs="楷体"/>
          <w:sz w:val="21"/>
          <w:szCs w:val="21"/>
          <w:highlight w:val="none"/>
        </w:rPr>
        <w:t>请</w:t>
      </w:r>
      <w:r>
        <w:rPr>
          <w:rFonts w:hint="eastAsia" w:ascii="楷体" w:hAnsi="楷体" w:eastAsia="楷体" w:cs="楷体"/>
          <w:sz w:val="21"/>
          <w:szCs w:val="21"/>
          <w:highlight w:val="none"/>
          <w:lang w:val="en-US" w:eastAsia="zh-CN"/>
        </w:rPr>
        <w:t>投资者</w:t>
      </w:r>
      <w:r>
        <w:rPr>
          <w:rFonts w:hint="eastAsia" w:ascii="楷体" w:hAnsi="楷体" w:eastAsia="楷体" w:cs="楷体"/>
          <w:sz w:val="21"/>
          <w:szCs w:val="21"/>
          <w:highlight w:val="none"/>
        </w:rPr>
        <w:t>及时登陆苏银理财有限责任</w:t>
      </w:r>
      <w:r>
        <w:rPr>
          <w:rFonts w:hint="eastAsia" w:ascii="楷体" w:hAnsi="楷体" w:eastAsia="楷体" w:cs="楷体"/>
          <w:sz w:val="21"/>
          <w:szCs w:val="21"/>
          <w:highlight w:val="none"/>
          <w:lang w:val="en-US" w:eastAsia="zh-CN"/>
        </w:rPr>
        <w:t>公司</w:t>
      </w:r>
      <w:r>
        <w:rPr>
          <w:rFonts w:hint="eastAsia" w:ascii="楷体" w:hAnsi="楷体" w:eastAsia="楷体" w:cs="楷体"/>
          <w:sz w:val="21"/>
          <w:szCs w:val="21"/>
          <w:highlight w:val="none"/>
        </w:rPr>
        <w:t>官方网站或者向销售机构查询获取披露信息</w:t>
      </w:r>
      <w:r>
        <w:rPr>
          <w:rFonts w:hint="eastAsia" w:ascii="楷体" w:hAnsi="楷体" w:eastAsia="楷体" w:cs="楷体"/>
          <w:color w:val="auto"/>
          <w:sz w:val="21"/>
          <w:szCs w:val="21"/>
          <w:highlight w:val="none"/>
        </w:rPr>
        <w:t>。</w:t>
      </w:r>
    </w:p>
    <w:p>
      <w:pPr>
        <w:numPr>
          <w:ilvl w:val="0"/>
          <w:numId w:val="13"/>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内容及时间</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产品净值：</w:t>
      </w:r>
      <w:r>
        <w:rPr>
          <w:rFonts w:hint="eastAsia" w:ascii="楷体" w:hAnsi="楷体" w:eastAsia="楷体" w:cs="楷体"/>
          <w:color w:val="auto"/>
          <w:sz w:val="21"/>
          <w:szCs w:val="21"/>
          <w:highlight w:val="none"/>
          <w:lang w:val="en-US" w:eastAsia="zh-CN"/>
        </w:rPr>
        <w:t>公募封闭式产品至少</w:t>
      </w:r>
      <w:r>
        <w:rPr>
          <w:rFonts w:hint="eastAsia" w:ascii="楷体" w:hAnsi="楷体" w:eastAsia="楷体" w:cs="楷体"/>
          <w:color w:val="auto"/>
          <w:sz w:val="21"/>
          <w:szCs w:val="21"/>
          <w:highlight w:val="none"/>
        </w:rPr>
        <w:t>每周向投资者披露一次产品的份额净值、份额累计净值</w:t>
      </w:r>
      <w:r>
        <w:rPr>
          <w:rFonts w:hint="eastAsia" w:ascii="楷体" w:hAnsi="楷体" w:eastAsia="楷体" w:cs="楷体"/>
          <w:color w:val="auto"/>
          <w:sz w:val="21"/>
          <w:szCs w:val="21"/>
          <w:highlight w:val="none"/>
          <w:lang w:val="en-US" w:eastAsia="zh-CN"/>
        </w:rPr>
        <w:t>；公募开放式产品</w:t>
      </w:r>
      <w:r>
        <w:rPr>
          <w:rFonts w:hint="eastAsia" w:ascii="楷体" w:hAnsi="楷体" w:eastAsia="楷体" w:cs="楷体"/>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楷体"/>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重大事项公告：管理人在发生可能对理财产品投资者或者理财产品收益</w:t>
      </w:r>
      <w:r>
        <w:rPr>
          <w:rFonts w:hint="eastAsia" w:ascii="楷体" w:hAnsi="楷体" w:eastAsia="楷体" w:cs="楷体"/>
          <w:color w:val="auto"/>
          <w:sz w:val="21"/>
          <w:szCs w:val="21"/>
          <w:lang w:val="en-US" w:eastAsia="zh-CN"/>
        </w:rPr>
        <w:t>产生重大影响</w:t>
      </w:r>
      <w:r>
        <w:rPr>
          <w:rFonts w:hint="eastAsia" w:ascii="楷体" w:hAnsi="楷体" w:eastAsia="楷体" w:cs="楷体"/>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半年度整体报告：每半年披露从事理财业务活动的有关信息。</w:t>
      </w:r>
    </w:p>
    <w:p>
      <w:pPr>
        <w:numPr>
          <w:ilvl w:val="0"/>
          <w:numId w:val="15"/>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楷体"/>
          <w:color w:val="auto"/>
          <w:sz w:val="21"/>
          <w:szCs w:val="21"/>
          <w:lang w:val="en-US" w:eastAsia="zh-CN"/>
        </w:rPr>
        <w:t>单位</w:t>
      </w:r>
      <w:r>
        <w:rPr>
          <w:rFonts w:hint="eastAsia" w:ascii="楷体" w:hAnsi="楷体" w:eastAsia="楷体" w:cs="楷体"/>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其他</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追索条款</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信息安全</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苏银理财及</w:t>
      </w:r>
      <w:r>
        <w:rPr>
          <w:rFonts w:hint="eastAsia" w:ascii="楷体" w:hAnsi="楷体" w:eastAsia="楷体" w:cs="楷体"/>
          <w:color w:val="auto"/>
          <w:sz w:val="21"/>
          <w:szCs w:val="21"/>
          <w:lang w:val="en-US" w:eastAsia="zh-CN"/>
        </w:rPr>
        <w:t>销售</w:t>
      </w:r>
      <w:r>
        <w:rPr>
          <w:rFonts w:hint="eastAsia" w:ascii="楷体" w:hAnsi="楷体" w:eastAsia="楷体" w:cs="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争议解决</w:t>
      </w:r>
    </w:p>
    <w:p>
      <w:pPr>
        <w:ind w:firstLine="420" w:firstLineChars="200"/>
      </w:pP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cs="楷体"/>
          <w:b w:val="0"/>
          <w:bCs w:val="0"/>
          <w:color w:val="auto"/>
          <w:sz w:val="21"/>
          <w:szCs w:val="21"/>
          <w:lang w:val="en-US" w:eastAsia="zh-CN"/>
        </w:rPr>
        <w:t>因本产品说明书</w:t>
      </w:r>
      <w:r>
        <w:rPr>
          <w:rFonts w:hint="eastAsia" w:ascii="楷体" w:hAnsi="楷体" w:eastAsia="楷体" w:cs="楷体"/>
          <w:b w:val="0"/>
          <w:bCs w:val="0"/>
          <w:color w:val="auto"/>
          <w:sz w:val="21"/>
          <w:szCs w:val="21"/>
        </w:rPr>
        <w:t>引起的或与</w:t>
      </w: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9571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29122E"/>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361E5"/>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8A2985"/>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1C4156"/>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4E3DC5"/>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C1FEB"/>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2E6219"/>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139A0"/>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3E1B5A"/>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7E6326"/>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A29AB"/>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47A16"/>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880B1A"/>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D909B2"/>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5F3034"/>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367CD"/>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1F6852"/>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89382E"/>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25D02"/>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1E7"/>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B0650"/>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1268B"/>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D86C8B"/>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C0972"/>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56A8D"/>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561614"/>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422F8"/>
    <w:rsid w:val="47A806A6"/>
    <w:rsid w:val="47A81BD4"/>
    <w:rsid w:val="47AB5FB8"/>
    <w:rsid w:val="47B01F63"/>
    <w:rsid w:val="47B57AA9"/>
    <w:rsid w:val="47BD1A01"/>
    <w:rsid w:val="47C75897"/>
    <w:rsid w:val="47D16693"/>
    <w:rsid w:val="47D4301F"/>
    <w:rsid w:val="47FD2131"/>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068C"/>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5A0BBE"/>
    <w:rsid w:val="4F604B42"/>
    <w:rsid w:val="4F6575E9"/>
    <w:rsid w:val="4F6C7648"/>
    <w:rsid w:val="4F7A37D0"/>
    <w:rsid w:val="4F9163A1"/>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473B81"/>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EB0214"/>
    <w:rsid w:val="57F6781C"/>
    <w:rsid w:val="580049A4"/>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CA08A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41174"/>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7244A"/>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22E5F"/>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22E2C"/>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EC3CAF"/>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956FC"/>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0BFD"/>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0D50B8"/>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C25A56"/>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45BEF"/>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1F1AD8"/>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03E56"/>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34C78"/>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14138</Words>
  <Characters>15064</Characters>
  <Lines>243</Lines>
  <Paragraphs>68</Paragraphs>
  <TotalTime>0</TotalTime>
  <ScaleCrop>false</ScaleCrop>
  <LinksUpToDate>false</LinksUpToDate>
  <CharactersWithSpaces>15067</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2026-02-25T11:31:19Z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