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6"/>
        </w:rPr>
        <w:t>关于代销苏银理财恒源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封闭纯债187期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bookmarkEnd w:id="0"/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封闭纯债187期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13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20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7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01"/>
        <w:gridCol w:w="7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eastAsia="zh-CN"/>
              </w:rPr>
              <w:t>苏银理财恒源封闭纯债187期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  <w:t>理财产品登记编码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Z7003126000010，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highlight w:val="none"/>
              </w:rPr>
              <w:t>销售</w:t>
            </w: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名称</w:t>
            </w: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highlight w:val="none"/>
              </w:rPr>
              <w:t>/销售代码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楷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C份额：苏银理财恒源封闭纯债187期C/J12934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  <w:t>产品内部风险评级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 w:cs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 w:cs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04"/>
              <w:gridCol w:w="1489"/>
              <w:gridCol w:w="2030"/>
              <w:gridCol w:w="167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 w:cs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 w:cs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 w:cs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57" w:leftChars="0" w:right="57" w:rightChars="0" w:firstLine="0" w:firstLineChars="0"/>
              <w:jc w:val="both"/>
              <w:textAlignment w:val="auto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</w:p>
          <w:p>
            <w:pPr>
              <w:rPr>
                <w:rFonts w:hint="default" w:ascii="楷体" w:hAnsi="楷体" w:eastAsia="楷体" w:cs="楷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  <w:t>币种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楷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本产品计划发行规模为20</w:t>
            </w:r>
            <w:r>
              <w:rPr>
                <w:rFonts w:hint="eastAsia" w:ascii="楷体" w:hAnsi="楷体" w:eastAsia="楷体" w:cs="楷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楷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楷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楷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楷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spacing w:val="-2"/>
                <w:sz w:val="18"/>
                <w:szCs w:val="18"/>
                <w:highlight w:val="none"/>
              </w:rPr>
              <w:t>本产品最低发行规模为</w:t>
            </w:r>
            <w:r>
              <w:rPr>
                <w:rFonts w:hint="eastAsia" w:ascii="楷体" w:hAnsi="楷体" w:eastAsia="楷体" w:cs="楷体"/>
                <w:spacing w:val="-2"/>
                <w:sz w:val="18"/>
                <w:szCs w:val="18"/>
                <w:highlight w:val="none"/>
                <w:lang w:val="en-US" w:eastAsia="zh-CN"/>
              </w:rPr>
              <w:t>3000万</w:t>
            </w:r>
            <w:r>
              <w:rPr>
                <w:rFonts w:hint="eastAsia" w:ascii="楷体" w:hAnsi="楷体" w:eastAsia="楷体" w:cs="楷体"/>
                <w:spacing w:val="-2"/>
                <w:sz w:val="18"/>
                <w:szCs w:val="18"/>
                <w:highlight w:val="none"/>
              </w:rPr>
              <w:t>元，管理人有权根据实际需要调整最低发行规模。若产品认购规模未达到最低发行规模，或新的法律、法规或监管政策导致本产品无法合法合规运行，或出现其他导致影响产品成立不可抗力因素，产品管理人有权利但无义务宣布产品不成立，并于产品募集期结束后5个工作日内将投资者认购资金返还至投资者资金账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  <w:t>起点/追加金额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>C份额：1元/0.01元的整数倍。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苏银理财有权对上述起点金额</w:t>
            </w:r>
            <w:r>
              <w:rPr>
                <w:rFonts w:hint="eastAsia" w:ascii="楷体" w:hAnsi="楷体" w:eastAsia="楷体" w:cs="楷体"/>
                <w:sz w:val="18"/>
                <w:szCs w:val="18"/>
                <w:highlight w:val="none"/>
              </w:rPr>
              <w:t>和</w:t>
            </w:r>
            <w:r>
              <w:rPr>
                <w:rFonts w:hint="eastAsia" w:ascii="楷体" w:hAnsi="楷体" w:eastAsia="楷体" w:cs="楷体"/>
                <w:sz w:val="18"/>
                <w:szCs w:val="18"/>
                <w:highlight w:val="none"/>
                <w:lang w:val="en-US" w:eastAsia="zh-CN"/>
              </w:rPr>
              <w:t>追加</w:t>
            </w:r>
            <w:r>
              <w:rPr>
                <w:rFonts w:hint="eastAsia" w:ascii="楷体" w:hAnsi="楷体" w:eastAsia="楷体" w:cs="楷体"/>
                <w:sz w:val="18"/>
                <w:szCs w:val="18"/>
                <w:highlight w:val="none"/>
              </w:rPr>
              <w:t>金额进行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调整，并在调整前进行公告。</w:t>
            </w:r>
            <w:r>
              <w:rPr>
                <w:rFonts w:hint="eastAsia" w:ascii="楷体" w:hAnsi="楷体" w:eastAsia="楷体" w:cs="楷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具体以销售机构设置为准</w:t>
            </w:r>
            <w:r>
              <w:rPr>
                <w:rFonts w:hint="eastAsia" w:ascii="楷体" w:hAnsi="楷体" w:eastAsia="楷体" w:cs="楷体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13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spacing w:val="-2"/>
                <w:sz w:val="18"/>
                <w:szCs w:val="18"/>
              </w:rPr>
              <w:t>投资者可于募集期结束日交易闭市前撤销认购申请，该时点后不得撤销，募集期结束日交易闭市时间具体以销售机构设置为准。管理人在法律允许的范围内保留延长募集期或缩短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  <w:t>产品成立日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2026年1月21日，如管理人调整募集期，则产品成立日将相应调整，以管理人公告为准。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184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楷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楷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2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1.管理人</w:t>
            </w:r>
            <w:r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参考过往投资经验，依据近期货币市场工具、银行存款、存单、债券（含永续债）等资产投资收益水平，</w:t>
            </w:r>
            <w:r>
              <w:rPr>
                <w:rFonts w:hint="eastAsia" w:ascii="楷体" w:hAnsi="楷体" w:eastAsia="楷体" w:cs="楷体"/>
                <w:b/>
                <w:spacing w:val="-2"/>
                <w:sz w:val="18"/>
                <w:szCs w:val="18"/>
                <w:u w:val="single"/>
              </w:rPr>
              <w:t>在产品说明书约定的投资范围和投资比例内，</w:t>
            </w:r>
            <w:r>
              <w:rPr>
                <w:rFonts w:hint="eastAsia" w:ascii="楷体" w:hAnsi="楷体" w:eastAsia="楷体" w:cs="楷体"/>
                <w:b/>
                <w:spacing w:val="-2"/>
                <w:sz w:val="18"/>
                <w:szCs w:val="18"/>
                <w:highlight w:val="none"/>
                <w:u w:val="single"/>
              </w:rPr>
              <w:t>综合考虑各</w:t>
            </w:r>
            <w:r>
              <w:rPr>
                <w:rFonts w:hint="eastAsia" w:ascii="楷体" w:hAnsi="楷体" w:eastAsia="楷体" w:cs="楷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楷体"/>
                <w:b/>
                <w:spacing w:val="-2"/>
                <w:sz w:val="18"/>
                <w:szCs w:val="18"/>
                <w:highlight w:val="none"/>
                <w:u w:val="single"/>
              </w:rPr>
              <w:t>份额收取的</w:t>
            </w:r>
            <w:r>
              <w:rPr>
                <w:rFonts w:hint="eastAsia" w:ascii="楷体" w:hAnsi="楷体" w:eastAsia="楷体" w:cs="楷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销售服务费和投资管理费等费用情况，模拟测算得出业绩比较基准。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楷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楷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本产品各类份额可能因收取的销售服务费和投资管理费存在差异，业绩比较基准设置有所不同。</w:t>
            </w:r>
            <w:r>
              <w:rPr>
                <w:rFonts w:hint="eastAsia" w:ascii="楷体" w:hAnsi="楷体" w:eastAsia="楷体" w:cs="楷体"/>
                <w:b w:val="0"/>
                <w:bCs/>
                <w:spacing w:val="-2"/>
                <w:sz w:val="18"/>
                <w:szCs w:val="18"/>
                <w:highlight w:val="none"/>
                <w:u w:val="none"/>
              </w:rPr>
              <w:t>各</w:t>
            </w:r>
            <w:r>
              <w:rPr>
                <w:rFonts w:hint="eastAsia" w:ascii="楷体" w:hAnsi="楷体" w:eastAsia="楷体" w:cs="楷体"/>
                <w:b w:val="0"/>
                <w:bCs/>
                <w:spacing w:val="-2"/>
                <w:sz w:val="18"/>
                <w:szCs w:val="18"/>
                <w:highlight w:val="none"/>
                <w:u w:val="none"/>
                <w:lang w:val="en-US" w:eastAsia="zh-CN"/>
              </w:rPr>
              <w:t>类</w:t>
            </w:r>
            <w:r>
              <w:rPr>
                <w:rFonts w:hint="eastAsia" w:ascii="楷体" w:hAnsi="楷体" w:eastAsia="楷体" w:cs="楷体"/>
                <w:b w:val="0"/>
                <w:bCs/>
                <w:spacing w:val="-2"/>
                <w:sz w:val="18"/>
                <w:szCs w:val="18"/>
                <w:highlight w:val="none"/>
                <w:u w:val="none"/>
              </w:rPr>
              <w:t>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楷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C份额：1.98%。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本产品为净值型产品，业绩表现将随市场波动，具有不确定性。业绩比较基准是管理人基于产品性质、投资策略、过往经验等因素对产品设定的投资目标。业绩比较基准不是预期收益率，不代表产品的未来表现和实际收益，不构成对产品收益的承诺。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3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1.托管费率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：0.02%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2.销售服务费率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：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份额：0.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%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3.投资管理费率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：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份额：0.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%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4.超额业绩报酬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如有）</w:t>
            </w: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：若产品各份额实际投资收益在扣除托管费、销售服务费、投资管理费等费用后超过各份额业绩比较基准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22" w:leftChars="10" w:right="22" w:rightChars="10"/>
              <w:jc w:val="both"/>
              <w:textAlignment w:val="auto"/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本产品设置有多</w:t>
            </w:r>
            <w:r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份额，各</w:t>
            </w:r>
            <w:r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份额按照设置的销售对象和销售起点在不同的销售机构销售，各</w:t>
            </w:r>
            <w:r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份额实际收取的销售服务费</w:t>
            </w:r>
            <w:r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率</w:t>
            </w:r>
            <w:r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、投资管理费</w:t>
            </w:r>
            <w:r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率</w:t>
            </w:r>
            <w:r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和超额业绩报酬（如有）可能存在差异，投资者应根据各</w:t>
            </w:r>
            <w:r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份额收费情况自主选择购买。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楷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楷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楷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楷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税款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snapToGrid w:val="0"/>
              <w:spacing w:line="240" w:lineRule="auto"/>
              <w:ind w:left="44" w:leftChars="20" w:right="44" w:rightChars="20"/>
              <w:textAlignment w:val="auto"/>
              <w:rPr>
                <w:rFonts w:hint="eastAsia" w:ascii="楷体" w:hAnsi="楷体" w:eastAsia="楷体" w:cs="楷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2"/>
                <w:sz w:val="18"/>
                <w:szCs w:val="18"/>
              </w:rPr>
              <w:t>根据中国增值税等税收相关法律法规、税收政策等要求，产品应缴纳的增值税及附加税费（包括但不限于城市维护建设税、教育费附加及地方教育附加等）由管理人从理财产品财产中支付，由此可能会使理财产品净值或实际收益降低。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封闭纯债187期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封闭纯债187期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57C3485"/>
    <w:rsid w:val="063E5C92"/>
    <w:rsid w:val="06CF19BA"/>
    <w:rsid w:val="08B66D8F"/>
    <w:rsid w:val="090F2D06"/>
    <w:rsid w:val="09777728"/>
    <w:rsid w:val="09FF56E8"/>
    <w:rsid w:val="0A5F1D9F"/>
    <w:rsid w:val="0A680890"/>
    <w:rsid w:val="0C216502"/>
    <w:rsid w:val="0CEC698A"/>
    <w:rsid w:val="0D061CD4"/>
    <w:rsid w:val="0D0F7A88"/>
    <w:rsid w:val="0D637775"/>
    <w:rsid w:val="0DF41BF1"/>
    <w:rsid w:val="0EE178AC"/>
    <w:rsid w:val="10D07019"/>
    <w:rsid w:val="11E470A0"/>
    <w:rsid w:val="1302330E"/>
    <w:rsid w:val="14252971"/>
    <w:rsid w:val="146B5B8E"/>
    <w:rsid w:val="15092D84"/>
    <w:rsid w:val="168C5679"/>
    <w:rsid w:val="177A6F24"/>
    <w:rsid w:val="17FF34EC"/>
    <w:rsid w:val="18024DC4"/>
    <w:rsid w:val="191E5B42"/>
    <w:rsid w:val="19211303"/>
    <w:rsid w:val="1ADE699B"/>
    <w:rsid w:val="1B56288E"/>
    <w:rsid w:val="1C4E296B"/>
    <w:rsid w:val="1CC77981"/>
    <w:rsid w:val="1CD01DD6"/>
    <w:rsid w:val="1DF50506"/>
    <w:rsid w:val="1F537EF5"/>
    <w:rsid w:val="1FF2177C"/>
    <w:rsid w:val="1FF27F0A"/>
    <w:rsid w:val="207C172E"/>
    <w:rsid w:val="207E2A3E"/>
    <w:rsid w:val="20BB20C0"/>
    <w:rsid w:val="213F3C42"/>
    <w:rsid w:val="22BD0682"/>
    <w:rsid w:val="22ED1119"/>
    <w:rsid w:val="23884F15"/>
    <w:rsid w:val="24D37CBE"/>
    <w:rsid w:val="259C3DDF"/>
    <w:rsid w:val="27AD5C46"/>
    <w:rsid w:val="27FB515C"/>
    <w:rsid w:val="27FF5093"/>
    <w:rsid w:val="281D2B92"/>
    <w:rsid w:val="286C2847"/>
    <w:rsid w:val="28C63443"/>
    <w:rsid w:val="299539C8"/>
    <w:rsid w:val="2BCB5281"/>
    <w:rsid w:val="2BD97279"/>
    <w:rsid w:val="2D603C01"/>
    <w:rsid w:val="2F3E08D7"/>
    <w:rsid w:val="2F505EBA"/>
    <w:rsid w:val="2F5219B0"/>
    <w:rsid w:val="301233FD"/>
    <w:rsid w:val="314A2071"/>
    <w:rsid w:val="3164321B"/>
    <w:rsid w:val="31A57E6F"/>
    <w:rsid w:val="3293508A"/>
    <w:rsid w:val="330E38F1"/>
    <w:rsid w:val="331D5D15"/>
    <w:rsid w:val="336A59CF"/>
    <w:rsid w:val="33835F12"/>
    <w:rsid w:val="346D37AA"/>
    <w:rsid w:val="35FD2E78"/>
    <w:rsid w:val="360B4A64"/>
    <w:rsid w:val="36FF277C"/>
    <w:rsid w:val="37D92952"/>
    <w:rsid w:val="38BA586D"/>
    <w:rsid w:val="3A7137AE"/>
    <w:rsid w:val="3D9D06E7"/>
    <w:rsid w:val="3E7440B0"/>
    <w:rsid w:val="3F63308A"/>
    <w:rsid w:val="41084885"/>
    <w:rsid w:val="411A2DC1"/>
    <w:rsid w:val="42694E79"/>
    <w:rsid w:val="437A0EFD"/>
    <w:rsid w:val="46A93D11"/>
    <w:rsid w:val="471B4F9C"/>
    <w:rsid w:val="4727670F"/>
    <w:rsid w:val="47291559"/>
    <w:rsid w:val="488B669C"/>
    <w:rsid w:val="490E5972"/>
    <w:rsid w:val="49780F96"/>
    <w:rsid w:val="498D2846"/>
    <w:rsid w:val="49FE0711"/>
    <w:rsid w:val="4A9259CF"/>
    <w:rsid w:val="4AC74ABB"/>
    <w:rsid w:val="4C0C1834"/>
    <w:rsid w:val="4CB92E95"/>
    <w:rsid w:val="4D3267B3"/>
    <w:rsid w:val="4DC360A2"/>
    <w:rsid w:val="4F1C678B"/>
    <w:rsid w:val="4FEE6769"/>
    <w:rsid w:val="504B34C1"/>
    <w:rsid w:val="52C1180B"/>
    <w:rsid w:val="53A7561E"/>
    <w:rsid w:val="53CF09D7"/>
    <w:rsid w:val="54181774"/>
    <w:rsid w:val="54296D21"/>
    <w:rsid w:val="56217A73"/>
    <w:rsid w:val="568208FE"/>
    <w:rsid w:val="569A1942"/>
    <w:rsid w:val="573E6F54"/>
    <w:rsid w:val="574248D2"/>
    <w:rsid w:val="57DE6A98"/>
    <w:rsid w:val="59526AAF"/>
    <w:rsid w:val="59913D5D"/>
    <w:rsid w:val="599469F4"/>
    <w:rsid w:val="59CC1E60"/>
    <w:rsid w:val="5C9C31B4"/>
    <w:rsid w:val="5D6B5C61"/>
    <w:rsid w:val="5F763953"/>
    <w:rsid w:val="5F95432A"/>
    <w:rsid w:val="63785EEE"/>
    <w:rsid w:val="63AC7512"/>
    <w:rsid w:val="63B55C23"/>
    <w:rsid w:val="65CE3D15"/>
    <w:rsid w:val="65ED6841"/>
    <w:rsid w:val="664E5CDB"/>
    <w:rsid w:val="66940AAA"/>
    <w:rsid w:val="68E66671"/>
    <w:rsid w:val="699575F4"/>
    <w:rsid w:val="6A02443D"/>
    <w:rsid w:val="6A881455"/>
    <w:rsid w:val="6C184E18"/>
    <w:rsid w:val="6C6B706C"/>
    <w:rsid w:val="6D717C1E"/>
    <w:rsid w:val="6D9E26D1"/>
    <w:rsid w:val="6EFA6420"/>
    <w:rsid w:val="6F753C32"/>
    <w:rsid w:val="70440663"/>
    <w:rsid w:val="707F71F1"/>
    <w:rsid w:val="70940740"/>
    <w:rsid w:val="710267F5"/>
    <w:rsid w:val="713C1E23"/>
    <w:rsid w:val="7163098E"/>
    <w:rsid w:val="718B2865"/>
    <w:rsid w:val="72652BB9"/>
    <w:rsid w:val="73053858"/>
    <w:rsid w:val="730E7BA1"/>
    <w:rsid w:val="739F163C"/>
    <w:rsid w:val="73A00AF1"/>
    <w:rsid w:val="74EE0065"/>
    <w:rsid w:val="758F44AD"/>
    <w:rsid w:val="75A75295"/>
    <w:rsid w:val="7B652AC0"/>
    <w:rsid w:val="7B6569FF"/>
    <w:rsid w:val="7C681310"/>
    <w:rsid w:val="7CB7393A"/>
    <w:rsid w:val="7CD75C71"/>
    <w:rsid w:val="7CE3144E"/>
    <w:rsid w:val="7DD325A0"/>
    <w:rsid w:val="7F533772"/>
    <w:rsid w:val="7F8A6A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4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2026-01-12T06:12:20Z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