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苏银理财恒源封闭债权201期优选3年</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等。请仔细阅读《“苏银理财</w:t>
      </w:r>
      <w:r>
        <w:rPr>
          <w:rFonts w:hint="eastAsia" w:ascii="楷体" w:hAnsi="楷体" w:eastAsia="楷体" w:cs="楷体"/>
          <w:sz w:val="21"/>
          <w:szCs w:val="21"/>
          <w:lang w:eastAsia="zh-CN"/>
        </w:rPr>
        <w:t>恒源封闭债权201期优选3年</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eastAsia="zh-CN"/>
              </w:rPr>
              <w:t>苏银理财恒源封闭债权201期优选3年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Z7003125000351，</w:t>
            </w:r>
            <w:r>
              <w:rPr>
                <w:rFonts w:hint="eastAsia" w:ascii="楷体" w:hAnsi="楷体" w:eastAsia="楷体" w:cs="楷体"/>
                <w:color w:val="auto"/>
                <w:spacing w:val="-2"/>
                <w:sz w:val="18"/>
                <w:szCs w:val="18"/>
              </w:rPr>
              <w:t>投资者可依据该编码在中国理财网</w:t>
            </w:r>
            <w:r>
              <w:rPr>
                <w:rFonts w:hint="eastAsia" w:ascii="楷体" w:hAnsi="楷体" w:eastAsia="楷体" w:cs="楷体"/>
                <w:color w:val="auto"/>
                <w:spacing w:val="-2"/>
                <w:sz w:val="18"/>
                <w:szCs w:val="18"/>
              </w:rPr>
              <w:fldChar w:fldCharType="begin"/>
            </w:r>
            <w:r>
              <w:rPr>
                <w:rFonts w:hint="eastAsia" w:ascii="楷体" w:hAnsi="楷体" w:eastAsia="楷体" w:cs="楷体"/>
                <w:color w:val="auto"/>
                <w:spacing w:val="-2"/>
                <w:sz w:val="18"/>
                <w:szCs w:val="18"/>
              </w:rPr>
              <w:instrText xml:space="preserve"> HYPERLINK "http://www.chinawealth.com.cn/" </w:instrText>
            </w:r>
            <w:r>
              <w:rPr>
                <w:rFonts w:hint="eastAsia" w:ascii="楷体" w:hAnsi="楷体" w:eastAsia="楷体" w:cs="楷体"/>
                <w:color w:val="auto"/>
                <w:spacing w:val="-2"/>
                <w:sz w:val="18"/>
                <w:szCs w:val="18"/>
              </w:rPr>
              <w:fldChar w:fldCharType="separate"/>
            </w:r>
            <w:r>
              <w:rPr>
                <w:rFonts w:hint="eastAsia" w:ascii="楷体" w:hAnsi="楷体" w:eastAsia="楷体" w:cs="楷体"/>
                <w:color w:val="auto"/>
                <w:spacing w:val="-2"/>
                <w:sz w:val="18"/>
                <w:szCs w:val="18"/>
              </w:rPr>
              <w:t>www.chinawealth.com.cn</w:t>
            </w:r>
            <w:r>
              <w:rPr>
                <w:rFonts w:hint="eastAsia" w:ascii="楷体" w:hAnsi="楷体" w:eastAsia="楷体" w:cs="楷体"/>
                <w:color w:val="auto"/>
                <w:spacing w:val="-2"/>
                <w:sz w:val="18"/>
                <w:szCs w:val="18"/>
              </w:rPr>
              <w:fldChar w:fldCharType="end"/>
            </w:r>
            <w:r>
              <w:rPr>
                <w:rFonts w:hint="eastAsia" w:ascii="楷体" w:hAnsi="楷体" w:eastAsia="楷体" w:cs="楷体"/>
                <w:color w:val="auto"/>
                <w:spacing w:val="-2"/>
                <w:sz w:val="18"/>
                <w:szCs w:val="18"/>
              </w:rPr>
              <w:t>查询产品信息</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8"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A份额：苏银理财恒源封闭债权201期优选3年A/J13025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B份额：苏银理财恒源封闭债权201期优选3年B/J13026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C份额：苏银理财恒源封闭债权201期优选3年C/J13027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rPr>
              <w:t>★★二级，适合中低风险型投资者，适合投资策略为稳健发展</w:t>
            </w:r>
            <w:r>
              <w:rPr>
                <w:rFonts w:hint="eastAsia" w:ascii="楷体" w:hAnsi="楷体" w:eastAsia="楷体" w:cs="楷体"/>
                <w:b/>
                <w:color w:val="auto"/>
                <w:sz w:val="18"/>
                <w:szCs w:val="18"/>
                <w:u w:val="single"/>
                <w:lang w:val="en-US" w:eastAsia="zh-CN"/>
              </w:rPr>
              <w:t>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kern w:val="0"/>
                <w:sz w:val="18"/>
                <w:szCs w:val="18"/>
                <w:highlight w:val="none"/>
                <w:lang w:val="en-US" w:eastAsia="zh-CN" w:bidi="ar-SA"/>
              </w:rPr>
              <w:t>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kern w:val="0"/>
                <w:sz w:val="18"/>
                <w:szCs w:val="18"/>
                <w:highlight w:val="none"/>
                <w:lang w:val="en-US" w:eastAsia="zh-CN"/>
              </w:rPr>
              <w:t>本产品计划发行规模为20</w:t>
            </w:r>
            <w:r>
              <w:rPr>
                <w:rFonts w:hint="eastAsia" w:ascii="楷体" w:hAnsi="楷体" w:eastAsia="楷体" w:cs="楷体"/>
                <w:color w:val="auto"/>
                <w:spacing w:val="-2"/>
                <w:kern w:val="0"/>
                <w:sz w:val="18"/>
                <w:szCs w:val="18"/>
                <w:highlight w:val="none"/>
              </w:rPr>
              <w:t>亿</w:t>
            </w:r>
            <w:r>
              <w:rPr>
                <w:rFonts w:hint="eastAsia" w:ascii="楷体" w:hAnsi="楷体" w:eastAsia="楷体" w:cs="楷体"/>
                <w:color w:val="auto"/>
                <w:spacing w:val="-2"/>
                <w:kern w:val="0"/>
                <w:sz w:val="18"/>
                <w:szCs w:val="18"/>
                <w:highlight w:val="none"/>
                <w:lang w:val="en-US" w:eastAsia="zh-CN"/>
              </w:rPr>
              <w:t>元，</w:t>
            </w:r>
            <w:r>
              <w:rPr>
                <w:rFonts w:hint="eastAsia" w:ascii="楷体" w:hAnsi="楷体" w:eastAsia="楷体" w:cs="楷体"/>
                <w:color w:val="auto"/>
                <w:spacing w:val="-2"/>
                <w:kern w:val="0"/>
                <w:sz w:val="18"/>
                <w:szCs w:val="18"/>
                <w:highlight w:val="none"/>
              </w:rPr>
              <w:t>管理人有权</w:t>
            </w:r>
            <w:r>
              <w:rPr>
                <w:rFonts w:hint="eastAsia" w:ascii="楷体" w:hAnsi="楷体" w:eastAsia="楷体" w:cs="楷体"/>
                <w:color w:val="auto"/>
                <w:spacing w:val="-2"/>
                <w:kern w:val="0"/>
                <w:sz w:val="18"/>
                <w:szCs w:val="18"/>
                <w:highlight w:val="none"/>
                <w:lang w:val="en-US" w:eastAsia="zh-CN"/>
              </w:rPr>
              <w:t>根据实际需要</w:t>
            </w:r>
            <w:r>
              <w:rPr>
                <w:rFonts w:hint="eastAsia" w:ascii="楷体" w:hAnsi="楷体" w:eastAsia="楷体" w:cs="楷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w:t>
            </w:r>
            <w:r>
              <w:rPr>
                <w:rFonts w:hint="eastAsia" w:ascii="楷体" w:hAnsi="楷体" w:eastAsia="楷体" w:cs="楷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9"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highlight w:val="none"/>
              </w:rPr>
            </w:pPr>
            <w:r>
              <w:rPr>
                <w:rFonts w:hint="eastAsia" w:ascii="楷体" w:hAnsi="楷体" w:eastAsia="楷体" w:cs="楷体"/>
                <w:sz w:val="18"/>
                <w:szCs w:val="18"/>
              </w:rPr>
              <w:t>苏银理财有权对上述起点金额</w:t>
            </w:r>
            <w:r>
              <w:rPr>
                <w:rFonts w:hint="eastAsia" w:ascii="楷体" w:hAnsi="楷体" w:eastAsia="楷体" w:cs="楷体"/>
                <w:sz w:val="18"/>
                <w:szCs w:val="18"/>
                <w:highlight w:val="none"/>
              </w:rPr>
              <w:t>和</w:t>
            </w:r>
            <w:r>
              <w:rPr>
                <w:rFonts w:hint="eastAsia" w:ascii="楷体" w:hAnsi="楷体" w:eastAsia="楷体" w:cs="楷体"/>
                <w:sz w:val="18"/>
                <w:szCs w:val="18"/>
                <w:highlight w:val="none"/>
                <w:lang w:val="en-US" w:eastAsia="zh-CN"/>
              </w:rPr>
              <w:t>追加</w:t>
            </w:r>
            <w:r>
              <w:rPr>
                <w:rFonts w:hint="eastAsia" w:ascii="楷体" w:hAnsi="楷体" w:eastAsia="楷体" w:cs="楷体"/>
                <w:sz w:val="18"/>
                <w:szCs w:val="18"/>
                <w:highlight w:val="none"/>
              </w:rPr>
              <w:t>金额进行</w:t>
            </w:r>
            <w:r>
              <w:rPr>
                <w:rFonts w:hint="eastAsia" w:ascii="楷体" w:hAnsi="楷体" w:eastAsia="楷体" w:cs="楷体"/>
                <w:sz w:val="18"/>
                <w:szCs w:val="18"/>
              </w:rPr>
              <w:t>调整，并在调整前进行公告。</w:t>
            </w:r>
            <w:r>
              <w:rPr>
                <w:rFonts w:hint="eastAsia" w:ascii="楷体" w:hAnsi="楷体" w:eastAsia="楷体" w:cs="楷体"/>
                <w:sz w:val="18"/>
                <w:szCs w:val="18"/>
                <w:lang w:eastAsia="zh-CN"/>
              </w:rPr>
              <w:t>（</w:t>
            </w:r>
            <w:r>
              <w:rPr>
                <w:rFonts w:hint="eastAsia" w:ascii="楷体" w:hAnsi="楷体" w:eastAsia="楷体" w:cs="楷体"/>
                <w:sz w:val="18"/>
                <w:szCs w:val="18"/>
              </w:rPr>
              <w:t>具体以销售机构设置为准</w:t>
            </w:r>
            <w:r>
              <w:rPr>
                <w:rFonts w:hint="eastAsia" w:ascii="楷体" w:hAnsi="楷体" w:eastAsia="楷体" w:cs="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1</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20</w:t>
            </w:r>
            <w:r>
              <w:rPr>
                <w:rFonts w:hint="eastAsia" w:ascii="楷体" w:hAnsi="楷体" w:eastAsia="楷体" w:cs="楷体"/>
                <w:color w:val="auto"/>
                <w:spacing w:val="-2"/>
                <w:sz w:val="18"/>
                <w:szCs w:val="18"/>
              </w:rPr>
              <w:t>日至202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1</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27</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2026年1月28日，如管理人调整募集期，则产品成立日/份额登记日将相应调整，以管理人公告为准。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9</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2</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21</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如遇节假日，顺延至下一工作日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在符合产品说明书约定的条件下，管理人有权</w:t>
            </w:r>
            <w:r>
              <w:rPr>
                <w:rFonts w:hint="eastAsia" w:ascii="楷体" w:hAnsi="楷体" w:eastAsia="楷体" w:cs="楷体"/>
                <w:color w:val="auto"/>
                <w:spacing w:val="-2"/>
                <w:sz w:val="18"/>
                <w:szCs w:val="18"/>
                <w:lang w:val="en-US" w:eastAsia="zh-CN"/>
              </w:rPr>
              <w:t>调整产品到期日</w:t>
            </w:r>
            <w:r>
              <w:rPr>
                <w:rFonts w:hint="eastAsia" w:ascii="楷体" w:hAnsi="楷体" w:eastAsia="楷体" w:cs="楷体"/>
                <w:color w:val="auto"/>
                <w:spacing w:val="-2"/>
                <w:sz w:val="18"/>
                <w:szCs w:val="18"/>
              </w:rPr>
              <w:t>，产品到期日受制于提前终止</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延期终止</w:t>
            </w:r>
            <w:r>
              <w:rPr>
                <w:rFonts w:hint="eastAsia" w:ascii="楷体" w:hAnsi="楷体" w:eastAsia="楷体" w:cs="楷体"/>
                <w:color w:val="auto"/>
                <w:spacing w:val="-2"/>
                <w:sz w:val="18"/>
                <w:szCs w:val="18"/>
              </w:rPr>
              <w:t>条款。详见下文“</w:t>
            </w:r>
            <w:r>
              <w:rPr>
                <w:rFonts w:hint="eastAsia" w:ascii="楷体" w:hAnsi="楷体" w:eastAsia="楷体" w:cs="楷体"/>
                <w:color w:val="auto"/>
                <w:spacing w:val="-2"/>
                <w:sz w:val="18"/>
                <w:szCs w:val="18"/>
                <w:lang w:val="en-US" w:eastAsia="zh-CN"/>
              </w:rPr>
              <w:t>八</w:t>
            </w:r>
            <w:r>
              <w:rPr>
                <w:rFonts w:hint="eastAsia" w:ascii="楷体" w:hAnsi="楷体" w:eastAsia="楷体" w:cs="楷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1120</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A份额：2.20%；B份额：2.15%；C份额：2.05%。</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63"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：0.02%</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C</w:t>
            </w:r>
            <w:r>
              <w:rPr>
                <w:rFonts w:hint="eastAsia" w:ascii="楷体" w:hAnsi="楷体" w:eastAsia="楷体" w:cs="楷体"/>
                <w:color w:val="auto"/>
                <w:spacing w:val="-2"/>
                <w:sz w:val="18"/>
                <w:szCs w:val="18"/>
              </w:rPr>
              <w:t>份额：0.</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0%</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C</w:t>
            </w:r>
            <w:r>
              <w:rPr>
                <w:rFonts w:hint="eastAsia" w:ascii="楷体" w:hAnsi="楷体" w:eastAsia="楷体" w:cs="楷体"/>
                <w:color w:val="auto"/>
                <w:spacing w:val="-2"/>
                <w:sz w:val="18"/>
                <w:szCs w:val="18"/>
              </w:rPr>
              <w:t>份额：0.15%</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若产品各份额实际投资收益在扣除托管费、销售服务费、投资管理费等费用后超过各份额业绩比较基准，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楷体"/>
                <w:b/>
                <w:bCs/>
                <w:spacing w:val="-2"/>
                <w:sz w:val="18"/>
                <w:szCs w:val="18"/>
                <w:highlight w:val="none"/>
                <w:u w:val="single"/>
              </w:rPr>
            </w:pPr>
            <w:r>
              <w:rPr>
                <w:rFonts w:hint="eastAsia" w:ascii="楷体" w:hAnsi="楷体" w:eastAsia="楷体" w:cs="楷体"/>
                <w:b/>
                <w:bCs/>
                <w:spacing w:val="-2"/>
                <w:sz w:val="18"/>
                <w:szCs w:val="18"/>
                <w:highlight w:val="none"/>
                <w:u w:val="single"/>
              </w:rPr>
              <w:t>本产品设置有多</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份额按照设置的销售对象和销售起点在不同的销售机构销售，各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份额实际收取的销售服务费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、投资管理费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和超额业绩报酬（如有）可能存在差异，投资者应根据各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楷体"/>
                <w:b/>
                <w:spacing w:val="-2"/>
                <w:sz w:val="18"/>
                <w:szCs w:val="18"/>
                <w:u w:val="single"/>
              </w:rPr>
            </w:pPr>
            <w:r>
              <w:rPr>
                <w:rFonts w:hint="eastAsia" w:ascii="楷体" w:hAnsi="楷体" w:eastAsia="楷体" w:cs="楷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val="0"/>
                <w:bCs/>
                <w:spacing w:val="-2"/>
                <w:kern w:val="2"/>
                <w:sz w:val="18"/>
                <w:szCs w:val="18"/>
                <w:u w:val="none"/>
                <w:lang w:val="en-US" w:eastAsia="zh-CN" w:bidi="ar-SA"/>
              </w:rPr>
              <w:t>本产品存续期间可按年分红。产品成立日后每年的1月28日为观察日（遇节假日顺延至下一工作日），若观察日产品所有份额单位净值大于1，且产品拥有足够的可分配现金，管理人将现金分红。管理人将通过苏银理财有限责任公司官方网站（www.suyinwealth.com）以及销售机构公告分配方案。分红资金将于观察日后5个工作日内分配至投资者资金账户。</w:t>
            </w:r>
            <w:r>
              <w:rPr>
                <w:rFonts w:hint="eastAsia" w:ascii="楷体" w:hAnsi="楷体" w:eastAsia="楷体" w:cs="楷体"/>
                <w:b/>
                <w:bCs w:val="0"/>
                <w:spacing w:val="-2"/>
                <w:kern w:val="2"/>
                <w:sz w:val="18"/>
                <w:szCs w:val="18"/>
                <w:u w:val="single"/>
                <w:lang w:val="en-US" w:eastAsia="zh-CN" w:bidi="ar-SA"/>
              </w:rPr>
              <w:t>管理人有权根据产品实际运作情况决定是否分配收益，可能存在当年不分红的情形。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按照本理财产品合同的约定，及时、足额获得投资管理费</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管理人有权根据本理财产品合同的约定提前终止或延长本理财产品的期限</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管理人有权调整本理财产品的认购规模上限、认购起点、认购金额上限、认购资金的最</w:t>
      </w:r>
      <w:r>
        <w:rPr>
          <w:rFonts w:hint="eastAsia" w:ascii="楷体" w:hAnsi="楷体" w:eastAsia="楷体" w:cs="楷体"/>
          <w:color w:val="auto"/>
          <w:sz w:val="21"/>
          <w:szCs w:val="21"/>
          <w:highlight w:val="none"/>
          <w:lang w:val="en-US" w:eastAsia="zh-CN"/>
        </w:rPr>
        <w:t>低</w:t>
      </w:r>
      <w:r>
        <w:rPr>
          <w:rFonts w:hint="eastAsia" w:ascii="楷体" w:hAnsi="楷体" w:eastAsia="楷体" w:cs="楷体"/>
          <w:color w:val="auto"/>
          <w:sz w:val="21"/>
          <w:szCs w:val="21"/>
          <w:highlight w:val="none"/>
        </w:rPr>
        <w:t>金额等要素</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管理人有权依照法律规定和监管机构的要求将投资者的信息向有权部门或相关机构披露</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A份额：江苏银行股份有限公司江苏句容农村商业银行股份有限公司江苏丰县农村商业银行股份有限公司江苏盐城农村商业银行股份有限公司江苏镇江农村商业银行股份有限公司江苏溧水农村商业银行股份有限公司江苏东台农村商业银行股份有限公司江苏沛县农村商业银行股份有限公司江苏扬州农村商业银行股份有限公司江苏淮安农村商业银行股份有限公司江苏沭阳农村商业银行股份有限公司江苏民丰农村商业银行股份有限公司江苏泗阳农村商业银行股份有限公司江苏姜堰农村商业银行股份有限公司江苏江都农村商业银行股份有限公司江苏如东农村商业银行股份有限公司江苏洪泽农村商业银行股份有限公司江苏海安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B份额：江苏紫金农村商业银行股份有限公司/宁波通商银行股份有限公司/杭州联合农村商业银行股份有限公司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C份额：北京农村商业银行股份有限公司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eastAsia" w:ascii="楷体" w:hAnsi="楷体" w:eastAsia="楷体" w:cs="楷体"/>
          <w:b w:val="0"/>
          <w:bCs/>
          <w:color w:val="auto"/>
          <w:sz w:val="21"/>
          <w:szCs w:val="21"/>
          <w:highlight w:val="none"/>
          <w:u w:val="none"/>
        </w:rPr>
      </w:pPr>
      <w:r>
        <w:rPr>
          <w:rFonts w:hint="eastAsia" w:ascii="楷体" w:hAnsi="楷体" w:eastAsia="楷体" w:cs="楷体"/>
          <w:b w:val="0"/>
          <w:bCs/>
          <w:color w:val="auto"/>
          <w:sz w:val="21"/>
          <w:szCs w:val="21"/>
          <w:highlight w:val="none"/>
          <w:u w:val="none"/>
        </w:rPr>
        <w:t>本产品计划配置以下备选非标准化债权类资产：</w:t>
      </w:r>
    </w:p>
    <w:p>
      <w:pPr>
        <w:numPr>
          <w:ilvl w:val="0"/>
          <w:numId w:val="0"/>
        </w:numPr>
        <w:ind w:left="0" w:leftChars="0" w:firstLine="420" w:firstLineChars="200"/>
        <w:rPr>
          <w:rFonts w:hint="eastAsia" w:ascii="楷体" w:hAnsi="楷体" w:eastAsia="楷体" w:cs="楷体"/>
          <w:bCs/>
          <w:color w:val="auto"/>
          <w:sz w:val="21"/>
          <w:szCs w:val="21"/>
          <w:highlight w:val="none"/>
          <w:u w:val="none"/>
          <w:lang w:val="en-US" w:eastAsia="zh-CN"/>
        </w:rPr>
      </w:pPr>
      <w:r>
        <w:rPr>
          <w:rFonts w:hint="eastAsia" w:ascii="楷体" w:hAnsi="楷体" w:eastAsia="楷体" w:cs="楷体"/>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eastAsia" w:ascii="楷体" w:hAnsi="楷体" w:eastAsia="楷体" w:cs="楷体"/>
          <w:b/>
          <w:bCs/>
          <w:kern w:val="2"/>
          <w:sz w:val="21"/>
          <w:szCs w:val="21"/>
          <w:u w:val="single"/>
          <w:lang w:val="en-US" w:eastAsia="zh-CN" w:bidi="ar-SA"/>
        </w:rPr>
      </w:pPr>
      <w:r>
        <w:rPr>
          <w:rFonts w:hint="eastAsia" w:ascii="楷体" w:hAnsi="楷体" w:eastAsia="楷体" w:cs="楷体"/>
          <w:bCs/>
          <w:color w:val="auto"/>
          <w:sz w:val="21"/>
          <w:szCs w:val="21"/>
          <w:highlight w:val="none"/>
          <w:u w:val="none"/>
          <w:lang w:eastAsia="zh-CN"/>
        </w:rPr>
        <w:t>（1）-（2）各资产到期日不超过理财产品</w:t>
      </w:r>
      <w:r>
        <w:rPr>
          <w:rFonts w:hint="eastAsia" w:ascii="楷体" w:hAnsi="楷体" w:eastAsia="楷体" w:cs="楷体"/>
          <w:bCs/>
          <w:color w:val="auto"/>
          <w:sz w:val="21"/>
          <w:szCs w:val="21"/>
          <w:highlight w:val="none"/>
          <w:u w:val="none"/>
          <w:lang w:val="en-US" w:eastAsia="zh-CN"/>
        </w:rPr>
        <w:t>到期日</w:t>
      </w:r>
      <w:r>
        <w:rPr>
          <w:rFonts w:hint="eastAsia" w:ascii="楷体" w:hAnsi="楷体" w:eastAsia="楷体" w:cs="楷体"/>
          <w:bCs/>
          <w:color w:val="auto"/>
          <w:sz w:val="21"/>
          <w:szCs w:val="21"/>
          <w:highlight w:val="none"/>
          <w:u w:val="none"/>
          <w:lang w:eastAsia="zh-CN"/>
        </w:rPr>
        <w:t>，循环期不还本、摊还期过手摊还本息</w:t>
      </w:r>
      <w:r>
        <w:rPr>
          <w:rFonts w:hint="eastAsia" w:ascii="楷体" w:hAnsi="楷体" w:eastAsia="楷体" w:cs="楷体"/>
          <w:bCs/>
          <w:color w:val="auto"/>
          <w:sz w:val="21"/>
          <w:szCs w:val="21"/>
          <w:highlight w:val="none"/>
          <w:u w:val="none"/>
          <w:lang w:val="en-US" w:eastAsia="zh-CN"/>
        </w:rPr>
        <w:t>。</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产品存续期内若本理财产品投资的</w:t>
      </w:r>
      <w:r>
        <w:rPr>
          <w:rFonts w:hint="eastAsia" w:ascii="楷体" w:hAnsi="楷体" w:eastAsia="楷体" w:cs="楷体"/>
          <w:color w:val="auto"/>
          <w:sz w:val="21"/>
          <w:szCs w:val="21"/>
          <w:highlight w:val="none"/>
          <w:lang w:val="en-US" w:eastAsia="zh-CN"/>
        </w:rPr>
        <w:t>非标</w:t>
      </w:r>
      <w:r>
        <w:rPr>
          <w:rFonts w:hint="eastAsia" w:ascii="楷体" w:hAnsi="楷体" w:eastAsia="楷体" w:cs="楷体"/>
          <w:color w:val="auto"/>
          <w:sz w:val="21"/>
          <w:szCs w:val="21"/>
          <w:highlight w:val="none"/>
        </w:rPr>
        <w:t>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rPr>
        <w:t>产品存续期内合作机构如有</w:t>
      </w:r>
      <w:r>
        <w:rPr>
          <w:rFonts w:hint="eastAsia" w:ascii="楷体" w:hAnsi="楷体" w:eastAsia="楷体" w:cs="楷体"/>
          <w:sz w:val="21"/>
          <w:szCs w:val="21"/>
          <w:highlight w:val="none"/>
        </w:rPr>
        <w:t>变化，管理人将按照监管规定和内部管理制度要求对合作机构进行准入，签署相关协议后，</w:t>
      </w:r>
      <w:r>
        <w:rPr>
          <w:rFonts w:hint="eastAsia" w:ascii="楷体" w:hAnsi="楷体" w:eastAsia="楷体" w:cs="楷体"/>
          <w:sz w:val="21"/>
          <w:szCs w:val="21"/>
          <w:highlight w:val="none"/>
          <w:lang w:val="en-US" w:eastAsia="zh-CN"/>
        </w:rPr>
        <w:t>披露</w:t>
      </w:r>
      <w:r>
        <w:rPr>
          <w:rFonts w:hint="eastAsia" w:ascii="楷体" w:hAnsi="楷体" w:eastAsia="楷体" w:cs="楷体"/>
          <w:sz w:val="21"/>
          <w:szCs w:val="21"/>
          <w:highlight w:val="none"/>
        </w:rPr>
        <w:t>新增</w:t>
      </w:r>
      <w:r>
        <w:rPr>
          <w:rFonts w:hint="eastAsia" w:ascii="楷体" w:hAnsi="楷体" w:eastAsia="楷体" w:cs="楷体"/>
          <w:sz w:val="21"/>
          <w:szCs w:val="21"/>
          <w:highlight w:val="none"/>
          <w:lang w:val="en-US" w:eastAsia="zh-CN"/>
        </w:rPr>
        <w:t>的</w:t>
      </w:r>
      <w:r>
        <w:rPr>
          <w:rFonts w:hint="eastAsia" w:ascii="楷体" w:hAnsi="楷体" w:eastAsia="楷体" w:cs="楷体"/>
          <w:sz w:val="21"/>
          <w:szCs w:val="21"/>
          <w:highlight w:val="none"/>
        </w:rPr>
        <w:t>投资合作机构。</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s="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color w:val="auto"/>
          <w:sz w:val="21"/>
          <w:szCs w:val="21"/>
        </w:rPr>
        <w:t>针对上述1、2</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超过1</w:t>
      </w:r>
      <w:r>
        <w:rPr>
          <w:rFonts w:hint="eastAsia" w:ascii="楷体" w:hAnsi="楷体" w:eastAsia="楷体" w:cs="楷体"/>
          <w:color w:val="auto"/>
          <w:sz w:val="21"/>
          <w:szCs w:val="21"/>
          <w:highlight w:val="none"/>
          <w:lang w:val="en-US" w:eastAsia="zh-CN"/>
        </w:rPr>
        <w:t>5</w:t>
      </w:r>
      <w:r>
        <w:rPr>
          <w:rFonts w:hint="eastAsia" w:ascii="楷体" w:hAnsi="楷体" w:eastAsia="楷体" w:cs="楷体"/>
          <w:color w:val="auto"/>
          <w:sz w:val="21"/>
          <w:szCs w:val="21"/>
          <w:highlight w:val="none"/>
        </w:rPr>
        <w:t>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本理财产品可在各销售机构指定渠道进行认购</w:t>
      </w:r>
      <w:r>
        <w:rPr>
          <w:rFonts w:hint="eastAsia" w:ascii="楷体" w:hAnsi="楷体" w:eastAsia="楷体" w:cs="楷体"/>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cs="楷体"/>
          <w:sz w:val="21"/>
          <w:szCs w:val="21"/>
          <w:highlight w:val="none"/>
        </w:rPr>
        <w:t>因投资者资金账户余额不足、司法冻结、不可抗力因素或其他不可归责于</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和销售机构的事由出现，造成认购申请未被确认的，</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投资者持有本理财产品期间及到期时，管理人不承诺保证投资本金安全且不保证理财收益，投资者收益（如有）随理财产品的投资盈亏水平浮动。</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本产品存续期间可按</w:t>
      </w:r>
      <w:r>
        <w:rPr>
          <w:rFonts w:hint="eastAsia" w:ascii="楷体" w:hAnsi="楷体" w:eastAsia="楷体" w:cs="楷体"/>
          <w:sz w:val="21"/>
          <w:szCs w:val="21"/>
          <w:highlight w:val="none"/>
          <w:lang w:val="en-US" w:eastAsia="zh-CN"/>
        </w:rPr>
        <w:t>年</w:t>
      </w:r>
      <w:r>
        <w:rPr>
          <w:rFonts w:hint="eastAsia" w:ascii="楷体" w:hAnsi="楷体" w:eastAsia="楷体" w:cs="楷体"/>
          <w:sz w:val="21"/>
          <w:szCs w:val="21"/>
          <w:highlight w:val="none"/>
        </w:rPr>
        <w:t>分红</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rPr>
        <w:t>若观察日产品</w:t>
      </w:r>
      <w:r>
        <w:rPr>
          <w:rFonts w:hint="eastAsia" w:ascii="楷体" w:hAnsi="楷体" w:eastAsia="楷体" w:cs="楷体"/>
          <w:sz w:val="21"/>
          <w:szCs w:val="21"/>
          <w:highlight w:val="none"/>
          <w:lang w:val="en-US" w:eastAsia="zh-CN"/>
        </w:rPr>
        <w:t>所有份额</w:t>
      </w:r>
      <w:r>
        <w:rPr>
          <w:rFonts w:hint="eastAsia" w:ascii="楷体" w:hAnsi="楷体" w:eastAsia="楷体" w:cs="楷体"/>
          <w:sz w:val="21"/>
          <w:szCs w:val="21"/>
          <w:highlight w:val="none"/>
        </w:rPr>
        <w:t>单位净值大于1，且产品拥有足够的可分配现金</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rPr>
        <w:t>管理人</w:t>
      </w:r>
      <w:r>
        <w:rPr>
          <w:rFonts w:hint="eastAsia" w:ascii="楷体" w:hAnsi="楷体" w:eastAsia="楷体" w:cs="楷体"/>
          <w:sz w:val="21"/>
          <w:szCs w:val="21"/>
          <w:highlight w:val="none"/>
          <w:lang w:eastAsia="zh-CN"/>
        </w:rPr>
        <w:t>将现金分红。</w:t>
      </w:r>
      <w:r>
        <w:rPr>
          <w:rFonts w:hint="eastAsia" w:ascii="楷体" w:hAnsi="楷体" w:eastAsia="楷体" w:cs="楷体"/>
          <w:b/>
          <w:bCs/>
          <w:sz w:val="21"/>
          <w:szCs w:val="21"/>
          <w:highlight w:val="none"/>
          <w:u w:val="single"/>
        </w:rPr>
        <w:t>管理人有权根据产品实际运作情况决定是否分配收益，可能存在当</w:t>
      </w:r>
      <w:r>
        <w:rPr>
          <w:rFonts w:hint="eastAsia" w:ascii="楷体" w:hAnsi="楷体" w:eastAsia="楷体" w:cs="楷体"/>
          <w:b/>
          <w:bCs/>
          <w:sz w:val="21"/>
          <w:szCs w:val="21"/>
          <w:highlight w:val="none"/>
          <w:u w:val="single"/>
          <w:lang w:val="en-US" w:eastAsia="zh-CN"/>
        </w:rPr>
        <w:t>年</w:t>
      </w:r>
      <w:r>
        <w:rPr>
          <w:rFonts w:hint="eastAsia" w:ascii="楷体" w:hAnsi="楷体" w:eastAsia="楷体" w:cs="楷体"/>
          <w:b/>
          <w:bCs/>
          <w:sz w:val="21"/>
          <w:szCs w:val="21"/>
          <w:highlight w:val="none"/>
          <w:u w:val="single"/>
        </w:rPr>
        <w:t>不分红的情形。</w:t>
      </w:r>
    </w:p>
    <w:p>
      <w:pPr>
        <w:ind w:firstLine="422" w:firstLineChars="200"/>
        <w:rPr>
          <w:rFonts w:hint="eastAsia" w:ascii="楷体" w:hAnsi="楷体" w:eastAsia="楷体" w:cs="楷体"/>
          <w:sz w:val="21"/>
          <w:szCs w:val="21"/>
          <w:highlight w:val="none"/>
        </w:rPr>
      </w:pPr>
      <w:r>
        <w:rPr>
          <w:rFonts w:hint="eastAsia" w:ascii="楷体" w:hAnsi="楷体" w:eastAsia="楷体" w:cs="楷体"/>
          <w:b/>
          <w:bCs/>
          <w:sz w:val="21"/>
          <w:szCs w:val="21"/>
          <w:highlight w:val="none"/>
          <w:lang w:val="en-US" w:eastAsia="zh-CN"/>
        </w:rPr>
        <w:t>（一）分红</w:t>
      </w:r>
      <w:r>
        <w:rPr>
          <w:rFonts w:hint="eastAsia" w:ascii="楷体" w:hAnsi="楷体" w:eastAsia="楷体" w:cs="楷体"/>
          <w:b/>
          <w:bCs/>
          <w:sz w:val="21"/>
          <w:szCs w:val="21"/>
          <w:highlight w:val="none"/>
        </w:rPr>
        <w:t>计算示例：</w:t>
      </w:r>
      <w:r>
        <w:rPr>
          <w:rFonts w:hint="eastAsia" w:ascii="楷体" w:hAnsi="楷体" w:eastAsia="楷体" w:cs="楷体"/>
          <w:b/>
          <w:bCs/>
          <w:sz w:val="21"/>
          <w:szCs w:val="21"/>
          <w:highlight w:val="none"/>
          <w:u w:val="single"/>
        </w:rPr>
        <w:t>（以下示例均为假设情况，不代表本产品实际投资业绩）</w:t>
      </w:r>
    </w:p>
    <w:p>
      <w:pPr>
        <w:numPr>
          <w:ilvl w:val="0"/>
          <w:numId w:val="0"/>
        </w:numPr>
        <w:ind w:firstLine="420" w:firstLineChars="200"/>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rPr>
        <w:t>假定投资者持有该产品</w:t>
      </w:r>
      <w:r>
        <w:rPr>
          <w:rFonts w:hint="eastAsia" w:ascii="楷体" w:hAnsi="楷体" w:eastAsia="楷体" w:cs="楷体"/>
          <w:sz w:val="21"/>
          <w:szCs w:val="21"/>
          <w:highlight w:val="none"/>
          <w:lang w:val="en-US" w:eastAsia="zh-CN"/>
        </w:rPr>
        <w:t>A</w:t>
      </w:r>
      <w:r>
        <w:rPr>
          <w:rFonts w:hint="eastAsia" w:ascii="楷体" w:hAnsi="楷体" w:eastAsia="楷体" w:cs="楷体"/>
          <w:sz w:val="21"/>
          <w:szCs w:val="21"/>
          <w:highlight w:val="none"/>
        </w:rPr>
        <w:t>份额10,000.00份</w:t>
      </w:r>
      <w:r>
        <w:rPr>
          <w:rFonts w:hint="eastAsia" w:ascii="楷体" w:hAnsi="楷体" w:eastAsia="楷体" w:cs="楷体"/>
          <w:sz w:val="21"/>
          <w:szCs w:val="21"/>
          <w:highlight w:val="none"/>
          <w:lang w:val="en-US" w:eastAsia="zh-CN"/>
        </w:rPr>
        <w:t>。</w:t>
      </w:r>
    </w:p>
    <w:p>
      <w:pPr>
        <w:numPr>
          <w:ilvl w:val="0"/>
          <w:numId w:val="0"/>
        </w:numPr>
        <w:ind w:firstLine="420" w:firstLineChars="200"/>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1.情景一</w:t>
      </w:r>
    </w:p>
    <w:p>
      <w:pPr>
        <w:numPr>
          <w:ilvl w:val="0"/>
          <w:numId w:val="0"/>
        </w:num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第n个观察日A份额</w:t>
      </w:r>
      <w:r>
        <w:rPr>
          <w:rFonts w:hint="eastAsia" w:ascii="楷体" w:hAnsi="楷体" w:eastAsia="楷体" w:cs="楷体"/>
          <w:sz w:val="21"/>
          <w:szCs w:val="21"/>
          <w:highlight w:val="none"/>
        </w:rPr>
        <w:t>单位净值为1.0</w:t>
      </w:r>
      <w:r>
        <w:rPr>
          <w:rFonts w:hint="eastAsia" w:ascii="楷体" w:hAnsi="楷体" w:eastAsia="楷体" w:cs="楷体"/>
          <w:sz w:val="21"/>
          <w:szCs w:val="21"/>
          <w:highlight w:val="none"/>
          <w:lang w:val="en-US" w:eastAsia="zh-CN"/>
        </w:rPr>
        <w:t>03000</w:t>
      </w:r>
      <w:r>
        <w:rPr>
          <w:rFonts w:hint="eastAsia" w:ascii="楷体" w:hAnsi="楷体" w:eastAsia="楷体" w:cs="楷体"/>
          <w:sz w:val="21"/>
          <w:szCs w:val="21"/>
          <w:highlight w:val="none"/>
        </w:rPr>
        <w:t>。</w:t>
      </w:r>
      <w:r>
        <w:rPr>
          <w:rFonts w:hint="eastAsia" w:ascii="楷体" w:hAnsi="楷体" w:eastAsia="楷体" w:cs="楷体"/>
          <w:sz w:val="21"/>
          <w:szCs w:val="21"/>
          <w:highlight w:val="none"/>
          <w:lang w:val="en-US" w:eastAsia="zh-CN"/>
        </w:rPr>
        <w:t>若</w:t>
      </w:r>
      <w:r>
        <w:rPr>
          <w:rFonts w:hint="eastAsia" w:ascii="楷体" w:hAnsi="楷体" w:eastAsia="楷体" w:cs="楷体"/>
          <w:sz w:val="21"/>
          <w:szCs w:val="21"/>
          <w:highlight w:val="none"/>
        </w:rPr>
        <w:t>理财产品</w:t>
      </w:r>
      <w:r>
        <w:rPr>
          <w:rFonts w:hint="eastAsia" w:ascii="楷体" w:hAnsi="楷体" w:eastAsia="楷体" w:cs="楷体"/>
          <w:sz w:val="21"/>
          <w:szCs w:val="21"/>
          <w:highlight w:val="none"/>
          <w:lang w:val="en-US" w:eastAsia="zh-CN"/>
        </w:rPr>
        <w:t>所有份额</w:t>
      </w:r>
      <w:r>
        <w:rPr>
          <w:rFonts w:hint="eastAsia" w:ascii="楷体" w:hAnsi="楷体" w:eastAsia="楷体" w:cs="楷体"/>
          <w:sz w:val="21"/>
          <w:szCs w:val="21"/>
          <w:highlight w:val="none"/>
        </w:rPr>
        <w:t>单位净值大于</w:t>
      </w:r>
      <w:r>
        <w:rPr>
          <w:rFonts w:hint="eastAsia" w:ascii="楷体" w:hAnsi="楷体" w:eastAsia="楷体" w:cs="楷体"/>
          <w:sz w:val="21"/>
          <w:szCs w:val="21"/>
          <w:highlight w:val="none"/>
          <w:lang w:val="en-US" w:eastAsia="zh-CN"/>
        </w:rPr>
        <w:t>1</w:t>
      </w:r>
      <w:r>
        <w:rPr>
          <w:rFonts w:hint="eastAsia" w:ascii="楷体" w:hAnsi="楷体" w:eastAsia="楷体" w:cs="楷体"/>
          <w:sz w:val="21"/>
          <w:szCs w:val="21"/>
          <w:highlight w:val="none"/>
        </w:rPr>
        <w:t>，且产品拥有足够的可分配现金，管理人</w:t>
      </w:r>
      <w:r>
        <w:rPr>
          <w:rFonts w:hint="eastAsia" w:ascii="楷体" w:hAnsi="楷体" w:eastAsia="楷体" w:cs="楷体"/>
          <w:sz w:val="21"/>
          <w:szCs w:val="21"/>
          <w:highlight w:val="none"/>
          <w:lang w:val="en-US" w:eastAsia="zh-CN"/>
        </w:rPr>
        <w:t>根据实际运作情况决定</w:t>
      </w:r>
      <w:r>
        <w:rPr>
          <w:rFonts w:hint="eastAsia" w:ascii="楷体" w:hAnsi="楷体" w:eastAsia="楷体" w:cs="楷体"/>
          <w:sz w:val="21"/>
          <w:szCs w:val="21"/>
          <w:highlight w:val="none"/>
        </w:rPr>
        <w:t>每</w:t>
      </w:r>
      <w:r>
        <w:rPr>
          <w:rFonts w:hint="eastAsia" w:ascii="楷体" w:hAnsi="楷体" w:eastAsia="楷体" w:cs="楷体"/>
          <w:sz w:val="21"/>
          <w:szCs w:val="21"/>
          <w:highlight w:val="none"/>
          <w:lang w:val="en-US" w:eastAsia="zh-CN"/>
        </w:rPr>
        <w:t>产品</w:t>
      </w:r>
      <w:r>
        <w:rPr>
          <w:rFonts w:hint="eastAsia" w:ascii="楷体" w:hAnsi="楷体" w:eastAsia="楷体" w:cs="楷体"/>
          <w:sz w:val="21"/>
          <w:szCs w:val="21"/>
          <w:highlight w:val="none"/>
        </w:rPr>
        <w:t>份额分红为0.0</w:t>
      </w:r>
      <w:r>
        <w:rPr>
          <w:rFonts w:hint="eastAsia" w:ascii="楷体" w:hAnsi="楷体" w:eastAsia="楷体" w:cs="楷体"/>
          <w:sz w:val="21"/>
          <w:szCs w:val="21"/>
          <w:highlight w:val="none"/>
          <w:lang w:val="en-US" w:eastAsia="zh-CN"/>
        </w:rPr>
        <w:t>0</w:t>
      </w:r>
      <w:r>
        <w:rPr>
          <w:rFonts w:hint="eastAsia" w:ascii="楷体" w:hAnsi="楷体" w:eastAsia="楷体" w:cs="楷体"/>
          <w:sz w:val="21"/>
          <w:szCs w:val="21"/>
          <w:highlight w:val="none"/>
        </w:rPr>
        <w:t>2</w:t>
      </w:r>
      <w:r>
        <w:rPr>
          <w:rFonts w:hint="eastAsia" w:ascii="楷体" w:hAnsi="楷体" w:eastAsia="楷体" w:cs="楷体"/>
          <w:sz w:val="21"/>
          <w:szCs w:val="21"/>
          <w:highlight w:val="none"/>
          <w:lang w:val="en-US" w:eastAsia="zh-CN"/>
        </w:rPr>
        <w:t>700</w:t>
      </w:r>
      <w:r>
        <w:rPr>
          <w:rFonts w:hint="eastAsia" w:ascii="楷体" w:hAnsi="楷体" w:eastAsia="楷体" w:cs="楷体"/>
          <w:sz w:val="21"/>
          <w:szCs w:val="21"/>
          <w:highlight w:val="none"/>
        </w:rPr>
        <w:t>元。</w:t>
      </w:r>
    </w:p>
    <w:p>
      <w:pPr>
        <w:numPr>
          <w:ilvl w:val="0"/>
          <w:numId w:val="0"/>
        </w:num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投资者可得分红=10,000.00×0.0</w:t>
      </w:r>
      <w:r>
        <w:rPr>
          <w:rFonts w:hint="eastAsia" w:ascii="楷体" w:hAnsi="楷体" w:eastAsia="楷体" w:cs="楷体"/>
          <w:sz w:val="21"/>
          <w:szCs w:val="21"/>
          <w:highlight w:val="none"/>
          <w:lang w:val="en-US" w:eastAsia="zh-CN"/>
        </w:rPr>
        <w:t>02700</w:t>
      </w:r>
      <w:r>
        <w:rPr>
          <w:rFonts w:hint="eastAsia" w:ascii="楷体" w:hAnsi="楷体" w:eastAsia="楷体" w:cs="楷体"/>
          <w:sz w:val="21"/>
          <w:szCs w:val="21"/>
          <w:highlight w:val="none"/>
        </w:rPr>
        <w:t>=</w:t>
      </w:r>
      <w:r>
        <w:rPr>
          <w:rFonts w:hint="eastAsia" w:ascii="楷体" w:hAnsi="楷体" w:eastAsia="楷体" w:cs="楷体"/>
          <w:sz w:val="21"/>
          <w:szCs w:val="21"/>
          <w:highlight w:val="none"/>
          <w:lang w:val="en-US" w:eastAsia="zh-CN"/>
        </w:rPr>
        <w:t>27</w:t>
      </w:r>
      <w:r>
        <w:rPr>
          <w:rFonts w:hint="eastAsia" w:ascii="楷体" w:hAnsi="楷体" w:eastAsia="楷体" w:cs="楷体"/>
          <w:sz w:val="21"/>
          <w:szCs w:val="21"/>
          <w:highlight w:val="none"/>
        </w:rPr>
        <w:t>（元）</w:t>
      </w:r>
    </w:p>
    <w:p>
      <w:pPr>
        <w:numPr>
          <w:ilvl w:val="0"/>
          <w:numId w:val="0"/>
        </w:numPr>
        <w:ind w:firstLine="420" w:firstLineChars="200"/>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2.情景二</w:t>
      </w:r>
    </w:p>
    <w:p>
      <w:pPr>
        <w:numPr>
          <w:ilvl w:val="0"/>
          <w:numId w:val="0"/>
        </w:num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第n个观察日A份额</w:t>
      </w:r>
      <w:r>
        <w:rPr>
          <w:rFonts w:hint="eastAsia" w:ascii="楷体" w:hAnsi="楷体" w:eastAsia="楷体" w:cs="楷体"/>
          <w:sz w:val="21"/>
          <w:szCs w:val="21"/>
          <w:highlight w:val="none"/>
        </w:rPr>
        <w:t>单位净值为</w:t>
      </w:r>
      <w:r>
        <w:rPr>
          <w:rFonts w:hint="eastAsia" w:ascii="楷体" w:hAnsi="楷体" w:eastAsia="楷体" w:cs="楷体"/>
          <w:sz w:val="21"/>
          <w:szCs w:val="21"/>
          <w:highlight w:val="none"/>
          <w:lang w:val="en-US" w:eastAsia="zh-CN"/>
        </w:rPr>
        <w:t>0.997500</w:t>
      </w:r>
      <w:r>
        <w:rPr>
          <w:rFonts w:hint="eastAsia" w:ascii="楷体" w:hAnsi="楷体" w:eastAsia="楷体" w:cs="楷体"/>
          <w:sz w:val="21"/>
          <w:szCs w:val="21"/>
          <w:highlight w:val="none"/>
        </w:rPr>
        <w:t>。</w:t>
      </w:r>
      <w:r>
        <w:rPr>
          <w:rFonts w:hint="eastAsia" w:ascii="楷体" w:hAnsi="楷体" w:eastAsia="楷体" w:cs="楷体"/>
          <w:sz w:val="21"/>
          <w:szCs w:val="21"/>
          <w:highlight w:val="none"/>
          <w:lang w:val="en-US" w:eastAsia="zh-CN"/>
        </w:rPr>
        <w:t>因</w:t>
      </w:r>
      <w:r>
        <w:rPr>
          <w:rFonts w:hint="eastAsia" w:ascii="楷体" w:hAnsi="楷体" w:eastAsia="楷体" w:cs="楷体"/>
          <w:sz w:val="21"/>
          <w:szCs w:val="21"/>
          <w:highlight w:val="none"/>
        </w:rPr>
        <w:t>理财产品</w:t>
      </w:r>
      <w:r>
        <w:rPr>
          <w:rFonts w:hint="eastAsia" w:ascii="楷体" w:hAnsi="楷体" w:eastAsia="楷体" w:cs="楷体"/>
          <w:sz w:val="21"/>
          <w:szCs w:val="21"/>
          <w:highlight w:val="none"/>
          <w:lang w:val="en-US" w:eastAsia="zh-CN"/>
        </w:rPr>
        <w:t>份额</w:t>
      </w:r>
      <w:r>
        <w:rPr>
          <w:rFonts w:hint="eastAsia" w:ascii="楷体" w:hAnsi="楷体" w:eastAsia="楷体" w:cs="楷体"/>
          <w:sz w:val="21"/>
          <w:szCs w:val="21"/>
          <w:highlight w:val="none"/>
        </w:rPr>
        <w:t>单位净值</w:t>
      </w:r>
      <w:r>
        <w:rPr>
          <w:rFonts w:hint="eastAsia" w:ascii="楷体" w:hAnsi="楷体" w:eastAsia="楷体" w:cs="楷体"/>
          <w:sz w:val="21"/>
          <w:szCs w:val="21"/>
          <w:highlight w:val="none"/>
          <w:lang w:val="en-US" w:eastAsia="zh-CN"/>
        </w:rPr>
        <w:t>小</w:t>
      </w:r>
      <w:r>
        <w:rPr>
          <w:rFonts w:hint="eastAsia" w:ascii="楷体" w:hAnsi="楷体" w:eastAsia="楷体" w:cs="楷体"/>
          <w:sz w:val="21"/>
          <w:szCs w:val="21"/>
          <w:highlight w:val="none"/>
        </w:rPr>
        <w:t>于</w:t>
      </w:r>
      <w:r>
        <w:rPr>
          <w:rFonts w:hint="eastAsia" w:ascii="楷体" w:hAnsi="楷体" w:eastAsia="楷体" w:cs="楷体"/>
          <w:sz w:val="21"/>
          <w:szCs w:val="21"/>
          <w:highlight w:val="none"/>
          <w:lang w:val="en-US" w:eastAsia="zh-CN"/>
        </w:rPr>
        <w:t>1</w:t>
      </w:r>
      <w:r>
        <w:rPr>
          <w:rFonts w:hint="eastAsia" w:ascii="楷体" w:hAnsi="楷体" w:eastAsia="楷体" w:cs="楷体"/>
          <w:sz w:val="21"/>
          <w:szCs w:val="21"/>
          <w:highlight w:val="none"/>
        </w:rPr>
        <w:t>，管理人</w:t>
      </w:r>
      <w:r>
        <w:rPr>
          <w:rFonts w:hint="eastAsia" w:ascii="楷体" w:hAnsi="楷体" w:eastAsia="楷体" w:cs="楷体"/>
          <w:sz w:val="21"/>
          <w:szCs w:val="21"/>
          <w:highlight w:val="none"/>
          <w:lang w:val="en-US" w:eastAsia="zh-CN"/>
        </w:rPr>
        <w:t>根据实际运作情况决定不进行分红</w:t>
      </w:r>
      <w:r>
        <w:rPr>
          <w:rFonts w:hint="eastAsia" w:ascii="楷体" w:hAnsi="楷体" w:eastAsia="楷体" w:cs="楷体"/>
          <w:sz w:val="21"/>
          <w:szCs w:val="21"/>
          <w:highlight w:val="none"/>
        </w:rPr>
        <w:t>。</w:t>
      </w:r>
    </w:p>
    <w:p>
      <w:pPr>
        <w:numPr>
          <w:ilvl w:val="0"/>
          <w:numId w:val="0"/>
        </w:numPr>
        <w:ind w:firstLine="420" w:firstLineChars="200"/>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3.情景三</w:t>
      </w:r>
    </w:p>
    <w:p>
      <w:pPr>
        <w:numPr>
          <w:ilvl w:val="0"/>
          <w:numId w:val="0"/>
        </w:num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第n个观察日A份额</w:t>
      </w:r>
      <w:r>
        <w:rPr>
          <w:rFonts w:hint="eastAsia" w:ascii="楷体" w:hAnsi="楷体" w:eastAsia="楷体" w:cs="楷体"/>
          <w:sz w:val="21"/>
          <w:szCs w:val="21"/>
          <w:highlight w:val="none"/>
        </w:rPr>
        <w:t>单位净值为</w:t>
      </w:r>
      <w:r>
        <w:rPr>
          <w:rFonts w:hint="eastAsia" w:ascii="楷体" w:hAnsi="楷体" w:eastAsia="楷体" w:cs="楷体"/>
          <w:sz w:val="21"/>
          <w:szCs w:val="21"/>
          <w:highlight w:val="none"/>
          <w:lang w:val="en-US" w:eastAsia="zh-CN"/>
        </w:rPr>
        <w:t>1.002500</w:t>
      </w:r>
      <w:r>
        <w:rPr>
          <w:rFonts w:hint="eastAsia" w:ascii="楷体" w:hAnsi="楷体" w:eastAsia="楷体" w:cs="楷体"/>
          <w:sz w:val="21"/>
          <w:szCs w:val="21"/>
          <w:highlight w:val="none"/>
        </w:rPr>
        <w:t>。</w:t>
      </w:r>
      <w:r>
        <w:rPr>
          <w:rFonts w:hint="eastAsia" w:ascii="楷体" w:hAnsi="楷体" w:eastAsia="楷体" w:cs="楷体"/>
          <w:sz w:val="21"/>
          <w:szCs w:val="21"/>
          <w:highlight w:val="none"/>
          <w:lang w:val="en-US" w:eastAsia="zh-CN"/>
        </w:rPr>
        <w:t>若</w:t>
      </w:r>
      <w:r>
        <w:rPr>
          <w:rFonts w:hint="eastAsia" w:ascii="楷体" w:hAnsi="楷体" w:eastAsia="楷体" w:cs="楷体"/>
          <w:sz w:val="21"/>
          <w:szCs w:val="21"/>
          <w:highlight w:val="none"/>
        </w:rPr>
        <w:t>理财产品</w:t>
      </w:r>
      <w:r>
        <w:rPr>
          <w:rFonts w:hint="eastAsia" w:ascii="楷体" w:hAnsi="楷体" w:eastAsia="楷体" w:cs="楷体"/>
          <w:sz w:val="21"/>
          <w:szCs w:val="21"/>
          <w:highlight w:val="none"/>
          <w:lang w:val="en-US" w:eastAsia="zh-CN"/>
        </w:rPr>
        <w:t>所有份额</w:t>
      </w:r>
      <w:r>
        <w:rPr>
          <w:rFonts w:hint="eastAsia" w:ascii="楷体" w:hAnsi="楷体" w:eastAsia="楷体" w:cs="楷体"/>
          <w:sz w:val="21"/>
          <w:szCs w:val="21"/>
          <w:highlight w:val="none"/>
        </w:rPr>
        <w:t>单位净值</w:t>
      </w:r>
      <w:r>
        <w:rPr>
          <w:rFonts w:hint="eastAsia" w:ascii="楷体" w:hAnsi="楷体" w:eastAsia="楷体" w:cs="楷体"/>
          <w:sz w:val="21"/>
          <w:szCs w:val="21"/>
          <w:highlight w:val="none"/>
          <w:lang w:val="en-US" w:eastAsia="zh-CN"/>
        </w:rPr>
        <w:t>大</w:t>
      </w:r>
      <w:r>
        <w:rPr>
          <w:rFonts w:hint="eastAsia" w:ascii="楷体" w:hAnsi="楷体" w:eastAsia="楷体" w:cs="楷体"/>
          <w:sz w:val="21"/>
          <w:szCs w:val="21"/>
          <w:highlight w:val="none"/>
        </w:rPr>
        <w:t>于</w:t>
      </w:r>
      <w:r>
        <w:rPr>
          <w:rFonts w:hint="eastAsia" w:ascii="楷体" w:hAnsi="楷体" w:eastAsia="楷体" w:cs="楷体"/>
          <w:sz w:val="21"/>
          <w:szCs w:val="21"/>
          <w:highlight w:val="none"/>
          <w:lang w:val="en-US" w:eastAsia="zh-CN"/>
        </w:rPr>
        <w:t>1</w:t>
      </w:r>
      <w:r>
        <w:rPr>
          <w:rFonts w:hint="eastAsia" w:ascii="楷体" w:hAnsi="楷体" w:eastAsia="楷体" w:cs="楷体"/>
          <w:sz w:val="21"/>
          <w:szCs w:val="21"/>
          <w:highlight w:val="none"/>
        </w:rPr>
        <w:t>，</w:t>
      </w:r>
      <w:r>
        <w:rPr>
          <w:rFonts w:hint="eastAsia" w:ascii="楷体" w:hAnsi="楷体" w:eastAsia="楷体" w:cs="楷体"/>
          <w:sz w:val="21"/>
          <w:szCs w:val="21"/>
          <w:highlight w:val="none"/>
          <w:lang w:val="en-US" w:eastAsia="zh-CN"/>
        </w:rPr>
        <w:t>但</w:t>
      </w:r>
      <w:r>
        <w:rPr>
          <w:rFonts w:hint="eastAsia" w:ascii="楷体" w:hAnsi="楷体" w:eastAsia="楷体" w:cs="楷体"/>
          <w:sz w:val="21"/>
          <w:szCs w:val="21"/>
          <w:highlight w:val="none"/>
        </w:rPr>
        <w:t>产品可分配现金</w:t>
      </w:r>
      <w:r>
        <w:rPr>
          <w:rFonts w:hint="eastAsia" w:ascii="楷体" w:hAnsi="楷体" w:eastAsia="楷体" w:cs="楷体"/>
          <w:sz w:val="21"/>
          <w:szCs w:val="21"/>
          <w:highlight w:val="none"/>
          <w:lang w:val="en-US" w:eastAsia="zh-CN"/>
        </w:rPr>
        <w:t>不足</w:t>
      </w:r>
      <w:r>
        <w:rPr>
          <w:rFonts w:hint="eastAsia" w:ascii="楷体" w:hAnsi="楷体" w:eastAsia="楷体" w:cs="楷体"/>
          <w:sz w:val="21"/>
          <w:szCs w:val="21"/>
          <w:highlight w:val="none"/>
        </w:rPr>
        <w:t>，管理人</w:t>
      </w:r>
      <w:r>
        <w:rPr>
          <w:rFonts w:hint="eastAsia" w:ascii="楷体" w:hAnsi="楷体" w:eastAsia="楷体" w:cs="楷体"/>
          <w:sz w:val="21"/>
          <w:szCs w:val="21"/>
          <w:highlight w:val="none"/>
          <w:lang w:val="en-US" w:eastAsia="zh-CN"/>
        </w:rPr>
        <w:t>根据实际运作情况决定不进行分红</w:t>
      </w:r>
      <w:r>
        <w:rPr>
          <w:rFonts w:hint="eastAsia" w:ascii="楷体" w:hAnsi="楷体" w:eastAsia="楷体" w:cs="楷体"/>
          <w:sz w:val="21"/>
          <w:szCs w:val="21"/>
          <w:highlight w:val="none"/>
        </w:rPr>
        <w:t>。</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bCs/>
          <w:sz w:val="21"/>
          <w:szCs w:val="21"/>
          <w:highlight w:val="none"/>
          <w:lang w:val="en-US" w:eastAsia="zh-CN"/>
        </w:rPr>
        <w:t>（二）到期</w:t>
      </w:r>
      <w:r>
        <w:rPr>
          <w:rFonts w:hint="eastAsia" w:ascii="楷体" w:hAnsi="楷体" w:eastAsia="楷体" w:cs="楷体"/>
          <w:b/>
          <w:bCs/>
          <w:sz w:val="21"/>
          <w:szCs w:val="21"/>
          <w:highlight w:val="none"/>
        </w:rPr>
        <w:t>计算示例：</w:t>
      </w:r>
      <w:r>
        <w:rPr>
          <w:rFonts w:hint="eastAsia" w:ascii="楷体" w:hAnsi="楷体" w:eastAsia="楷体" w:cs="楷体"/>
          <w:b/>
          <w:bCs/>
          <w:sz w:val="21"/>
          <w:szCs w:val="21"/>
          <w:highlight w:val="none"/>
          <w:u w:val="single"/>
        </w:rPr>
        <w:t>（以下示例均为假设情况，不代表本产品实际投资业绩）</w:t>
      </w:r>
    </w:p>
    <w:p>
      <w:pPr>
        <w:numPr>
          <w:ilvl w:val="0"/>
          <w:numId w:val="0"/>
        </w:numPr>
        <w:ind w:firstLine="420" w:firstLineChars="200"/>
        <w:rPr>
          <w:rFonts w:hint="eastAsia" w:ascii="楷体" w:hAnsi="楷体" w:eastAsia="楷体" w:cs="楷体"/>
          <w:b/>
          <w:bCs/>
          <w:sz w:val="21"/>
          <w:szCs w:val="21"/>
          <w:highlight w:val="none"/>
          <w:u w:val="single"/>
        </w:rPr>
      </w:pPr>
      <w:r>
        <w:rPr>
          <w:rFonts w:hint="eastAsia" w:ascii="楷体" w:hAnsi="楷体" w:eastAsia="楷体" w:cs="楷体"/>
          <w:sz w:val="21"/>
          <w:szCs w:val="21"/>
          <w:highlight w:val="none"/>
        </w:rPr>
        <w:t>假定投资者持有该产品</w:t>
      </w:r>
      <w:r>
        <w:rPr>
          <w:rFonts w:hint="eastAsia" w:ascii="楷体" w:hAnsi="楷体" w:eastAsia="楷体" w:cs="楷体"/>
          <w:sz w:val="21"/>
          <w:szCs w:val="21"/>
          <w:highlight w:val="none"/>
          <w:lang w:val="en-US" w:eastAsia="zh-CN"/>
        </w:rPr>
        <w:t>A</w:t>
      </w:r>
      <w:r>
        <w:rPr>
          <w:rFonts w:hint="eastAsia" w:ascii="楷体" w:hAnsi="楷体" w:eastAsia="楷体" w:cs="楷体"/>
          <w:sz w:val="21"/>
          <w:szCs w:val="21"/>
          <w:highlight w:val="none"/>
        </w:rPr>
        <w:t>份额10,000.00份</w:t>
      </w:r>
      <w:r>
        <w:rPr>
          <w:rFonts w:hint="eastAsia" w:ascii="楷体" w:hAnsi="楷体" w:eastAsia="楷体" w:cs="楷体"/>
          <w:sz w:val="21"/>
          <w:szCs w:val="21"/>
          <w:highlight w:val="none"/>
          <w:lang w:val="en-US" w:eastAsia="zh-CN"/>
        </w:rPr>
        <w:t>。</w:t>
      </w:r>
    </w:p>
    <w:p>
      <w:pPr>
        <w:numPr>
          <w:ilvl w:val="0"/>
          <w:numId w:val="0"/>
        </w:num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1.</w:t>
      </w:r>
      <w:r>
        <w:rPr>
          <w:rFonts w:hint="eastAsia" w:ascii="楷体" w:hAnsi="楷体" w:eastAsia="楷体" w:cs="楷体"/>
          <w:sz w:val="21"/>
          <w:szCs w:val="21"/>
          <w:highlight w:val="none"/>
        </w:rPr>
        <w:t>情景一</w:t>
      </w:r>
    </w:p>
    <w:p>
      <w:pPr>
        <w:numPr>
          <w:ilvl w:val="0"/>
          <w:numId w:val="0"/>
        </w:numPr>
        <w:ind w:firstLine="420" w:firstLineChars="200"/>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本理财产品到期，产品到期日单位净值为1.030000，则投资者在资金到账日收到的赎回资金为10300元。投资者持有本理财产品期间的投资收益为赎回资金和投资本金之差（10300-10000=300元）与本理财产品历次分红向投资者分配的分红资金之和。</w:t>
      </w:r>
    </w:p>
    <w:p>
      <w:pPr>
        <w:numPr>
          <w:ilvl w:val="0"/>
          <w:numId w:val="0"/>
        </w:numPr>
        <w:ind w:leftChars="200"/>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2.</w:t>
      </w:r>
      <w:r>
        <w:rPr>
          <w:rFonts w:hint="eastAsia" w:ascii="楷体" w:hAnsi="楷体" w:eastAsia="楷体" w:cs="楷体"/>
          <w:sz w:val="21"/>
          <w:szCs w:val="21"/>
          <w:highlight w:val="none"/>
        </w:rPr>
        <w:t>情景二</w:t>
      </w:r>
    </w:p>
    <w:p>
      <w:pPr>
        <w:ind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本理财产品到期，产品到期日单位净值为0.970000，则投资者在资金到账日收到的赎回资金为9700元。投资者持有本理财产品期间的投资收益为赎回资金和投资本金之差（9700-10000=-300元）与本理财产品历次分红向投资者分配的分红资金之和。</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bCs/>
          <w:sz w:val="21"/>
          <w:szCs w:val="21"/>
          <w:highlight w:val="none"/>
          <w:u w:val="single"/>
        </w:rPr>
        <w:t>上述情况假设仅用于向投资者示例现金分红</w:t>
      </w:r>
      <w:r>
        <w:rPr>
          <w:rFonts w:hint="eastAsia" w:ascii="楷体" w:hAnsi="楷体" w:eastAsia="楷体" w:cs="楷体"/>
          <w:b/>
          <w:bCs/>
          <w:sz w:val="21"/>
          <w:szCs w:val="21"/>
          <w:highlight w:val="none"/>
          <w:u w:val="single"/>
          <w:lang w:val="en-US" w:eastAsia="zh-CN"/>
        </w:rPr>
        <w:t>及到期赎回资金</w:t>
      </w:r>
      <w:r>
        <w:rPr>
          <w:rFonts w:hint="eastAsia" w:ascii="楷体" w:hAnsi="楷体" w:eastAsia="楷体" w:cs="楷体"/>
          <w:b/>
          <w:bCs/>
          <w:sz w:val="21"/>
          <w:szCs w:val="21"/>
          <w:highlight w:val="none"/>
          <w:u w:val="single"/>
        </w:rPr>
        <w:t>计算方法之用，并不代表管理人对实际分红</w:t>
      </w:r>
      <w:r>
        <w:rPr>
          <w:rFonts w:hint="eastAsia" w:ascii="楷体" w:hAnsi="楷体" w:eastAsia="楷体" w:cs="楷体"/>
          <w:b/>
          <w:bCs/>
          <w:sz w:val="21"/>
          <w:szCs w:val="21"/>
          <w:highlight w:val="none"/>
          <w:u w:val="single"/>
          <w:lang w:val="en-US" w:eastAsia="zh-CN"/>
        </w:rPr>
        <w:t>/兑付</w:t>
      </w:r>
      <w:r>
        <w:rPr>
          <w:rFonts w:hint="eastAsia" w:ascii="楷体" w:hAnsi="楷体" w:eastAsia="楷体" w:cs="楷体"/>
          <w:b/>
          <w:bCs/>
          <w:sz w:val="21"/>
          <w:szCs w:val="21"/>
          <w:highlight w:val="none"/>
          <w:u w:val="single"/>
        </w:rPr>
        <w:t>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楷体"/>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5"/>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w:t>
      </w:r>
      <w:bookmarkStart w:id="0" w:name="_GoBack"/>
      <w:bookmarkEnd w:id="0"/>
      <w:r>
        <w:rPr>
          <w:rFonts w:hint="eastAsia" w:ascii="楷体" w:hAnsi="楷体" w:eastAsia="楷体" w:cs="楷体"/>
          <w:color w:val="auto"/>
          <w:sz w:val="21"/>
          <w:szCs w:val="21"/>
          <w:lang w:val="en-US" w:eastAsia="zh-CN"/>
        </w:rPr>
        <w:t>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rPr>
          <w:rFonts w:hint="eastAsia"/>
        </w:rPr>
      </w:pP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77284C"/>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704E4"/>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50E2D"/>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64BB9"/>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94B02"/>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223E7"/>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9F6289"/>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7E57"/>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9852F4"/>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CC1279"/>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7D449A"/>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004E5"/>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13918</Words>
  <Characters>14773</Characters>
  <Lines>243</Lines>
  <Paragraphs>68</Paragraphs>
  <TotalTime>0</TotalTime>
  <ScaleCrop>false</ScaleCrop>
  <LinksUpToDate>false</LinksUpToDate>
  <CharactersWithSpaces>14779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2026-01-15T03:05:23Z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