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楷体" w:hAnsi="楷体" w:eastAsia="楷体"/>
          <w:b/>
          <w:kern w:val="0"/>
          <w:sz w:val="36"/>
          <w:szCs w:val="36"/>
          <w:lang w:val="en-US" w:eastAsia="zh-CN"/>
        </w:rPr>
      </w:pPr>
      <w:r>
        <w:rPr>
          <w:rFonts w:hint="eastAsia" w:ascii="楷体" w:hAnsi="楷体" w:eastAsia="楷体"/>
          <w:b/>
          <w:kern w:val="0"/>
          <w:sz w:val="36"/>
          <w:szCs w:val="36"/>
          <w:lang w:val="en-US" w:eastAsia="zh-CN"/>
        </w:rPr>
        <w:t>关于调整</w:t>
      </w:r>
      <w:r>
        <w:rPr>
          <w:rFonts w:hint="eastAsia" w:ascii="楷体" w:hAnsi="楷体" w:eastAsia="楷体"/>
          <w:b/>
          <w:kern w:val="0"/>
          <w:sz w:val="36"/>
          <w:szCs w:val="36"/>
        </w:rPr>
        <w:t>“苏银理财恒源</w:t>
      </w:r>
      <w:r>
        <w:rPr>
          <w:rFonts w:hint="eastAsia" w:ascii="楷体" w:hAnsi="楷体" w:eastAsia="楷体"/>
          <w:b/>
          <w:kern w:val="0"/>
          <w:sz w:val="36"/>
          <w:szCs w:val="36"/>
          <w:lang w:eastAsia="zh-CN"/>
        </w:rPr>
        <w:t>日申半年持有1号</w:t>
      </w:r>
      <w:r>
        <w:rPr>
          <w:rFonts w:hint="eastAsia" w:ascii="楷体" w:hAnsi="楷体" w:eastAsia="楷体"/>
          <w:b/>
          <w:kern w:val="0"/>
          <w:sz w:val="36"/>
          <w:szCs w:val="36"/>
        </w:rPr>
        <w:t>”理财产品</w:t>
      </w:r>
      <w:r>
        <w:rPr>
          <w:rFonts w:hint="eastAsia" w:ascii="楷体" w:hAnsi="楷体" w:eastAsia="楷体"/>
          <w:b/>
          <w:kern w:val="0"/>
          <w:sz w:val="36"/>
          <w:szCs w:val="36"/>
          <w:lang w:val="en-US" w:eastAsia="zh-CN"/>
        </w:rPr>
        <w:t>要素的公告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pStyle w:val="11"/>
        <w:spacing w:before="0" w:beforeAutospacing="0" w:after="312" w:afterLines="10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lang w:val="en-US" w:eastAsia="zh-CN"/>
        </w:rPr>
        <w:t>根据投资运作情况</w:t>
      </w:r>
      <w:r>
        <w:rPr>
          <w:rFonts w:hint="eastAsia" w:ascii="楷体" w:hAnsi="楷体" w:eastAsia="楷体" w:cs="Times New Roman"/>
          <w:sz w:val="28"/>
          <w:szCs w:val="28"/>
        </w:rPr>
        <w:t>，管理人自202</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11</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28</w:t>
      </w:r>
      <w:r>
        <w:rPr>
          <w:rFonts w:hint="eastAsia" w:ascii="楷体" w:hAnsi="楷体" w:eastAsia="楷体" w:cs="Times New Roman"/>
          <w:sz w:val="28"/>
          <w:szCs w:val="28"/>
        </w:rPr>
        <w:t>日起，对“苏银理财恒源</w:t>
      </w:r>
      <w:r>
        <w:rPr>
          <w:rFonts w:hint="eastAsia" w:ascii="楷体" w:hAnsi="楷体" w:eastAsia="楷体" w:cs="Times New Roman"/>
          <w:sz w:val="28"/>
          <w:szCs w:val="28"/>
          <w:lang w:eastAsia="zh-CN"/>
        </w:rPr>
        <w:t>日申半年持有1号</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理财产品各份额的业绩比较基准、超额业绩报酬等要素进行调整（</w:t>
      </w:r>
      <w:r>
        <w:rPr>
          <w:rFonts w:hint="eastAsia" w:ascii="楷体" w:hAnsi="楷体" w:eastAsia="楷体" w:cs="Times New Roman"/>
          <w:sz w:val="28"/>
          <w:szCs w:val="28"/>
        </w:rPr>
        <w:t>业绩比较基准</w:t>
      </w:r>
      <w:r>
        <w:rPr>
          <w:rFonts w:hint="eastAsia" w:ascii="楷体" w:hAnsi="楷体" w:eastAsia="楷体" w:cs="Times New Roman"/>
          <w:sz w:val="28"/>
          <w:szCs w:val="28"/>
          <w:lang w:val="en-US" w:eastAsia="zh-CN"/>
        </w:rPr>
        <w:t>为管理人</w:t>
      </w:r>
      <w:r>
        <w:rPr>
          <w:rFonts w:hint="eastAsia" w:ascii="楷体" w:hAnsi="楷体" w:eastAsia="楷体" w:cs="Times New Roman"/>
          <w:sz w:val="28"/>
          <w:szCs w:val="28"/>
        </w:rPr>
        <w:t>对本产品所设定的投资目标，不代表理财产品未来表现，不等于理财产品实际收益，不作为产品收益的业绩保证，投资者的实际收益由产品净值表现决定</w:t>
      </w: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具体安排如下：</w:t>
      </w:r>
    </w:p>
    <w:tbl>
      <w:tblPr>
        <w:tblStyle w:val="13"/>
        <w:tblW w:w="5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1"/>
        <w:gridCol w:w="1545"/>
        <w:gridCol w:w="1425"/>
        <w:gridCol w:w="1770"/>
        <w:gridCol w:w="1620"/>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87" w:type="pct"/>
            <w:vMerge w:val="restart"/>
            <w:noWrap w:val="0"/>
            <w:vAlign w:val="center"/>
          </w:tcPr>
          <w:p>
            <w:pPr>
              <w:pStyle w:val="11"/>
              <w:spacing w:before="0" w:beforeAutospacing="0" w:after="0" w:afterAutospacing="0" w:line="400" w:lineRule="exact"/>
              <w:jc w:val="center"/>
              <w:rPr>
                <w:rFonts w:hint="eastAsia" w:ascii="楷体" w:hAnsi="楷体" w:eastAsia="楷体" w:cs="Times New Roman"/>
                <w:b/>
                <w:bCs/>
                <w:sz w:val="22"/>
                <w:szCs w:val="22"/>
              </w:rPr>
            </w:pPr>
            <w:r>
              <w:rPr>
                <w:rFonts w:hint="eastAsia" w:ascii="楷体" w:hAnsi="楷体" w:eastAsia="楷体" w:cs="Times New Roman"/>
                <w:b/>
                <w:bCs/>
                <w:sz w:val="22"/>
                <w:szCs w:val="22"/>
              </w:rPr>
              <w:t>销售简称</w:t>
            </w:r>
          </w:p>
        </w:tc>
        <w:tc>
          <w:tcPr>
            <w:tcW w:w="773" w:type="pct"/>
            <w:vMerge w:val="restart"/>
            <w:noWrap w:val="0"/>
            <w:vAlign w:val="center"/>
          </w:tcPr>
          <w:p>
            <w:pPr>
              <w:pStyle w:val="11"/>
              <w:spacing w:before="0" w:beforeAutospacing="0" w:after="0" w:afterAutospacing="0" w:line="400" w:lineRule="exact"/>
              <w:jc w:val="center"/>
              <w:rPr>
                <w:rFonts w:hint="eastAsia" w:ascii="楷体" w:hAnsi="楷体" w:eastAsia="楷体" w:cs="Times New Roman"/>
                <w:b/>
                <w:bCs/>
                <w:sz w:val="22"/>
                <w:szCs w:val="22"/>
              </w:rPr>
            </w:pPr>
            <w:r>
              <w:rPr>
                <w:rFonts w:hint="eastAsia" w:ascii="楷体" w:hAnsi="楷体" w:eastAsia="楷体" w:cs="Times New Roman"/>
                <w:b/>
                <w:bCs/>
                <w:sz w:val="22"/>
                <w:szCs w:val="22"/>
              </w:rPr>
              <w:t>销售代码</w:t>
            </w:r>
          </w:p>
        </w:tc>
        <w:tc>
          <w:tcPr>
            <w:tcW w:w="1600" w:type="pct"/>
            <w:gridSpan w:val="2"/>
            <w:noWrap w:val="0"/>
            <w:vAlign w:val="center"/>
          </w:tcPr>
          <w:p>
            <w:pPr>
              <w:pStyle w:val="11"/>
              <w:spacing w:before="0" w:beforeAutospacing="0" w:after="0" w:afterAutospacing="0" w:line="400" w:lineRule="exact"/>
              <w:jc w:val="center"/>
              <w:rPr>
                <w:rFonts w:hint="default"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业绩比较基准（年化）</w:t>
            </w:r>
          </w:p>
        </w:tc>
        <w:tc>
          <w:tcPr>
            <w:tcW w:w="1638" w:type="pct"/>
            <w:gridSpan w:val="2"/>
            <w:noWrap w:val="0"/>
            <w:vAlign w:val="center"/>
          </w:tcPr>
          <w:p>
            <w:pPr>
              <w:pStyle w:val="11"/>
              <w:spacing w:before="0" w:beforeAutospacing="0" w:after="0" w:afterAutospacing="0" w:line="400" w:lineRule="exact"/>
              <w:jc w:val="center"/>
              <w:rPr>
                <w:rFonts w:hint="default" w:ascii="楷体" w:hAnsi="楷体" w:eastAsia="楷体" w:cs="Times New Roman"/>
                <w:b/>
                <w:bCs/>
                <w:sz w:val="22"/>
                <w:szCs w:val="22"/>
                <w:lang w:val="en-US"/>
              </w:rPr>
            </w:pPr>
            <w:r>
              <w:rPr>
                <w:rFonts w:hint="eastAsia" w:ascii="楷体" w:hAnsi="楷体" w:eastAsia="楷体" w:cs="Times New Roman"/>
                <w:b/>
                <w:bCs/>
                <w:sz w:val="22"/>
                <w:szCs w:val="22"/>
                <w:lang w:val="en-US" w:eastAsia="zh-CN"/>
              </w:rPr>
              <w:t>超额业绩报酬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87" w:type="pct"/>
            <w:vMerge w:val="continue"/>
            <w:noWrap w:val="0"/>
            <w:vAlign w:val="center"/>
          </w:tcPr>
          <w:p>
            <w:pPr>
              <w:pStyle w:val="11"/>
              <w:spacing w:before="0" w:beforeAutospacing="0" w:after="0" w:afterAutospacing="0" w:line="400" w:lineRule="exact"/>
              <w:jc w:val="center"/>
              <w:rPr>
                <w:b/>
                <w:bCs/>
                <w:sz w:val="21"/>
                <w:szCs w:val="21"/>
              </w:rPr>
            </w:pPr>
          </w:p>
        </w:tc>
        <w:tc>
          <w:tcPr>
            <w:tcW w:w="773" w:type="pct"/>
            <w:vMerge w:val="continue"/>
            <w:noWrap w:val="0"/>
            <w:vAlign w:val="center"/>
          </w:tcPr>
          <w:p>
            <w:pPr>
              <w:pStyle w:val="11"/>
              <w:spacing w:before="0" w:beforeAutospacing="0" w:after="0" w:afterAutospacing="0" w:line="400" w:lineRule="exact"/>
              <w:jc w:val="center"/>
              <w:rPr>
                <w:b/>
                <w:bCs/>
                <w:sz w:val="21"/>
                <w:szCs w:val="21"/>
              </w:rPr>
            </w:pPr>
          </w:p>
        </w:tc>
        <w:tc>
          <w:tcPr>
            <w:tcW w:w="713" w:type="pct"/>
            <w:noWrap w:val="0"/>
            <w:vAlign w:val="center"/>
          </w:tcPr>
          <w:p>
            <w:pPr>
              <w:pStyle w:val="11"/>
              <w:spacing w:before="0" w:beforeAutospacing="0" w:after="0" w:afterAutospacing="0" w:line="400" w:lineRule="exact"/>
              <w:jc w:val="center"/>
              <w:rPr>
                <w:rFonts w:hint="eastAsia" w:ascii="楷体" w:hAnsi="楷体" w:eastAsia="楷体" w:cs="Times New Roman"/>
                <w:b/>
                <w:bCs/>
                <w:sz w:val="22"/>
                <w:szCs w:val="22"/>
              </w:rPr>
            </w:pPr>
            <w:r>
              <w:rPr>
                <w:rFonts w:hint="eastAsia" w:ascii="楷体" w:hAnsi="楷体" w:eastAsia="楷体" w:cs="Times New Roman"/>
                <w:b/>
                <w:bCs/>
                <w:sz w:val="22"/>
                <w:szCs w:val="22"/>
                <w:lang w:val="en-US" w:eastAsia="zh-CN"/>
              </w:rPr>
              <w:t>调整前</w:t>
            </w:r>
          </w:p>
        </w:tc>
        <w:tc>
          <w:tcPr>
            <w:tcW w:w="886" w:type="pct"/>
            <w:noWrap w:val="0"/>
            <w:vAlign w:val="center"/>
          </w:tcPr>
          <w:p>
            <w:pPr>
              <w:pStyle w:val="11"/>
              <w:spacing w:before="0" w:beforeAutospacing="0" w:after="0" w:afterAutospacing="0" w:line="400" w:lineRule="exact"/>
              <w:jc w:val="center"/>
              <w:rPr>
                <w:rFonts w:hint="eastAsia" w:ascii="楷体" w:hAnsi="楷体" w:eastAsia="楷体" w:cs="Times New Roman"/>
                <w:b/>
                <w:bCs/>
                <w:sz w:val="22"/>
                <w:szCs w:val="22"/>
              </w:rPr>
            </w:pPr>
            <w:r>
              <w:rPr>
                <w:rFonts w:hint="eastAsia" w:ascii="楷体" w:hAnsi="楷体" w:eastAsia="楷体" w:cs="Times New Roman"/>
                <w:b/>
                <w:bCs/>
                <w:sz w:val="22"/>
                <w:szCs w:val="22"/>
                <w:lang w:val="en-US" w:eastAsia="zh-CN"/>
              </w:rPr>
              <w:t>调整后</w:t>
            </w:r>
          </w:p>
        </w:tc>
        <w:tc>
          <w:tcPr>
            <w:tcW w:w="811" w:type="pct"/>
            <w:noWrap w:val="0"/>
            <w:vAlign w:val="center"/>
          </w:tcPr>
          <w:p>
            <w:pPr>
              <w:pStyle w:val="11"/>
              <w:spacing w:before="0" w:beforeAutospacing="0" w:after="0" w:afterAutospacing="0" w:line="400" w:lineRule="exact"/>
              <w:jc w:val="center"/>
              <w:rPr>
                <w:rFonts w:hint="eastAsia" w:ascii="楷体" w:hAnsi="楷体" w:eastAsia="楷体" w:cs="Times New Roman"/>
                <w:b/>
                <w:bCs/>
                <w:sz w:val="22"/>
                <w:szCs w:val="22"/>
              </w:rPr>
            </w:pPr>
            <w:r>
              <w:rPr>
                <w:rFonts w:hint="eastAsia" w:ascii="楷体" w:hAnsi="楷体" w:eastAsia="楷体" w:cs="Times New Roman"/>
                <w:b/>
                <w:bCs/>
                <w:sz w:val="22"/>
                <w:szCs w:val="22"/>
                <w:lang w:val="en-US" w:eastAsia="zh-CN"/>
              </w:rPr>
              <w:t>调整前</w:t>
            </w:r>
          </w:p>
        </w:tc>
        <w:tc>
          <w:tcPr>
            <w:tcW w:w="826" w:type="pct"/>
            <w:noWrap w:val="0"/>
            <w:vAlign w:val="center"/>
          </w:tcPr>
          <w:p>
            <w:pPr>
              <w:pStyle w:val="11"/>
              <w:spacing w:before="0" w:beforeAutospacing="0" w:after="0" w:afterAutospacing="0" w:line="400" w:lineRule="exact"/>
              <w:jc w:val="center"/>
              <w:rPr>
                <w:rFonts w:hint="eastAsia" w:ascii="楷体" w:hAnsi="楷体" w:eastAsia="楷体" w:cs="Times New Roman"/>
                <w:b/>
                <w:bCs/>
                <w:sz w:val="22"/>
                <w:szCs w:val="22"/>
              </w:rPr>
            </w:pPr>
            <w:r>
              <w:rPr>
                <w:rFonts w:hint="eastAsia" w:ascii="楷体" w:hAnsi="楷体" w:eastAsia="楷体" w:cs="Times New Roman"/>
                <w:b/>
                <w:bCs/>
                <w:sz w:val="22"/>
                <w:szCs w:val="22"/>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87"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rPr>
            </w:pPr>
            <w:r>
              <w:rPr>
                <w:rFonts w:hint="eastAsia" w:ascii="楷体" w:hAnsi="楷体" w:eastAsia="楷体" w:cs="Times New Roman"/>
                <w:sz w:val="21"/>
                <w:szCs w:val="21"/>
                <w:lang w:val="en-US" w:eastAsia="zh-CN"/>
              </w:rPr>
              <w:t>苏银理财</w:t>
            </w:r>
            <w:r>
              <w:rPr>
                <w:rFonts w:hint="eastAsia" w:ascii="楷体" w:hAnsi="楷体" w:eastAsia="楷体" w:cs="Times New Roman"/>
                <w:sz w:val="21"/>
                <w:szCs w:val="21"/>
              </w:rPr>
              <w:t>恒源日申半年持有1号A</w:t>
            </w:r>
          </w:p>
        </w:tc>
        <w:tc>
          <w:tcPr>
            <w:tcW w:w="77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rPr>
            </w:pPr>
            <w:r>
              <w:rPr>
                <w:rFonts w:ascii="楷体" w:hAnsi="楷体" w:eastAsia="楷体" w:cs="Times New Roman"/>
                <w:sz w:val="21"/>
                <w:szCs w:val="21"/>
              </w:rPr>
              <w:t>J181508SA82A</w:t>
            </w:r>
          </w:p>
        </w:tc>
        <w:tc>
          <w:tcPr>
            <w:tcW w:w="71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2.00%-3.60%</w:t>
            </w:r>
          </w:p>
        </w:tc>
        <w:tc>
          <w:tcPr>
            <w:tcW w:w="886" w:type="pct"/>
            <w:vMerge w:val="restart"/>
            <w:noWrap w:val="0"/>
            <w:vAlign w:val="center"/>
          </w:tcPr>
          <w:p>
            <w:pPr>
              <w:pStyle w:val="11"/>
              <w:spacing w:before="0" w:beforeAutospacing="0" w:after="0" w:afterAutospacing="0" w:line="400" w:lineRule="exact"/>
              <w:jc w:val="center"/>
              <w:rPr>
                <w:rFonts w:hint="eastAsia" w:ascii="楷体" w:hAnsi="楷体" w:eastAsia="楷体" w:cs="Times New Roman"/>
                <w:sz w:val="22"/>
                <w:szCs w:val="22"/>
                <w:lang w:val="en-US" w:eastAsia="zh-CN"/>
              </w:rPr>
            </w:pPr>
            <w:r>
              <w:rPr>
                <w:rFonts w:hint="eastAsia" w:ascii="楷体" w:hAnsi="楷体" w:eastAsia="楷体" w:cs="Times New Roman"/>
                <w:sz w:val="22"/>
                <w:szCs w:val="22"/>
                <w:lang w:val="en-US" w:eastAsia="zh-CN"/>
              </w:rPr>
              <w:t>中债-新综合财富(1年以下)指数收益率*60%+中国人民银行公布的半年定期存款利率*40%</w:t>
            </w:r>
          </w:p>
        </w:tc>
        <w:tc>
          <w:tcPr>
            <w:tcW w:w="811" w:type="pct"/>
            <w:vMerge w:val="restart"/>
            <w:noWrap w:val="0"/>
            <w:vAlign w:val="center"/>
          </w:tcPr>
          <w:p>
            <w:pPr>
              <w:pStyle w:val="11"/>
              <w:spacing w:before="0" w:beforeAutospacing="0" w:after="0" w:afterAutospacing="0" w:line="400" w:lineRule="exact"/>
              <w:jc w:val="center"/>
              <w:rPr>
                <w:rFonts w:hint="default" w:ascii="楷体" w:hAnsi="楷体" w:eastAsia="楷体" w:cs="Times New Roman"/>
                <w:kern w:val="0"/>
                <w:sz w:val="24"/>
                <w:szCs w:val="24"/>
                <w:lang w:val="en-US" w:eastAsia="zh-CN" w:bidi="ar-SA"/>
              </w:rPr>
            </w:pPr>
            <w:r>
              <w:rPr>
                <w:rFonts w:hint="eastAsia" w:ascii="楷体" w:hAnsi="楷体" w:eastAsia="楷体" w:cs="Times New Roman"/>
                <w:kern w:val="0"/>
                <w:sz w:val="22"/>
                <w:szCs w:val="22"/>
                <w:lang w:val="en-US" w:eastAsia="zh-CN" w:bidi="ar-SA"/>
              </w:rPr>
              <w:t>超过业绩比较基准上限的部分，管理人将按照超出部分的40%收取超额业绩报酬</w:t>
            </w:r>
          </w:p>
        </w:tc>
        <w:tc>
          <w:tcPr>
            <w:tcW w:w="826" w:type="pct"/>
            <w:vMerge w:val="restart"/>
            <w:noWrap w:val="0"/>
            <w:vAlign w:val="center"/>
          </w:tcPr>
          <w:p>
            <w:pPr>
              <w:pStyle w:val="11"/>
              <w:spacing w:before="0" w:beforeAutospacing="0" w:after="0" w:afterAutospacing="0" w:line="400" w:lineRule="exact"/>
              <w:jc w:val="center"/>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2"/>
                <w:szCs w:val="22"/>
                <w:lang w:val="en-US" w:eastAsia="zh-CN" w:bidi="ar-SA"/>
              </w:rPr>
              <w:t>超过年化3%的部分，管理人将按照超出部分的50%收取超额业绩报酬</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87"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rPr>
            </w:pPr>
            <w:r>
              <w:rPr>
                <w:rFonts w:hint="eastAsia" w:ascii="楷体" w:hAnsi="楷体" w:eastAsia="楷体" w:cs="Times New Roman"/>
                <w:sz w:val="21"/>
                <w:szCs w:val="21"/>
                <w:lang w:val="en-US" w:eastAsia="zh-CN"/>
              </w:rPr>
              <w:t>苏银理财</w:t>
            </w:r>
            <w:r>
              <w:rPr>
                <w:rFonts w:hint="eastAsia" w:ascii="楷体" w:hAnsi="楷体" w:eastAsia="楷体" w:cs="Times New Roman"/>
                <w:sz w:val="21"/>
                <w:szCs w:val="21"/>
              </w:rPr>
              <w:t>恒源日申半年持有1号B</w:t>
            </w:r>
          </w:p>
        </w:tc>
        <w:tc>
          <w:tcPr>
            <w:tcW w:w="77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rPr>
            </w:pPr>
            <w:r>
              <w:rPr>
                <w:rFonts w:hint="eastAsia" w:ascii="楷体" w:hAnsi="楷体" w:eastAsia="楷体" w:cs="Times New Roman"/>
                <w:sz w:val="21"/>
                <w:szCs w:val="21"/>
              </w:rPr>
              <w:t>J</w:t>
            </w:r>
            <w:r>
              <w:rPr>
                <w:rFonts w:ascii="楷体" w:hAnsi="楷体" w:eastAsia="楷体" w:cs="Times New Roman"/>
                <w:sz w:val="21"/>
                <w:szCs w:val="21"/>
              </w:rPr>
              <w:t>00943</w:t>
            </w:r>
          </w:p>
        </w:tc>
        <w:tc>
          <w:tcPr>
            <w:tcW w:w="71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2.05%-3.65%</w:t>
            </w:r>
          </w:p>
        </w:tc>
        <w:tc>
          <w:tcPr>
            <w:tcW w:w="88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811"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rPr>
            </w:pPr>
          </w:p>
        </w:tc>
        <w:tc>
          <w:tcPr>
            <w:tcW w:w="82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87"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rPr>
            </w:pPr>
            <w:r>
              <w:rPr>
                <w:rFonts w:hint="eastAsia" w:ascii="楷体" w:hAnsi="楷体" w:eastAsia="楷体" w:cs="Times New Roman"/>
                <w:sz w:val="21"/>
                <w:szCs w:val="21"/>
                <w:lang w:val="en-US" w:eastAsia="zh-CN"/>
              </w:rPr>
              <w:t>苏银理财</w:t>
            </w:r>
            <w:r>
              <w:rPr>
                <w:rFonts w:hint="eastAsia" w:ascii="楷体" w:hAnsi="楷体" w:eastAsia="楷体" w:cs="Times New Roman"/>
                <w:sz w:val="21"/>
                <w:szCs w:val="21"/>
              </w:rPr>
              <w:t>恒源日申半年持有1号</w:t>
            </w:r>
            <w:r>
              <w:rPr>
                <w:rFonts w:ascii="楷体" w:hAnsi="楷体" w:eastAsia="楷体" w:cs="Times New Roman"/>
                <w:sz w:val="21"/>
                <w:szCs w:val="21"/>
              </w:rPr>
              <w:t>C</w:t>
            </w:r>
          </w:p>
        </w:tc>
        <w:tc>
          <w:tcPr>
            <w:tcW w:w="77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rPr>
            </w:pPr>
            <w:r>
              <w:rPr>
                <w:rFonts w:ascii="楷体" w:hAnsi="楷体" w:eastAsia="楷体" w:cs="Times New Roman"/>
                <w:sz w:val="21"/>
                <w:szCs w:val="21"/>
              </w:rPr>
              <w:t>J02040</w:t>
            </w:r>
          </w:p>
        </w:tc>
        <w:tc>
          <w:tcPr>
            <w:tcW w:w="71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2.10%-3.70%</w:t>
            </w:r>
          </w:p>
        </w:tc>
        <w:tc>
          <w:tcPr>
            <w:tcW w:w="88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811"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rPr>
            </w:pPr>
          </w:p>
        </w:tc>
        <w:tc>
          <w:tcPr>
            <w:tcW w:w="82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87"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苏银理财</w:t>
            </w:r>
            <w:r>
              <w:rPr>
                <w:rFonts w:hint="eastAsia" w:ascii="楷体" w:hAnsi="楷体" w:eastAsia="楷体" w:cs="Times New Roman"/>
                <w:sz w:val="21"/>
                <w:szCs w:val="21"/>
              </w:rPr>
              <w:t>恒源日申半年持有1号</w:t>
            </w:r>
            <w:r>
              <w:rPr>
                <w:rFonts w:hint="eastAsia" w:ascii="楷体" w:hAnsi="楷体" w:eastAsia="楷体" w:cs="Times New Roman"/>
                <w:sz w:val="21"/>
                <w:szCs w:val="21"/>
                <w:lang w:val="en-US" w:eastAsia="zh-CN"/>
              </w:rPr>
              <w:t>D</w:t>
            </w:r>
          </w:p>
        </w:tc>
        <w:tc>
          <w:tcPr>
            <w:tcW w:w="773" w:type="pct"/>
            <w:noWrap w:val="0"/>
            <w:vAlign w:val="center"/>
          </w:tcPr>
          <w:p>
            <w:pPr>
              <w:pStyle w:val="11"/>
              <w:spacing w:before="0" w:beforeAutospacing="0" w:after="0" w:afterAutospacing="0" w:line="400" w:lineRule="exact"/>
              <w:jc w:val="center"/>
              <w:rPr>
                <w:rFonts w:hint="default" w:ascii="楷体" w:hAnsi="楷体" w:eastAsia="楷体" w:cs="Times New Roman"/>
                <w:sz w:val="21"/>
                <w:szCs w:val="21"/>
                <w:lang w:val="en-US" w:eastAsia="zh-CN"/>
              </w:rPr>
            </w:pPr>
            <w:r>
              <w:rPr>
                <w:rFonts w:hint="eastAsia" w:ascii="楷体" w:hAnsi="楷体" w:eastAsia="楷体" w:cs="Times New Roman"/>
                <w:sz w:val="21"/>
                <w:szCs w:val="21"/>
                <w:lang w:val="en-US" w:eastAsia="zh-CN"/>
              </w:rPr>
              <w:t>J02339</w:t>
            </w:r>
          </w:p>
        </w:tc>
        <w:tc>
          <w:tcPr>
            <w:tcW w:w="71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2.15%-3.75%</w:t>
            </w:r>
          </w:p>
        </w:tc>
        <w:tc>
          <w:tcPr>
            <w:tcW w:w="88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811" w:type="pct"/>
            <w:vMerge w:val="continue"/>
            <w:noWrap w:val="0"/>
            <w:vAlign w:val="center"/>
          </w:tcPr>
          <w:p>
            <w:pPr>
              <w:pStyle w:val="11"/>
              <w:spacing w:before="0" w:beforeAutospacing="0" w:after="0" w:afterAutospacing="0" w:line="400" w:lineRule="exact"/>
              <w:jc w:val="center"/>
              <w:rPr>
                <w:rFonts w:hint="default" w:ascii="楷体" w:hAnsi="楷体" w:eastAsia="楷体" w:cs="Times New Roman"/>
                <w:sz w:val="24"/>
                <w:szCs w:val="24"/>
              </w:rPr>
            </w:pPr>
          </w:p>
        </w:tc>
        <w:tc>
          <w:tcPr>
            <w:tcW w:w="826" w:type="pct"/>
            <w:vMerge w:val="continue"/>
            <w:noWrap w:val="0"/>
            <w:vAlign w:val="center"/>
          </w:tcPr>
          <w:p>
            <w:pPr>
              <w:pStyle w:val="11"/>
              <w:spacing w:before="0" w:beforeAutospacing="0" w:after="0" w:afterAutospacing="0" w:line="400" w:lineRule="exact"/>
              <w:jc w:val="center"/>
              <w:rPr>
                <w:rFonts w:hint="default" w:ascii="楷体" w:hAnsi="楷体" w:eastAsia="楷体"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87"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eastAsia="zh-CN"/>
              </w:rPr>
            </w:pPr>
            <w:r>
              <w:rPr>
                <w:rFonts w:hint="eastAsia" w:ascii="楷体" w:hAnsi="楷体" w:eastAsia="楷体" w:cs="Times New Roman"/>
                <w:sz w:val="21"/>
                <w:szCs w:val="21"/>
                <w:lang w:val="en-US" w:eastAsia="zh-CN"/>
              </w:rPr>
              <w:t>苏银理财</w:t>
            </w:r>
            <w:r>
              <w:rPr>
                <w:rFonts w:hint="eastAsia" w:ascii="楷体" w:hAnsi="楷体" w:eastAsia="楷体" w:cs="Times New Roman"/>
                <w:sz w:val="21"/>
                <w:szCs w:val="21"/>
              </w:rPr>
              <w:t>恒源日申半年持有1号</w:t>
            </w:r>
            <w:r>
              <w:rPr>
                <w:rFonts w:hint="eastAsia" w:ascii="楷体" w:hAnsi="楷体" w:eastAsia="楷体" w:cs="Times New Roman"/>
                <w:sz w:val="21"/>
                <w:szCs w:val="21"/>
                <w:lang w:val="en-US" w:eastAsia="zh-CN"/>
              </w:rPr>
              <w:t>E</w:t>
            </w:r>
          </w:p>
        </w:tc>
        <w:tc>
          <w:tcPr>
            <w:tcW w:w="77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rPr>
            </w:pPr>
            <w:r>
              <w:rPr>
                <w:rFonts w:hint="eastAsia" w:ascii="楷体" w:hAnsi="楷体" w:eastAsia="楷体" w:cs="Times New Roman"/>
                <w:sz w:val="21"/>
                <w:szCs w:val="21"/>
                <w:lang w:val="en-US" w:eastAsia="zh-CN"/>
              </w:rPr>
              <w:t>J02473</w:t>
            </w:r>
          </w:p>
        </w:tc>
        <w:tc>
          <w:tcPr>
            <w:tcW w:w="71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2.25%-3.85%</w:t>
            </w:r>
          </w:p>
        </w:tc>
        <w:tc>
          <w:tcPr>
            <w:tcW w:w="88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811"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rPr>
            </w:pPr>
          </w:p>
        </w:tc>
        <w:tc>
          <w:tcPr>
            <w:tcW w:w="82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87" w:type="pct"/>
            <w:noWrap w:val="0"/>
            <w:vAlign w:val="center"/>
          </w:tcPr>
          <w:p>
            <w:pPr>
              <w:pStyle w:val="11"/>
              <w:spacing w:before="0" w:beforeAutospacing="0" w:after="0" w:afterAutospacing="0" w:line="400" w:lineRule="exact"/>
              <w:jc w:val="center"/>
              <w:rPr>
                <w:rFonts w:hint="eastAsia" w:ascii="楷体" w:hAnsi="楷体" w:eastAsia="楷体" w:cs="Times New Roman"/>
                <w:kern w:val="0"/>
                <w:sz w:val="21"/>
                <w:szCs w:val="21"/>
                <w:lang w:val="en-US" w:eastAsia="zh-CN" w:bidi="ar-SA"/>
              </w:rPr>
            </w:pPr>
            <w:r>
              <w:rPr>
                <w:rFonts w:hint="eastAsia" w:ascii="楷体" w:hAnsi="楷体" w:eastAsia="楷体" w:cs="Times New Roman"/>
                <w:sz w:val="21"/>
                <w:szCs w:val="21"/>
                <w:lang w:val="en-US" w:eastAsia="zh-CN"/>
              </w:rPr>
              <w:t>苏银理财</w:t>
            </w:r>
            <w:r>
              <w:rPr>
                <w:rFonts w:hint="eastAsia" w:ascii="楷体" w:hAnsi="楷体" w:eastAsia="楷体" w:cs="Times New Roman"/>
                <w:sz w:val="21"/>
                <w:szCs w:val="21"/>
              </w:rPr>
              <w:t>恒源日申半年持有1号</w:t>
            </w:r>
            <w:r>
              <w:rPr>
                <w:rFonts w:ascii="楷体" w:hAnsi="楷体" w:eastAsia="楷体" w:cs="Times New Roman"/>
                <w:sz w:val="21"/>
                <w:szCs w:val="21"/>
              </w:rPr>
              <w:t>F</w:t>
            </w:r>
          </w:p>
        </w:tc>
        <w:tc>
          <w:tcPr>
            <w:tcW w:w="773" w:type="pct"/>
            <w:noWrap w:val="0"/>
            <w:vAlign w:val="center"/>
          </w:tcPr>
          <w:p>
            <w:pPr>
              <w:pStyle w:val="11"/>
              <w:spacing w:before="0" w:beforeAutospacing="0" w:after="0" w:afterAutospacing="0" w:line="400" w:lineRule="exact"/>
              <w:jc w:val="center"/>
              <w:rPr>
                <w:rFonts w:hint="eastAsia" w:ascii="楷体" w:hAnsi="楷体" w:eastAsia="楷体" w:cs="Times New Roman"/>
                <w:kern w:val="0"/>
                <w:sz w:val="21"/>
                <w:szCs w:val="21"/>
                <w:lang w:val="en-US" w:eastAsia="zh-CN" w:bidi="ar-SA"/>
              </w:rPr>
            </w:pPr>
            <w:r>
              <w:rPr>
                <w:rFonts w:ascii="楷体" w:hAnsi="楷体" w:eastAsia="楷体" w:cs="Times New Roman"/>
                <w:sz w:val="21"/>
                <w:szCs w:val="21"/>
              </w:rPr>
              <w:t>J02038</w:t>
            </w:r>
          </w:p>
        </w:tc>
        <w:tc>
          <w:tcPr>
            <w:tcW w:w="71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2.00%-3.60%</w:t>
            </w:r>
          </w:p>
        </w:tc>
        <w:tc>
          <w:tcPr>
            <w:tcW w:w="88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811" w:type="pct"/>
            <w:vMerge w:val="continue"/>
            <w:noWrap w:val="0"/>
            <w:vAlign w:val="center"/>
          </w:tcPr>
          <w:p>
            <w:pPr>
              <w:pStyle w:val="11"/>
              <w:spacing w:before="0" w:beforeAutospacing="0" w:after="0" w:afterAutospacing="0" w:line="400" w:lineRule="exact"/>
              <w:jc w:val="center"/>
              <w:rPr>
                <w:rFonts w:hint="default" w:ascii="楷体" w:hAnsi="楷体" w:eastAsia="楷体" w:cs="Times New Roman"/>
                <w:kern w:val="0"/>
                <w:sz w:val="24"/>
                <w:szCs w:val="24"/>
                <w:lang w:val="en-US" w:eastAsia="zh-CN" w:bidi="ar-SA"/>
              </w:rPr>
            </w:pPr>
          </w:p>
        </w:tc>
        <w:tc>
          <w:tcPr>
            <w:tcW w:w="82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87"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苏银理财</w:t>
            </w:r>
            <w:r>
              <w:rPr>
                <w:rFonts w:hint="eastAsia" w:ascii="楷体" w:hAnsi="楷体" w:eastAsia="楷体" w:cs="Times New Roman"/>
                <w:sz w:val="21"/>
                <w:szCs w:val="21"/>
              </w:rPr>
              <w:t>恒源日申半年持有1号</w:t>
            </w:r>
            <w:r>
              <w:rPr>
                <w:rFonts w:hint="eastAsia" w:ascii="楷体" w:hAnsi="楷体" w:eastAsia="楷体" w:cs="Times New Roman"/>
                <w:sz w:val="21"/>
                <w:szCs w:val="21"/>
                <w:lang w:val="en-US" w:eastAsia="zh-CN"/>
              </w:rPr>
              <w:t>Q</w:t>
            </w:r>
          </w:p>
        </w:tc>
        <w:tc>
          <w:tcPr>
            <w:tcW w:w="773" w:type="pct"/>
            <w:noWrap w:val="0"/>
            <w:vAlign w:val="center"/>
          </w:tcPr>
          <w:p>
            <w:pPr>
              <w:pStyle w:val="11"/>
              <w:spacing w:before="0" w:beforeAutospacing="0" w:after="0" w:afterAutospacing="0" w:line="400" w:lineRule="exact"/>
              <w:jc w:val="center"/>
              <w:rPr>
                <w:rFonts w:ascii="楷体" w:hAnsi="楷体" w:eastAsia="楷体" w:cs="Times New Roman"/>
                <w:sz w:val="21"/>
                <w:szCs w:val="21"/>
              </w:rPr>
            </w:pPr>
            <w:r>
              <w:rPr>
                <w:rFonts w:hint="eastAsia" w:ascii="楷体" w:hAnsi="楷体" w:eastAsia="楷体" w:cs="Times New Roman"/>
                <w:sz w:val="21"/>
                <w:szCs w:val="21"/>
                <w:lang w:val="en-US" w:eastAsia="zh-CN"/>
              </w:rPr>
              <w:t>J03054</w:t>
            </w:r>
          </w:p>
        </w:tc>
        <w:tc>
          <w:tcPr>
            <w:tcW w:w="71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2.15%-3.75%</w:t>
            </w:r>
          </w:p>
        </w:tc>
        <w:tc>
          <w:tcPr>
            <w:tcW w:w="88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811" w:type="pct"/>
            <w:vMerge w:val="continue"/>
            <w:noWrap w:val="0"/>
            <w:vAlign w:val="center"/>
          </w:tcPr>
          <w:p>
            <w:pPr>
              <w:pStyle w:val="11"/>
              <w:spacing w:before="0" w:beforeAutospacing="0" w:after="0" w:afterAutospacing="0" w:line="400" w:lineRule="exact"/>
              <w:jc w:val="center"/>
              <w:rPr>
                <w:rFonts w:hint="default" w:ascii="楷体" w:hAnsi="楷体" w:eastAsia="楷体" w:cs="Times New Roman"/>
                <w:sz w:val="24"/>
                <w:szCs w:val="24"/>
              </w:rPr>
            </w:pPr>
          </w:p>
        </w:tc>
        <w:tc>
          <w:tcPr>
            <w:tcW w:w="82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87"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苏银理财</w:t>
            </w:r>
            <w:r>
              <w:rPr>
                <w:rFonts w:hint="eastAsia" w:ascii="楷体" w:hAnsi="楷体" w:eastAsia="楷体" w:cs="Times New Roman"/>
                <w:sz w:val="21"/>
                <w:szCs w:val="21"/>
              </w:rPr>
              <w:t>恒源日申半年持有1号</w:t>
            </w:r>
            <w:r>
              <w:rPr>
                <w:rFonts w:hint="eastAsia" w:ascii="楷体" w:hAnsi="楷体" w:eastAsia="楷体" w:cs="Times New Roman"/>
                <w:sz w:val="21"/>
                <w:szCs w:val="21"/>
                <w:lang w:val="en-US" w:eastAsia="zh-CN"/>
              </w:rPr>
              <w:t>Z</w:t>
            </w:r>
          </w:p>
        </w:tc>
        <w:tc>
          <w:tcPr>
            <w:tcW w:w="773" w:type="pct"/>
            <w:noWrap w:val="0"/>
            <w:vAlign w:val="center"/>
          </w:tcPr>
          <w:p>
            <w:pPr>
              <w:keepNext w:val="0"/>
              <w:keepLines w:val="0"/>
              <w:widowControl/>
              <w:suppressLineNumbers w:val="0"/>
              <w:jc w:val="center"/>
              <w:textAlignment w:val="center"/>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J03406</w:t>
            </w:r>
          </w:p>
        </w:tc>
        <w:tc>
          <w:tcPr>
            <w:tcW w:w="71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2.15%-3.75%</w:t>
            </w:r>
          </w:p>
        </w:tc>
        <w:tc>
          <w:tcPr>
            <w:tcW w:w="88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811" w:type="pct"/>
            <w:vMerge w:val="continue"/>
            <w:noWrap w:val="0"/>
            <w:vAlign w:val="center"/>
          </w:tcPr>
          <w:p>
            <w:pPr>
              <w:pStyle w:val="11"/>
              <w:spacing w:before="0" w:beforeAutospacing="0" w:after="0" w:afterAutospacing="0" w:line="400" w:lineRule="exact"/>
              <w:jc w:val="center"/>
              <w:rPr>
                <w:rFonts w:hint="default" w:ascii="楷体" w:hAnsi="楷体" w:eastAsia="楷体" w:cs="Times New Roman"/>
                <w:sz w:val="24"/>
                <w:szCs w:val="24"/>
              </w:rPr>
            </w:pPr>
          </w:p>
        </w:tc>
        <w:tc>
          <w:tcPr>
            <w:tcW w:w="82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87" w:type="pct"/>
            <w:noWrap w:val="0"/>
            <w:vAlign w:val="center"/>
          </w:tcPr>
          <w:p>
            <w:pPr>
              <w:pStyle w:val="11"/>
              <w:spacing w:before="0" w:beforeAutospacing="0" w:after="0" w:afterAutospacing="0" w:line="400" w:lineRule="exact"/>
              <w:jc w:val="center"/>
              <w:rPr>
                <w:rFonts w:hint="default" w:ascii="楷体" w:hAnsi="楷体" w:eastAsia="楷体" w:cs="Times New Roman"/>
                <w:sz w:val="21"/>
                <w:szCs w:val="21"/>
                <w:lang w:val="en-US" w:eastAsia="zh-CN"/>
              </w:rPr>
            </w:pPr>
            <w:r>
              <w:rPr>
                <w:rFonts w:hint="eastAsia" w:ascii="楷体" w:hAnsi="楷体" w:eastAsia="楷体" w:cs="Times New Roman"/>
                <w:sz w:val="21"/>
                <w:szCs w:val="21"/>
                <w:lang w:val="en-US" w:eastAsia="zh-CN"/>
              </w:rPr>
              <w:t>苏银理财</w:t>
            </w:r>
            <w:r>
              <w:rPr>
                <w:rFonts w:hint="eastAsia" w:ascii="楷体" w:hAnsi="楷体" w:eastAsia="楷体" w:cs="Times New Roman"/>
                <w:sz w:val="21"/>
                <w:szCs w:val="21"/>
              </w:rPr>
              <w:t>恒源日申半年持有1号</w:t>
            </w:r>
            <w:r>
              <w:rPr>
                <w:rFonts w:hint="eastAsia" w:ascii="楷体" w:hAnsi="楷体" w:eastAsia="楷体" w:cs="Times New Roman"/>
                <w:sz w:val="21"/>
                <w:szCs w:val="21"/>
                <w:lang w:val="en-US" w:eastAsia="zh-CN"/>
              </w:rPr>
              <w:t>（代发专享）</w:t>
            </w:r>
          </w:p>
        </w:tc>
        <w:tc>
          <w:tcPr>
            <w:tcW w:w="773" w:type="pct"/>
            <w:noWrap w:val="0"/>
            <w:vAlign w:val="center"/>
          </w:tcPr>
          <w:p>
            <w:pPr>
              <w:keepNext w:val="0"/>
              <w:keepLines w:val="0"/>
              <w:widowControl/>
              <w:suppressLineNumbers w:val="0"/>
              <w:jc w:val="center"/>
              <w:textAlignment w:val="center"/>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J03427</w:t>
            </w:r>
          </w:p>
        </w:tc>
        <w:tc>
          <w:tcPr>
            <w:tcW w:w="71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2.05%-3.65%</w:t>
            </w:r>
          </w:p>
        </w:tc>
        <w:tc>
          <w:tcPr>
            <w:tcW w:w="88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811" w:type="pct"/>
            <w:vMerge w:val="continue"/>
            <w:noWrap w:val="0"/>
            <w:vAlign w:val="center"/>
          </w:tcPr>
          <w:p>
            <w:pPr>
              <w:pStyle w:val="11"/>
              <w:spacing w:before="0" w:beforeAutospacing="0" w:after="0" w:afterAutospacing="0" w:line="400" w:lineRule="exact"/>
              <w:jc w:val="center"/>
              <w:rPr>
                <w:rFonts w:hint="default" w:ascii="楷体" w:hAnsi="楷体" w:eastAsia="楷体" w:cs="Times New Roman"/>
                <w:sz w:val="24"/>
                <w:szCs w:val="24"/>
              </w:rPr>
            </w:pPr>
          </w:p>
        </w:tc>
        <w:tc>
          <w:tcPr>
            <w:tcW w:w="82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87"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苏银理财恒源日申半年持有1号G</w:t>
            </w:r>
          </w:p>
        </w:tc>
        <w:tc>
          <w:tcPr>
            <w:tcW w:w="77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J03640</w:t>
            </w:r>
          </w:p>
        </w:tc>
        <w:tc>
          <w:tcPr>
            <w:tcW w:w="71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2.10%-3.70%</w:t>
            </w:r>
          </w:p>
        </w:tc>
        <w:tc>
          <w:tcPr>
            <w:tcW w:w="88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811" w:type="pct"/>
            <w:vMerge w:val="continue"/>
            <w:noWrap w:val="0"/>
            <w:vAlign w:val="center"/>
          </w:tcPr>
          <w:p>
            <w:pPr>
              <w:pStyle w:val="11"/>
              <w:spacing w:before="0" w:beforeAutospacing="0" w:after="0" w:afterAutospacing="0" w:line="400" w:lineRule="exact"/>
              <w:jc w:val="center"/>
              <w:rPr>
                <w:rFonts w:hint="default" w:ascii="楷体" w:hAnsi="楷体" w:eastAsia="楷体" w:cs="Times New Roman"/>
                <w:sz w:val="24"/>
                <w:szCs w:val="24"/>
              </w:rPr>
            </w:pPr>
          </w:p>
        </w:tc>
        <w:tc>
          <w:tcPr>
            <w:tcW w:w="82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87"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bookmarkStart w:id="1" w:name="_GoBack" w:colFirst="0" w:colLast="0"/>
            <w:r>
              <w:rPr>
                <w:rFonts w:hint="eastAsia" w:ascii="楷体" w:hAnsi="楷体" w:eastAsia="楷体" w:cs="Times New Roman"/>
                <w:sz w:val="21"/>
                <w:szCs w:val="21"/>
                <w:lang w:val="en-US" w:eastAsia="zh-CN"/>
              </w:rPr>
              <w:t>苏银理财恒源日申半年持有1号H</w:t>
            </w:r>
          </w:p>
        </w:tc>
        <w:tc>
          <w:tcPr>
            <w:tcW w:w="77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J09901</w:t>
            </w:r>
          </w:p>
        </w:tc>
        <w:tc>
          <w:tcPr>
            <w:tcW w:w="71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2.00%-3.60%</w:t>
            </w:r>
          </w:p>
        </w:tc>
        <w:tc>
          <w:tcPr>
            <w:tcW w:w="88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811" w:type="pct"/>
            <w:vMerge w:val="continue"/>
            <w:noWrap w:val="0"/>
            <w:vAlign w:val="center"/>
          </w:tcPr>
          <w:p>
            <w:pPr>
              <w:pStyle w:val="11"/>
              <w:spacing w:before="0" w:beforeAutospacing="0" w:after="0" w:afterAutospacing="0" w:line="400" w:lineRule="exact"/>
              <w:jc w:val="center"/>
              <w:rPr>
                <w:rFonts w:hint="default" w:ascii="楷体" w:hAnsi="楷体" w:eastAsia="楷体" w:cs="Times New Roman"/>
                <w:sz w:val="24"/>
                <w:szCs w:val="24"/>
              </w:rPr>
            </w:pPr>
          </w:p>
        </w:tc>
        <w:tc>
          <w:tcPr>
            <w:tcW w:w="826"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r>
    </w:tbl>
    <w:p>
      <w:pPr>
        <w:pStyle w:val="11"/>
        <w:spacing w:before="312" w:beforeLines="100" w:beforeAutospacing="0" w:after="0" w:afterAutospacing="0" w:line="48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2025年11月28日及以后确认的份额适用调整后的业绩比较基准和超额业绩报酬；2025年11月28日前已确认的份额，适用确认时原有的业绩比较基准和超额业绩报酬。</w:t>
      </w:r>
    </w:p>
    <w:p>
      <w:pPr>
        <w:pStyle w:val="11"/>
        <w:spacing w:before="312" w:beforeLines="100" w:beforeAutospacing="0" w:after="0" w:afterAutospacing="0" w:line="48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投资者可通过原理财产品合同约定的信息披露渠道查询更新后的理财产品合同。</w:t>
      </w:r>
    </w:p>
    <w:p>
      <w:pPr>
        <w:pStyle w:val="11"/>
        <w:spacing w:before="312" w:beforeLines="10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特此公告。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ascii="楷体" w:hAnsi="楷体" w:eastAsia="楷体"/>
          <w:kern w:val="0"/>
          <w:sz w:val="28"/>
          <w:szCs w:val="28"/>
        </w:rPr>
      </w:pPr>
      <w:r>
        <w:rPr>
          <w:rFonts w:hint="eastAsia" w:ascii="楷体" w:hAnsi="楷体" w:eastAsia="楷体" w:cs="Times New Roman"/>
          <w:sz w:val="28"/>
          <w:szCs w:val="28"/>
        </w:rPr>
        <w:t>202</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11</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26</w:t>
      </w:r>
      <w:r>
        <w:rPr>
          <w:rFonts w:hint="eastAsia" w:ascii="楷体" w:hAnsi="楷体" w:eastAsia="楷体"/>
          <w:kern w:val="0"/>
          <w:sz w:val="28"/>
          <w:szCs w:val="28"/>
        </w:rPr>
        <w:t>日</w:t>
      </w:r>
    </w:p>
    <w:p>
      <w:pPr>
        <w:spacing w:line="520" w:lineRule="exact"/>
        <w:jc w:val="right"/>
        <w:rPr>
          <w:rFonts w:hint="eastAsia" w:ascii="楷体" w:hAnsi="楷体" w:eastAsia="楷体"/>
          <w:kern w:val="0"/>
          <w:sz w:val="24"/>
          <w:szCs w:val="24"/>
        </w:rPr>
      </w:pPr>
    </w:p>
    <w:p>
      <w:pPr>
        <w:spacing w:line="520" w:lineRule="exac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3BA8"/>
    <w:rsid w:val="000247F9"/>
    <w:rsid w:val="00024C7F"/>
    <w:rsid w:val="000263ED"/>
    <w:rsid w:val="00027E61"/>
    <w:rsid w:val="00027F48"/>
    <w:rsid w:val="0003072E"/>
    <w:rsid w:val="00030D69"/>
    <w:rsid w:val="00031806"/>
    <w:rsid w:val="00031F80"/>
    <w:rsid w:val="00034890"/>
    <w:rsid w:val="000375C2"/>
    <w:rsid w:val="000405B1"/>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36A9"/>
    <w:rsid w:val="00093C11"/>
    <w:rsid w:val="00094631"/>
    <w:rsid w:val="00096382"/>
    <w:rsid w:val="0009795C"/>
    <w:rsid w:val="00097F80"/>
    <w:rsid w:val="000A2D2D"/>
    <w:rsid w:val="000A2E68"/>
    <w:rsid w:val="000A360D"/>
    <w:rsid w:val="000A45AB"/>
    <w:rsid w:val="000B0078"/>
    <w:rsid w:val="000B0690"/>
    <w:rsid w:val="000B153F"/>
    <w:rsid w:val="000B382A"/>
    <w:rsid w:val="000B3B58"/>
    <w:rsid w:val="000B3EFD"/>
    <w:rsid w:val="000B659B"/>
    <w:rsid w:val="000B6E9F"/>
    <w:rsid w:val="000B7D78"/>
    <w:rsid w:val="000C3DB1"/>
    <w:rsid w:val="000C54ED"/>
    <w:rsid w:val="000C5C02"/>
    <w:rsid w:val="000C6143"/>
    <w:rsid w:val="000C7382"/>
    <w:rsid w:val="000D2F69"/>
    <w:rsid w:val="000D35BD"/>
    <w:rsid w:val="000D71CF"/>
    <w:rsid w:val="000D7225"/>
    <w:rsid w:val="000D722C"/>
    <w:rsid w:val="000E0485"/>
    <w:rsid w:val="000E1951"/>
    <w:rsid w:val="000E2E7D"/>
    <w:rsid w:val="000E34F3"/>
    <w:rsid w:val="000E4205"/>
    <w:rsid w:val="000E478C"/>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B8C"/>
    <w:rsid w:val="0012647A"/>
    <w:rsid w:val="001303B2"/>
    <w:rsid w:val="00130EED"/>
    <w:rsid w:val="00130F7B"/>
    <w:rsid w:val="00131F1B"/>
    <w:rsid w:val="0013364F"/>
    <w:rsid w:val="00133AAF"/>
    <w:rsid w:val="00133B98"/>
    <w:rsid w:val="0013472F"/>
    <w:rsid w:val="00134733"/>
    <w:rsid w:val="001359ED"/>
    <w:rsid w:val="00140B25"/>
    <w:rsid w:val="00141D2B"/>
    <w:rsid w:val="001450DF"/>
    <w:rsid w:val="0014734D"/>
    <w:rsid w:val="00151CC7"/>
    <w:rsid w:val="00152B36"/>
    <w:rsid w:val="00153081"/>
    <w:rsid w:val="001530B2"/>
    <w:rsid w:val="001543E7"/>
    <w:rsid w:val="00155B77"/>
    <w:rsid w:val="00160569"/>
    <w:rsid w:val="00161E2F"/>
    <w:rsid w:val="001624A3"/>
    <w:rsid w:val="001624DA"/>
    <w:rsid w:val="00162BF5"/>
    <w:rsid w:val="00165E23"/>
    <w:rsid w:val="0016609C"/>
    <w:rsid w:val="00166B3A"/>
    <w:rsid w:val="00170099"/>
    <w:rsid w:val="00170194"/>
    <w:rsid w:val="00170927"/>
    <w:rsid w:val="0017092A"/>
    <w:rsid w:val="00170A6E"/>
    <w:rsid w:val="00172B90"/>
    <w:rsid w:val="00173409"/>
    <w:rsid w:val="00173A2B"/>
    <w:rsid w:val="00173CE1"/>
    <w:rsid w:val="00174417"/>
    <w:rsid w:val="001749CF"/>
    <w:rsid w:val="00176B8E"/>
    <w:rsid w:val="001770F3"/>
    <w:rsid w:val="00177BCC"/>
    <w:rsid w:val="0018251A"/>
    <w:rsid w:val="001846FB"/>
    <w:rsid w:val="00194E69"/>
    <w:rsid w:val="00195FF0"/>
    <w:rsid w:val="00197DD9"/>
    <w:rsid w:val="001A05F5"/>
    <w:rsid w:val="001A1C12"/>
    <w:rsid w:val="001A57DB"/>
    <w:rsid w:val="001A586B"/>
    <w:rsid w:val="001A73F1"/>
    <w:rsid w:val="001B1D26"/>
    <w:rsid w:val="001B1E1E"/>
    <w:rsid w:val="001B238B"/>
    <w:rsid w:val="001B2F76"/>
    <w:rsid w:val="001B2F82"/>
    <w:rsid w:val="001B396B"/>
    <w:rsid w:val="001B4B9C"/>
    <w:rsid w:val="001B72EB"/>
    <w:rsid w:val="001B7D0D"/>
    <w:rsid w:val="001C13E9"/>
    <w:rsid w:val="001C4148"/>
    <w:rsid w:val="001C78FF"/>
    <w:rsid w:val="001D0B29"/>
    <w:rsid w:val="001D1C27"/>
    <w:rsid w:val="001D2A8B"/>
    <w:rsid w:val="001D3246"/>
    <w:rsid w:val="001D48EE"/>
    <w:rsid w:val="001D49AC"/>
    <w:rsid w:val="001D4BC9"/>
    <w:rsid w:val="001D4FE1"/>
    <w:rsid w:val="001D5204"/>
    <w:rsid w:val="001D78FF"/>
    <w:rsid w:val="001E0062"/>
    <w:rsid w:val="001E0387"/>
    <w:rsid w:val="001E20D9"/>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D7D4D"/>
    <w:rsid w:val="002E1382"/>
    <w:rsid w:val="002E606F"/>
    <w:rsid w:val="002E6F55"/>
    <w:rsid w:val="002F0E4E"/>
    <w:rsid w:val="002F24A1"/>
    <w:rsid w:val="002F344B"/>
    <w:rsid w:val="002F41A5"/>
    <w:rsid w:val="002F709A"/>
    <w:rsid w:val="002F77A8"/>
    <w:rsid w:val="00301619"/>
    <w:rsid w:val="00301AD3"/>
    <w:rsid w:val="00301E80"/>
    <w:rsid w:val="00302755"/>
    <w:rsid w:val="00303147"/>
    <w:rsid w:val="00304D18"/>
    <w:rsid w:val="00305A15"/>
    <w:rsid w:val="00305FEE"/>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0DB3"/>
    <w:rsid w:val="0033166C"/>
    <w:rsid w:val="0033358A"/>
    <w:rsid w:val="00333937"/>
    <w:rsid w:val="003342B8"/>
    <w:rsid w:val="0033504B"/>
    <w:rsid w:val="003362C7"/>
    <w:rsid w:val="00336A5A"/>
    <w:rsid w:val="00337AA0"/>
    <w:rsid w:val="00342ADB"/>
    <w:rsid w:val="00343B0F"/>
    <w:rsid w:val="00347006"/>
    <w:rsid w:val="00347D0D"/>
    <w:rsid w:val="003503AE"/>
    <w:rsid w:val="00351898"/>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17C3"/>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93452"/>
    <w:rsid w:val="00393DA7"/>
    <w:rsid w:val="00394C2C"/>
    <w:rsid w:val="00395441"/>
    <w:rsid w:val="00396F85"/>
    <w:rsid w:val="0039723A"/>
    <w:rsid w:val="003A01D0"/>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CBC"/>
    <w:rsid w:val="00427CC0"/>
    <w:rsid w:val="0043002F"/>
    <w:rsid w:val="004303B3"/>
    <w:rsid w:val="00430927"/>
    <w:rsid w:val="0043308A"/>
    <w:rsid w:val="00433113"/>
    <w:rsid w:val="00434262"/>
    <w:rsid w:val="0043673C"/>
    <w:rsid w:val="00436801"/>
    <w:rsid w:val="00437DA0"/>
    <w:rsid w:val="004412CE"/>
    <w:rsid w:val="00442603"/>
    <w:rsid w:val="00444898"/>
    <w:rsid w:val="00445E88"/>
    <w:rsid w:val="004509F6"/>
    <w:rsid w:val="00453254"/>
    <w:rsid w:val="0045366F"/>
    <w:rsid w:val="00453F4D"/>
    <w:rsid w:val="00455D49"/>
    <w:rsid w:val="00455DF1"/>
    <w:rsid w:val="00456A0F"/>
    <w:rsid w:val="00456C53"/>
    <w:rsid w:val="00460F22"/>
    <w:rsid w:val="0046446A"/>
    <w:rsid w:val="004645D0"/>
    <w:rsid w:val="00464A97"/>
    <w:rsid w:val="00464FA6"/>
    <w:rsid w:val="004651E5"/>
    <w:rsid w:val="00467169"/>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9D1"/>
    <w:rsid w:val="004939CA"/>
    <w:rsid w:val="00497D5C"/>
    <w:rsid w:val="004A243A"/>
    <w:rsid w:val="004A2756"/>
    <w:rsid w:val="004A2EDB"/>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1B1"/>
    <w:rsid w:val="004D73A7"/>
    <w:rsid w:val="004D7BA3"/>
    <w:rsid w:val="004E3C6A"/>
    <w:rsid w:val="004E46B0"/>
    <w:rsid w:val="004E645B"/>
    <w:rsid w:val="004F3AC9"/>
    <w:rsid w:val="004F3E60"/>
    <w:rsid w:val="004F40EF"/>
    <w:rsid w:val="004F46F0"/>
    <w:rsid w:val="004F4F78"/>
    <w:rsid w:val="004F55EC"/>
    <w:rsid w:val="005013A2"/>
    <w:rsid w:val="0050386F"/>
    <w:rsid w:val="005041D5"/>
    <w:rsid w:val="005071D2"/>
    <w:rsid w:val="00510526"/>
    <w:rsid w:val="00510823"/>
    <w:rsid w:val="0051208D"/>
    <w:rsid w:val="00515789"/>
    <w:rsid w:val="00516DA1"/>
    <w:rsid w:val="005201F1"/>
    <w:rsid w:val="00520ACC"/>
    <w:rsid w:val="00520B0B"/>
    <w:rsid w:val="005212D4"/>
    <w:rsid w:val="00522AA1"/>
    <w:rsid w:val="0052415B"/>
    <w:rsid w:val="005243E8"/>
    <w:rsid w:val="005266CB"/>
    <w:rsid w:val="00527FBD"/>
    <w:rsid w:val="0053069A"/>
    <w:rsid w:val="005308B0"/>
    <w:rsid w:val="0053444E"/>
    <w:rsid w:val="00534A35"/>
    <w:rsid w:val="00534ABB"/>
    <w:rsid w:val="0053510C"/>
    <w:rsid w:val="005362B4"/>
    <w:rsid w:val="0053633A"/>
    <w:rsid w:val="00536E3A"/>
    <w:rsid w:val="005400DC"/>
    <w:rsid w:val="00542CCA"/>
    <w:rsid w:val="0054309D"/>
    <w:rsid w:val="005436F3"/>
    <w:rsid w:val="00544451"/>
    <w:rsid w:val="005449D5"/>
    <w:rsid w:val="00544A6C"/>
    <w:rsid w:val="00551427"/>
    <w:rsid w:val="00551C0A"/>
    <w:rsid w:val="00551D45"/>
    <w:rsid w:val="005533EE"/>
    <w:rsid w:val="00554430"/>
    <w:rsid w:val="005554DE"/>
    <w:rsid w:val="00555858"/>
    <w:rsid w:val="00560551"/>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863AA"/>
    <w:rsid w:val="00590CD8"/>
    <w:rsid w:val="00593310"/>
    <w:rsid w:val="0059593D"/>
    <w:rsid w:val="00595C4D"/>
    <w:rsid w:val="00597498"/>
    <w:rsid w:val="0059767A"/>
    <w:rsid w:val="005A0462"/>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B792C"/>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647B"/>
    <w:rsid w:val="00627B69"/>
    <w:rsid w:val="00633754"/>
    <w:rsid w:val="00635E85"/>
    <w:rsid w:val="006371FF"/>
    <w:rsid w:val="006436A7"/>
    <w:rsid w:val="00643DD9"/>
    <w:rsid w:val="00644A75"/>
    <w:rsid w:val="006472A0"/>
    <w:rsid w:val="0064770E"/>
    <w:rsid w:val="00651512"/>
    <w:rsid w:val="00654956"/>
    <w:rsid w:val="00654DE7"/>
    <w:rsid w:val="0065533C"/>
    <w:rsid w:val="00656A9D"/>
    <w:rsid w:val="00656F5E"/>
    <w:rsid w:val="00662CBC"/>
    <w:rsid w:val="0066783E"/>
    <w:rsid w:val="006700A9"/>
    <w:rsid w:val="0067038D"/>
    <w:rsid w:val="00670675"/>
    <w:rsid w:val="00671A6A"/>
    <w:rsid w:val="00673F0C"/>
    <w:rsid w:val="00676A38"/>
    <w:rsid w:val="00680098"/>
    <w:rsid w:val="00680957"/>
    <w:rsid w:val="00682CFC"/>
    <w:rsid w:val="00683B13"/>
    <w:rsid w:val="00686216"/>
    <w:rsid w:val="00686325"/>
    <w:rsid w:val="00686EC4"/>
    <w:rsid w:val="00687063"/>
    <w:rsid w:val="00691425"/>
    <w:rsid w:val="00693207"/>
    <w:rsid w:val="00695E17"/>
    <w:rsid w:val="00696763"/>
    <w:rsid w:val="00696D1D"/>
    <w:rsid w:val="0069734A"/>
    <w:rsid w:val="006A139A"/>
    <w:rsid w:val="006A1939"/>
    <w:rsid w:val="006A303A"/>
    <w:rsid w:val="006A3E8F"/>
    <w:rsid w:val="006A4427"/>
    <w:rsid w:val="006A45A4"/>
    <w:rsid w:val="006A45AE"/>
    <w:rsid w:val="006A5C3E"/>
    <w:rsid w:val="006B0367"/>
    <w:rsid w:val="006B147C"/>
    <w:rsid w:val="006B1E00"/>
    <w:rsid w:val="006B202A"/>
    <w:rsid w:val="006B3A3C"/>
    <w:rsid w:val="006B4802"/>
    <w:rsid w:val="006B4CE2"/>
    <w:rsid w:val="006B5097"/>
    <w:rsid w:val="006B5516"/>
    <w:rsid w:val="006B5D36"/>
    <w:rsid w:val="006B5E7D"/>
    <w:rsid w:val="006B6377"/>
    <w:rsid w:val="006B7A09"/>
    <w:rsid w:val="006C42CE"/>
    <w:rsid w:val="006C51DA"/>
    <w:rsid w:val="006C5486"/>
    <w:rsid w:val="006C592D"/>
    <w:rsid w:val="006C5D93"/>
    <w:rsid w:val="006C74B3"/>
    <w:rsid w:val="006D209C"/>
    <w:rsid w:val="006D3791"/>
    <w:rsid w:val="006D465F"/>
    <w:rsid w:val="006D46A6"/>
    <w:rsid w:val="006D4B56"/>
    <w:rsid w:val="006D7209"/>
    <w:rsid w:val="006E02E0"/>
    <w:rsid w:val="006E11C9"/>
    <w:rsid w:val="006E31AE"/>
    <w:rsid w:val="006E4984"/>
    <w:rsid w:val="006E5DEE"/>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7CE"/>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5F80"/>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15F"/>
    <w:rsid w:val="007D4C02"/>
    <w:rsid w:val="007D5920"/>
    <w:rsid w:val="007D6496"/>
    <w:rsid w:val="007D6731"/>
    <w:rsid w:val="007D6837"/>
    <w:rsid w:val="007D7001"/>
    <w:rsid w:val="007D782F"/>
    <w:rsid w:val="007D7E87"/>
    <w:rsid w:val="007E1666"/>
    <w:rsid w:val="007E1ECC"/>
    <w:rsid w:val="007E2A09"/>
    <w:rsid w:val="007E40DD"/>
    <w:rsid w:val="007E49F3"/>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FBA"/>
    <w:rsid w:val="00806655"/>
    <w:rsid w:val="00806B2A"/>
    <w:rsid w:val="008071EA"/>
    <w:rsid w:val="00810DA4"/>
    <w:rsid w:val="008119FA"/>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A8D"/>
    <w:rsid w:val="008362EF"/>
    <w:rsid w:val="008367C0"/>
    <w:rsid w:val="00840F68"/>
    <w:rsid w:val="00843EBB"/>
    <w:rsid w:val="008443EB"/>
    <w:rsid w:val="00844E1C"/>
    <w:rsid w:val="00847A9C"/>
    <w:rsid w:val="00855674"/>
    <w:rsid w:val="0086291A"/>
    <w:rsid w:val="00862D4F"/>
    <w:rsid w:val="00871456"/>
    <w:rsid w:val="00871856"/>
    <w:rsid w:val="00872ABA"/>
    <w:rsid w:val="00872FCE"/>
    <w:rsid w:val="00874EBD"/>
    <w:rsid w:val="008761FC"/>
    <w:rsid w:val="00876986"/>
    <w:rsid w:val="00877D2F"/>
    <w:rsid w:val="008800C1"/>
    <w:rsid w:val="00881137"/>
    <w:rsid w:val="00882933"/>
    <w:rsid w:val="00883A75"/>
    <w:rsid w:val="00883F98"/>
    <w:rsid w:val="00884396"/>
    <w:rsid w:val="008843FC"/>
    <w:rsid w:val="008862BD"/>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0471"/>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4FB7"/>
    <w:rsid w:val="008E55EA"/>
    <w:rsid w:val="008E5926"/>
    <w:rsid w:val="008E75C5"/>
    <w:rsid w:val="008E7887"/>
    <w:rsid w:val="008E7E6E"/>
    <w:rsid w:val="008F1194"/>
    <w:rsid w:val="008F1884"/>
    <w:rsid w:val="008F237A"/>
    <w:rsid w:val="008F2796"/>
    <w:rsid w:val="008F34D3"/>
    <w:rsid w:val="008F5C59"/>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5CA2"/>
    <w:rsid w:val="00937EC6"/>
    <w:rsid w:val="00937ED6"/>
    <w:rsid w:val="009406E7"/>
    <w:rsid w:val="00940B04"/>
    <w:rsid w:val="00944AB3"/>
    <w:rsid w:val="009465F6"/>
    <w:rsid w:val="009469A2"/>
    <w:rsid w:val="00950141"/>
    <w:rsid w:val="00950FC7"/>
    <w:rsid w:val="00951D07"/>
    <w:rsid w:val="00953FB3"/>
    <w:rsid w:val="0095455D"/>
    <w:rsid w:val="0095482D"/>
    <w:rsid w:val="009563AA"/>
    <w:rsid w:val="009623A4"/>
    <w:rsid w:val="00963229"/>
    <w:rsid w:val="0096515A"/>
    <w:rsid w:val="00965A0C"/>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39A0"/>
    <w:rsid w:val="009B45E7"/>
    <w:rsid w:val="009B473F"/>
    <w:rsid w:val="009B493A"/>
    <w:rsid w:val="009B4DE3"/>
    <w:rsid w:val="009B563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18D3"/>
    <w:rsid w:val="009E2925"/>
    <w:rsid w:val="009E409E"/>
    <w:rsid w:val="009E63C4"/>
    <w:rsid w:val="009E7131"/>
    <w:rsid w:val="009F0065"/>
    <w:rsid w:val="009F0651"/>
    <w:rsid w:val="009F0908"/>
    <w:rsid w:val="009F1BCB"/>
    <w:rsid w:val="009F229C"/>
    <w:rsid w:val="009F2488"/>
    <w:rsid w:val="009F3650"/>
    <w:rsid w:val="009F6E81"/>
    <w:rsid w:val="009F7321"/>
    <w:rsid w:val="00A00194"/>
    <w:rsid w:val="00A001C6"/>
    <w:rsid w:val="00A00244"/>
    <w:rsid w:val="00A02BF2"/>
    <w:rsid w:val="00A031F9"/>
    <w:rsid w:val="00A05A0B"/>
    <w:rsid w:val="00A05E0C"/>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1E23"/>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137D"/>
    <w:rsid w:val="00A84413"/>
    <w:rsid w:val="00A85069"/>
    <w:rsid w:val="00A851D3"/>
    <w:rsid w:val="00A85C99"/>
    <w:rsid w:val="00A86059"/>
    <w:rsid w:val="00A8682A"/>
    <w:rsid w:val="00A877EA"/>
    <w:rsid w:val="00A90434"/>
    <w:rsid w:val="00A90848"/>
    <w:rsid w:val="00A90D5D"/>
    <w:rsid w:val="00A919A8"/>
    <w:rsid w:val="00A926B3"/>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414"/>
    <w:rsid w:val="00AC71B2"/>
    <w:rsid w:val="00AD2F15"/>
    <w:rsid w:val="00AD34FD"/>
    <w:rsid w:val="00AD4224"/>
    <w:rsid w:val="00AD4E75"/>
    <w:rsid w:val="00AD6DC7"/>
    <w:rsid w:val="00AD74C8"/>
    <w:rsid w:val="00AE3181"/>
    <w:rsid w:val="00AE357C"/>
    <w:rsid w:val="00AE6795"/>
    <w:rsid w:val="00AE6ED6"/>
    <w:rsid w:val="00AE7EDF"/>
    <w:rsid w:val="00AF07F9"/>
    <w:rsid w:val="00AF165B"/>
    <w:rsid w:val="00AF16C9"/>
    <w:rsid w:val="00AF3257"/>
    <w:rsid w:val="00AF4186"/>
    <w:rsid w:val="00B01969"/>
    <w:rsid w:val="00B04BED"/>
    <w:rsid w:val="00B06EDD"/>
    <w:rsid w:val="00B075D7"/>
    <w:rsid w:val="00B10470"/>
    <w:rsid w:val="00B10AEC"/>
    <w:rsid w:val="00B12515"/>
    <w:rsid w:val="00B1367C"/>
    <w:rsid w:val="00B16963"/>
    <w:rsid w:val="00B2044E"/>
    <w:rsid w:val="00B20ED9"/>
    <w:rsid w:val="00B234B3"/>
    <w:rsid w:val="00B24FA2"/>
    <w:rsid w:val="00B27D31"/>
    <w:rsid w:val="00B30BB7"/>
    <w:rsid w:val="00B3130A"/>
    <w:rsid w:val="00B320FF"/>
    <w:rsid w:val="00B32B9E"/>
    <w:rsid w:val="00B32FB1"/>
    <w:rsid w:val="00B35AFE"/>
    <w:rsid w:val="00B3661E"/>
    <w:rsid w:val="00B40329"/>
    <w:rsid w:val="00B40B8D"/>
    <w:rsid w:val="00B4103B"/>
    <w:rsid w:val="00B432A2"/>
    <w:rsid w:val="00B45440"/>
    <w:rsid w:val="00B53BE1"/>
    <w:rsid w:val="00B5466A"/>
    <w:rsid w:val="00B546E5"/>
    <w:rsid w:val="00B54E07"/>
    <w:rsid w:val="00B565C8"/>
    <w:rsid w:val="00B56E68"/>
    <w:rsid w:val="00B575ED"/>
    <w:rsid w:val="00B57F78"/>
    <w:rsid w:val="00B62F9E"/>
    <w:rsid w:val="00B6326B"/>
    <w:rsid w:val="00B66F7A"/>
    <w:rsid w:val="00B67ED0"/>
    <w:rsid w:val="00B70E53"/>
    <w:rsid w:val="00B71451"/>
    <w:rsid w:val="00B74278"/>
    <w:rsid w:val="00B74705"/>
    <w:rsid w:val="00B74730"/>
    <w:rsid w:val="00B75149"/>
    <w:rsid w:val="00B80089"/>
    <w:rsid w:val="00B803D6"/>
    <w:rsid w:val="00B83257"/>
    <w:rsid w:val="00B85502"/>
    <w:rsid w:val="00B903E3"/>
    <w:rsid w:val="00B911C2"/>
    <w:rsid w:val="00B91DF8"/>
    <w:rsid w:val="00B93396"/>
    <w:rsid w:val="00B95300"/>
    <w:rsid w:val="00B9543E"/>
    <w:rsid w:val="00B9594C"/>
    <w:rsid w:val="00B96A97"/>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3345"/>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179D3"/>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87300"/>
    <w:rsid w:val="00C9070B"/>
    <w:rsid w:val="00C94791"/>
    <w:rsid w:val="00C96465"/>
    <w:rsid w:val="00C96D0A"/>
    <w:rsid w:val="00CA001B"/>
    <w:rsid w:val="00CA01AD"/>
    <w:rsid w:val="00CA0AA6"/>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3521"/>
    <w:rsid w:val="00CE3BC2"/>
    <w:rsid w:val="00CE5723"/>
    <w:rsid w:val="00CE6ED8"/>
    <w:rsid w:val="00CE74C3"/>
    <w:rsid w:val="00CF1168"/>
    <w:rsid w:val="00CF1C88"/>
    <w:rsid w:val="00CF3FC7"/>
    <w:rsid w:val="00CF4203"/>
    <w:rsid w:val="00CF4841"/>
    <w:rsid w:val="00CF5493"/>
    <w:rsid w:val="00CF67D8"/>
    <w:rsid w:val="00CF694E"/>
    <w:rsid w:val="00CF6BF4"/>
    <w:rsid w:val="00CF7DE9"/>
    <w:rsid w:val="00D01398"/>
    <w:rsid w:val="00D0189D"/>
    <w:rsid w:val="00D039B6"/>
    <w:rsid w:val="00D04528"/>
    <w:rsid w:val="00D050BA"/>
    <w:rsid w:val="00D05E32"/>
    <w:rsid w:val="00D06FC6"/>
    <w:rsid w:val="00D106A3"/>
    <w:rsid w:val="00D11CE7"/>
    <w:rsid w:val="00D12281"/>
    <w:rsid w:val="00D14D03"/>
    <w:rsid w:val="00D174F0"/>
    <w:rsid w:val="00D17707"/>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2158"/>
    <w:rsid w:val="00D740F4"/>
    <w:rsid w:val="00D74106"/>
    <w:rsid w:val="00D802FD"/>
    <w:rsid w:val="00D8162D"/>
    <w:rsid w:val="00D869C5"/>
    <w:rsid w:val="00D932E1"/>
    <w:rsid w:val="00D937A6"/>
    <w:rsid w:val="00D94A5A"/>
    <w:rsid w:val="00D95166"/>
    <w:rsid w:val="00D9678E"/>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AC7"/>
    <w:rsid w:val="00DC0DBE"/>
    <w:rsid w:val="00DC429D"/>
    <w:rsid w:val="00DC553A"/>
    <w:rsid w:val="00DC6E17"/>
    <w:rsid w:val="00DC6F8F"/>
    <w:rsid w:val="00DC7BF3"/>
    <w:rsid w:val="00DD26B7"/>
    <w:rsid w:val="00DD35D4"/>
    <w:rsid w:val="00DD4DCA"/>
    <w:rsid w:val="00DD5181"/>
    <w:rsid w:val="00DD5CCB"/>
    <w:rsid w:val="00DD6003"/>
    <w:rsid w:val="00DD7B1D"/>
    <w:rsid w:val="00DE1A4C"/>
    <w:rsid w:val="00DE285A"/>
    <w:rsid w:val="00DE2F3F"/>
    <w:rsid w:val="00DE4AFA"/>
    <w:rsid w:val="00DE5417"/>
    <w:rsid w:val="00DE5630"/>
    <w:rsid w:val="00DE7227"/>
    <w:rsid w:val="00DE76FC"/>
    <w:rsid w:val="00DF3789"/>
    <w:rsid w:val="00DF3F22"/>
    <w:rsid w:val="00DF4241"/>
    <w:rsid w:val="00DF45B4"/>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6CE9"/>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6D3A"/>
    <w:rsid w:val="00EC744B"/>
    <w:rsid w:val="00EC778D"/>
    <w:rsid w:val="00EC7B5A"/>
    <w:rsid w:val="00ED0894"/>
    <w:rsid w:val="00ED1573"/>
    <w:rsid w:val="00ED1966"/>
    <w:rsid w:val="00ED419B"/>
    <w:rsid w:val="00ED467F"/>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CC9"/>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4D51"/>
    <w:rsid w:val="00F87451"/>
    <w:rsid w:val="00F906AB"/>
    <w:rsid w:val="00F91766"/>
    <w:rsid w:val="00F91A6E"/>
    <w:rsid w:val="00F96B7D"/>
    <w:rsid w:val="00FA0537"/>
    <w:rsid w:val="00FA25EA"/>
    <w:rsid w:val="00FA2ECA"/>
    <w:rsid w:val="00FA2FA8"/>
    <w:rsid w:val="00FA65E5"/>
    <w:rsid w:val="00FA6A63"/>
    <w:rsid w:val="00FB1348"/>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8A0E13"/>
    <w:rsid w:val="0300371E"/>
    <w:rsid w:val="0462445C"/>
    <w:rsid w:val="05C24554"/>
    <w:rsid w:val="07731EDA"/>
    <w:rsid w:val="099D0555"/>
    <w:rsid w:val="0DAF4280"/>
    <w:rsid w:val="0EF2196A"/>
    <w:rsid w:val="10E55ACF"/>
    <w:rsid w:val="116B46A6"/>
    <w:rsid w:val="15CB3B02"/>
    <w:rsid w:val="15CF287D"/>
    <w:rsid w:val="175835C3"/>
    <w:rsid w:val="1F461B9E"/>
    <w:rsid w:val="1F5377B9"/>
    <w:rsid w:val="1F5F775F"/>
    <w:rsid w:val="1F6B7985"/>
    <w:rsid w:val="2610650A"/>
    <w:rsid w:val="2AC9613C"/>
    <w:rsid w:val="32525E9A"/>
    <w:rsid w:val="393A2B5E"/>
    <w:rsid w:val="3ABF7DB8"/>
    <w:rsid w:val="3ED1352D"/>
    <w:rsid w:val="3F5B76C3"/>
    <w:rsid w:val="400B151C"/>
    <w:rsid w:val="422A1972"/>
    <w:rsid w:val="44D23E4F"/>
    <w:rsid w:val="45EB52C6"/>
    <w:rsid w:val="462B4A43"/>
    <w:rsid w:val="47270B2F"/>
    <w:rsid w:val="4C9A2129"/>
    <w:rsid w:val="4F40507F"/>
    <w:rsid w:val="537D605C"/>
    <w:rsid w:val="555719CF"/>
    <w:rsid w:val="59C56020"/>
    <w:rsid w:val="5A4E1222"/>
    <w:rsid w:val="5AD6708B"/>
    <w:rsid w:val="5BD41DC5"/>
    <w:rsid w:val="5FE6355D"/>
    <w:rsid w:val="62556F19"/>
    <w:rsid w:val="631B51A6"/>
    <w:rsid w:val="644D5AFC"/>
    <w:rsid w:val="654E3EDD"/>
    <w:rsid w:val="66133465"/>
    <w:rsid w:val="67EC0F8F"/>
    <w:rsid w:val="68E321EE"/>
    <w:rsid w:val="69C04ABB"/>
    <w:rsid w:val="6ACE4D37"/>
    <w:rsid w:val="6D1055A2"/>
    <w:rsid w:val="7396760B"/>
    <w:rsid w:val="74966354"/>
    <w:rsid w:val="77667C2A"/>
    <w:rsid w:val="77DF3C94"/>
    <w:rsid w:val="78C2373C"/>
    <w:rsid w:val="7EDE71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1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CellMar>
        <w:top w:w="0" w:type="dxa"/>
        <w:left w:w="108" w:type="dxa"/>
        <w:bottom w:w="0" w:type="dxa"/>
        <w:right w:w="108" w:type="dxa"/>
      </w:tblCellMar>
    </w:tblPr>
  </w:style>
  <w:style w:type="paragraph" w:styleId="2">
    <w:name w:val="Body Text"/>
    <w:basedOn w:val="1"/>
    <w:next w:val="1"/>
    <w:link w:val="18"/>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2"/>
    <w:unhideWhenUsed/>
    <w:uiPriority w:val="99"/>
    <w:pPr>
      <w:jc w:val="left"/>
    </w:p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7"/>
    <w:unhideWhenUsed/>
    <w:uiPriority w:val="99"/>
    <w:rPr>
      <w:b/>
      <w:bCs/>
    </w:rPr>
  </w:style>
  <w:style w:type="character" w:styleId="15">
    <w:name w:val="Strong"/>
    <w:qFormat/>
    <w:uiPriority w:val="22"/>
    <w:rPr>
      <w:b/>
      <w:bCs/>
    </w:rPr>
  </w:style>
  <w:style w:type="character" w:styleId="16">
    <w:name w:val="Hyperlink"/>
    <w:unhideWhenUsed/>
    <w:qFormat/>
    <w:uiPriority w:val="99"/>
    <w:rPr>
      <w:color w:val="0000FF"/>
      <w:u w:val="single"/>
    </w:rPr>
  </w:style>
  <w:style w:type="character" w:styleId="17">
    <w:name w:val="annotation reference"/>
    <w:unhideWhenUsed/>
    <w:qFormat/>
    <w:uiPriority w:val="99"/>
    <w:rPr>
      <w:sz w:val="21"/>
      <w:szCs w:val="21"/>
    </w:rPr>
  </w:style>
  <w:style w:type="character" w:customStyle="1" w:styleId="18">
    <w:name w:val="正文文本 Char"/>
    <w:link w:val="2"/>
    <w:qFormat/>
    <w:uiPriority w:val="1"/>
    <w:rPr>
      <w:rFonts w:ascii="宋体" w:hAnsi="Times New Roman" w:eastAsia="宋体" w:cs="宋体"/>
      <w:kern w:val="0"/>
      <w:szCs w:val="21"/>
    </w:rPr>
  </w:style>
  <w:style w:type="character" w:customStyle="1" w:styleId="19">
    <w:name w:val="标题 1 Char"/>
    <w:link w:val="3"/>
    <w:uiPriority w:val="1"/>
    <w:rPr>
      <w:rFonts w:ascii="黑体" w:hAnsi="Times New Roman" w:eastAsia="黑体" w:cs="黑体"/>
      <w:b/>
      <w:bCs/>
      <w:kern w:val="0"/>
      <w:sz w:val="36"/>
      <w:szCs w:val="36"/>
    </w:rPr>
  </w:style>
  <w:style w:type="character" w:customStyle="1" w:styleId="20">
    <w:name w:val="标题 2 Char"/>
    <w:link w:val="4"/>
    <w:uiPriority w:val="9"/>
    <w:rPr>
      <w:rFonts w:ascii="Cambria" w:hAnsi="Cambria" w:eastAsia="宋体" w:cs="Times New Roman"/>
      <w:b/>
      <w:bCs/>
      <w:sz w:val="32"/>
      <w:szCs w:val="32"/>
    </w:rPr>
  </w:style>
  <w:style w:type="character" w:customStyle="1" w:styleId="21">
    <w:name w:val="标题 3 Char"/>
    <w:link w:val="5"/>
    <w:uiPriority w:val="1"/>
    <w:rPr>
      <w:rFonts w:ascii="宋体" w:hAnsi="Times New Roman" w:eastAsia="宋体" w:cs="宋体"/>
      <w:b/>
      <w:bCs/>
      <w:kern w:val="0"/>
      <w:szCs w:val="21"/>
    </w:rPr>
  </w:style>
  <w:style w:type="character" w:customStyle="1" w:styleId="22">
    <w:name w:val="批注文字 Char"/>
    <w:link w:val="6"/>
    <w:uiPriority w:val="99"/>
    <w:rPr>
      <w:kern w:val="2"/>
      <w:sz w:val="21"/>
      <w:szCs w:val="22"/>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qFormat/>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Defaul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29">
    <w:name w:val="List Paragraph"/>
    <w:basedOn w:val="1"/>
    <w:qFormat/>
    <w:uiPriority w:val="72"/>
    <w:pPr>
      <w:ind w:firstLine="420" w:firstLineChars="200"/>
    </w:pPr>
  </w:style>
  <w:style w:type="paragraph" w:customStyle="1" w:styleId="30">
    <w:name w:val="_Style 29"/>
    <w:semiHidden/>
    <w:qFormat/>
    <w:uiPriority w:val="99"/>
    <w:rPr>
      <w:rFonts w:ascii="Times New Roman" w:hAnsi="Times New Roman" w:eastAsia="宋体" w:cs="Times New Roman"/>
      <w:kern w:val="2"/>
      <w:sz w:val="21"/>
      <w:szCs w:val="22"/>
      <w:lang w:val="en-US" w:eastAsia="zh-CN" w:bidi="ar-SA"/>
    </w:rPr>
  </w:style>
  <w:style w:type="paragraph" w:customStyle="1" w:styleId="31">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714</Words>
  <Characters>918</Characters>
  <Lines>3</Lines>
  <Paragraphs>1</Paragraphs>
  <TotalTime>16</TotalTime>
  <ScaleCrop>false</ScaleCrop>
  <LinksUpToDate>false</LinksUpToDate>
  <CharactersWithSpaces>918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2022-01-13T11:27:00Z</dcterms:created>
  <dc:creator>JSYH</dc:creator>
  <cp:lastModifiedBy>lhy</cp:lastModifiedBy>
  <cp:lastPrinted>2022-07-25T07:20:00Z</cp:lastPrinted>
  <dcterms:modified xsi:type="dcterms:W3CDTF">2025-11-26T08:16:45Z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5769A09777C24CD78A197C5B8B1BD4C6</vt:lpwstr>
  </property>
</Properties>
</file>