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kern w:val="0"/>
          <w:sz w:val="36"/>
          <w:szCs w:val="36"/>
        </w:rPr>
      </w:pPr>
      <w:r>
        <w:rPr>
          <w:rFonts w:hint="eastAsia" w:ascii="楷体" w:hAnsi="楷体" w:eastAsia="楷体"/>
          <w:b/>
          <w:kern w:val="0"/>
          <w:sz w:val="36"/>
          <w:szCs w:val="36"/>
          <w:lang w:val="en-US" w:eastAsia="zh-CN"/>
        </w:rPr>
        <w:t>关于调整</w:t>
      </w:r>
      <w:r>
        <w:rPr>
          <w:rFonts w:hint="eastAsia" w:ascii="楷体" w:hAnsi="楷体" w:eastAsia="楷体"/>
          <w:b/>
          <w:kern w:val="0"/>
          <w:sz w:val="36"/>
          <w:szCs w:val="36"/>
        </w:rPr>
        <w:t>“苏银理财恒源</w:t>
      </w:r>
      <w:r>
        <w:rPr>
          <w:rFonts w:hint="eastAsia" w:ascii="楷体" w:hAnsi="楷体" w:eastAsia="楷体"/>
          <w:b/>
          <w:kern w:val="0"/>
          <w:sz w:val="36"/>
          <w:szCs w:val="36"/>
          <w:lang w:val="en-US" w:eastAsia="zh-CN"/>
        </w:rPr>
        <w:t>融达1号</w:t>
      </w:r>
      <w:r>
        <w:rPr>
          <w:rFonts w:hint="eastAsia" w:ascii="楷体" w:hAnsi="楷体" w:eastAsia="楷体"/>
          <w:b/>
          <w:kern w:val="0"/>
          <w:sz w:val="36"/>
          <w:szCs w:val="36"/>
        </w:rPr>
        <w:t>”理财产品</w:t>
      </w:r>
    </w:p>
    <w:p>
      <w:pPr>
        <w:jc w:val="center"/>
        <w:rPr>
          <w:rFonts w:hint="eastAsia" w:ascii="楷体" w:hAnsi="楷体" w:eastAsia="楷体"/>
          <w:b/>
          <w:kern w:val="0"/>
          <w:sz w:val="36"/>
          <w:szCs w:val="36"/>
        </w:rPr>
      </w:pPr>
      <w:r>
        <w:rPr>
          <w:rFonts w:hint="eastAsia" w:ascii="楷体" w:hAnsi="楷体" w:eastAsia="楷体"/>
          <w:b/>
          <w:kern w:val="0"/>
          <w:sz w:val="36"/>
          <w:szCs w:val="36"/>
        </w:rPr>
        <w:t>要素</w:t>
      </w:r>
      <w:r>
        <w:rPr>
          <w:rFonts w:hint="eastAsia" w:ascii="楷体" w:hAnsi="楷体" w:eastAsia="楷体"/>
          <w:b/>
          <w:kern w:val="0"/>
          <w:sz w:val="36"/>
          <w:szCs w:val="36"/>
          <w:lang w:val="en-US" w:eastAsia="zh-CN"/>
        </w:rPr>
        <w:t>的</w:t>
      </w:r>
      <w:r>
        <w:rPr>
          <w:rFonts w:hint="eastAsia" w:ascii="楷体" w:hAnsi="楷体" w:eastAsia="楷体"/>
          <w:b/>
          <w:kern w:val="0"/>
          <w:sz w:val="36"/>
          <w:szCs w:val="36"/>
        </w:rPr>
        <w:t>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管理人拟自20</w:t>
      </w:r>
      <w:r>
        <w:rPr>
          <w:rFonts w:hint="eastAsia" w:ascii="楷体" w:hAnsi="楷体" w:eastAsia="楷体"/>
          <w:sz w:val="28"/>
          <w:szCs w:val="28"/>
        </w:rPr>
        <w:t>2</w:t>
      </w:r>
      <w:r>
        <w:rPr>
          <w:rFonts w:hint="eastAsia" w:ascii="楷体" w:hAnsi="楷体" w:eastAsia="楷体"/>
          <w:sz w:val="28"/>
          <w:szCs w:val="28"/>
          <w:lang w:val="en-US" w:eastAsia="zh-CN"/>
        </w:rPr>
        <w:t>5</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w:t>
      </w:r>
      <w:r>
        <w:rPr>
          <w:rFonts w:hint="eastAsia" w:ascii="楷体" w:hAnsi="楷体" w:eastAsia="楷体"/>
          <w:sz w:val="28"/>
          <w:szCs w:val="28"/>
          <w:lang w:val="en-US" w:eastAsia="zh-CN"/>
        </w:rPr>
        <w:t>20</w:t>
      </w:r>
      <w:r>
        <w:rPr>
          <w:rFonts w:hint="eastAsia" w:ascii="楷体" w:hAnsi="楷体" w:eastAsia="楷体"/>
          <w:sz w:val="28"/>
          <w:szCs w:val="28"/>
        </w:rPr>
        <w:t>日起</w:t>
      </w:r>
      <w:r>
        <w:rPr>
          <w:rFonts w:hint="eastAsia" w:ascii="楷体" w:hAnsi="楷体" w:eastAsia="楷体"/>
          <w:sz w:val="28"/>
          <w:szCs w:val="28"/>
          <w:lang w:eastAsia="zh-CN"/>
        </w:rPr>
        <w:t>，</w:t>
      </w:r>
      <w:r>
        <w:rPr>
          <w:rFonts w:hint="eastAsia" w:ascii="楷体" w:hAnsi="楷体" w:eastAsia="楷体"/>
          <w:sz w:val="28"/>
          <w:szCs w:val="28"/>
          <w:lang w:val="en-US" w:eastAsia="zh-CN"/>
        </w:rPr>
        <w:t>对“苏银理财恒源融达1号”理财产品部分要素进行调整，具体如下：</w:t>
      </w:r>
    </w:p>
    <w:p>
      <w:pPr>
        <w:pStyle w:val="2"/>
        <w:ind w:firstLine="562" w:firstLineChars="200"/>
        <w:rPr>
          <w:rFonts w:hint="default" w:ascii="楷体" w:hAnsi="楷体" w:eastAsia="楷体" w:cs="Times New Roman"/>
          <w:kern w:val="2"/>
          <w:sz w:val="28"/>
          <w:szCs w:val="28"/>
          <w:lang w:val="en-US" w:eastAsia="zh-CN" w:bidi="ar-SA"/>
        </w:rPr>
      </w:pPr>
      <w:r>
        <w:rPr>
          <w:rFonts w:hint="eastAsia" w:ascii="楷体" w:hAnsi="楷体" w:eastAsia="楷体" w:cs="Times New Roman"/>
          <w:b/>
          <w:bCs/>
          <w:kern w:val="2"/>
          <w:sz w:val="28"/>
          <w:szCs w:val="28"/>
          <w:lang w:val="en-US" w:eastAsia="zh-CN" w:bidi="ar-SA"/>
        </w:rPr>
        <w:t>一、业绩比较基准调整</w:t>
      </w:r>
    </w:p>
    <w:p>
      <w:pPr>
        <w:spacing w:line="520" w:lineRule="exact"/>
        <w:ind w:firstLine="565" w:firstLineChars="202"/>
        <w:rPr>
          <w:rFonts w:hint="eastAsia" w:ascii="楷体" w:hAnsi="楷体" w:eastAsia="楷体" w:cs="Times New Roman"/>
          <w:sz w:val="28"/>
          <w:szCs w:val="28"/>
        </w:rPr>
      </w:pPr>
      <w:r>
        <w:rPr>
          <w:rFonts w:hint="eastAsia" w:ascii="楷体" w:hAnsi="楷体" w:eastAsia="楷体"/>
          <w:sz w:val="28"/>
          <w:szCs w:val="28"/>
          <w:lang w:val="en-US" w:eastAsia="zh-CN"/>
        </w:rPr>
        <w:t>根据投资运作情况，管理人</w:t>
      </w:r>
      <w:r>
        <w:rPr>
          <w:rFonts w:hint="eastAsia" w:ascii="楷体" w:hAnsi="楷体" w:eastAsia="楷体" w:cs="Times New Roman"/>
          <w:sz w:val="28"/>
          <w:szCs w:val="28"/>
        </w:rPr>
        <w:t>对“苏银理财恒源</w:t>
      </w:r>
      <w:r>
        <w:rPr>
          <w:rFonts w:hint="eastAsia" w:ascii="楷体" w:hAnsi="楷体" w:eastAsia="楷体" w:cs="Times New Roman"/>
          <w:sz w:val="28"/>
          <w:szCs w:val="28"/>
          <w:lang w:val="en-US" w:eastAsia="zh-CN"/>
        </w:rPr>
        <w:t>融达</w:t>
      </w:r>
      <w:r>
        <w:rPr>
          <w:rFonts w:hint="eastAsia" w:ascii="楷体" w:hAnsi="楷体" w:eastAsia="楷体" w:cs="Times New Roman"/>
          <w:sz w:val="28"/>
          <w:szCs w:val="28"/>
        </w:rPr>
        <w:t>1号”理财产品的</w:t>
      </w:r>
      <w:r>
        <w:rPr>
          <w:rFonts w:hint="eastAsia" w:ascii="楷体" w:hAnsi="楷体" w:eastAsia="楷体" w:cs="Times New Roman"/>
          <w:sz w:val="28"/>
          <w:szCs w:val="28"/>
          <w:lang w:val="en-US" w:eastAsia="zh-CN"/>
        </w:rPr>
        <w:t>业绩比较基准进行调整（业绩比较基准为管理人对本产品所设定的投资目标，不代表理财产品未来表现，不等于理财产品实际收益，不作为产品收益的业绩保证，投资者的实际收益由产品净值表现决定）。具体情况如下</w:t>
      </w:r>
      <w:r>
        <w:rPr>
          <w:rFonts w:hint="eastAsia" w:ascii="楷体" w:hAnsi="楷体" w:eastAsia="楷体" w:cs="Times New Roman"/>
          <w:sz w:val="28"/>
          <w:szCs w:val="28"/>
        </w:rPr>
        <w:t>：</w:t>
      </w:r>
    </w:p>
    <w:tbl>
      <w:tblPr>
        <w:tblStyle w:val="14"/>
        <w:tblW w:w="9975" w:type="dxa"/>
        <w:tblInd w:w="-6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0"/>
        <w:gridCol w:w="1710"/>
        <w:gridCol w:w="1980"/>
        <w:gridCol w:w="2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378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份额名称</w:t>
            </w:r>
          </w:p>
        </w:tc>
        <w:tc>
          <w:tcPr>
            <w:tcW w:w="17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9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25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2"/>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苏银理财恒源融达1号6月A</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rPr>
              <w:t>J180409SA86B</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年化2.55%</w:t>
            </w:r>
          </w:p>
        </w:tc>
        <w:tc>
          <w:tcPr>
            <w:tcW w:w="2505" w:type="dxa"/>
            <w:noWrap w:val="0"/>
            <w:vAlign w:val="center"/>
          </w:tcPr>
          <w:p>
            <w:pPr>
              <w:spacing w:before="0" w:beforeAutospacing="0" w:after="0" w:afterAutospacing="0" w:line="400" w:lineRule="exact"/>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年化2.40%-3.20%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2"/>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苏银理财恒源融达1号6月（代发专享）</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rPr>
              <w:t>J180409SA86D</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年化2.60%</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年化2.45%-3.25%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2"/>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苏银理财恒源融达1号6月E50</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rPr>
              <w:t>J180409SA86E</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年化2.60%</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年化2.45%-3.25%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楷体" w:hAnsi="楷体" w:eastAsia="楷体" w:cs="Times New Roman"/>
                <w:kern w:val="2"/>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苏银理财恒源融达1号6月F</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rPr>
              <w:t>J180409SA86F</w:t>
            </w:r>
          </w:p>
        </w:tc>
        <w:tc>
          <w:tcPr>
            <w:tcW w:w="1980" w:type="dxa"/>
            <w:noWrap w:val="0"/>
            <w:vAlign w:val="center"/>
          </w:tcPr>
          <w:p>
            <w:pPr>
              <w:spacing w:before="0" w:beforeAutospacing="0" w:after="0" w:afterAutospacing="0" w:line="400" w:lineRule="exact"/>
              <w:jc w:val="center"/>
              <w:rPr>
                <w:rFonts w:hint="default"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年化2.60%</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年化2.45%-3.25%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2"/>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苏银理财恒源融达1号6月G</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lang w:val="en-US" w:eastAsia="zh-CN"/>
              </w:rPr>
              <w:t>J02453</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年化2.65%</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年化2.50%-3.30%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2"/>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苏银理财恒源融达1号6月S</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lang w:val="en-US" w:eastAsia="zh-CN"/>
              </w:rPr>
              <w:t>J02764</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年化2.55%</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年化2.40%-3.20%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2"/>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苏银理财恒源融达1号6月H</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default" w:ascii="楷体" w:hAnsi="楷体" w:eastAsia="楷体" w:cs="Times New Roman"/>
                <w:kern w:val="0"/>
                <w:sz w:val="24"/>
                <w:szCs w:val="24"/>
                <w:lang w:val="en-US" w:eastAsia="zh-CN" w:bidi="ar-SA"/>
              </w:rPr>
            </w:pPr>
            <w:r>
              <w:rPr>
                <w:rFonts w:hint="eastAsia" w:ascii="楷体" w:hAnsi="楷体" w:eastAsia="楷体" w:cs="Times New Roman"/>
                <w:sz w:val="24"/>
                <w:szCs w:val="24"/>
                <w:lang w:val="en-US" w:eastAsia="zh-CN"/>
              </w:rPr>
              <w:t>J02767</w:t>
            </w:r>
          </w:p>
        </w:tc>
        <w:tc>
          <w:tcPr>
            <w:tcW w:w="1980" w:type="dxa"/>
            <w:noWrap w:val="0"/>
            <w:vAlign w:val="center"/>
          </w:tcPr>
          <w:p>
            <w:pPr>
              <w:spacing w:before="0" w:beforeAutospacing="0" w:after="0" w:afterAutospacing="0" w:line="400" w:lineRule="exact"/>
              <w:jc w:val="center"/>
              <w:rPr>
                <w:rFonts w:hint="default"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年化2.65%</w:t>
            </w:r>
          </w:p>
        </w:tc>
        <w:tc>
          <w:tcPr>
            <w:tcW w:w="2505" w:type="dxa"/>
            <w:noWrap w:val="0"/>
            <w:vAlign w:val="center"/>
          </w:tcPr>
          <w:p>
            <w:pPr>
              <w:spacing w:before="0" w:beforeAutospacing="0" w:after="0" w:afterAutospacing="0" w:line="400" w:lineRule="exact"/>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年化2.50%-3.30%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苏银理财恒源融达1号6月（碳账户专享）</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lang w:val="en-US" w:eastAsia="zh-CN"/>
              </w:rPr>
              <w:t>J03363</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年化2.60%</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年化2.45%-3.25%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苏银理财恒源融达1号6月K</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lang w:val="en-US" w:eastAsia="zh-CN"/>
              </w:rPr>
              <w:t>J03473</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年化2.65%</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年化2.50%-3.30%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4"/>
                <w:szCs w:val="24"/>
                <w:lang w:val="en-US" w:eastAsia="zh-CN" w:bidi="ar-SA"/>
              </w:rPr>
            </w:pPr>
            <w:r>
              <w:rPr>
                <w:rFonts w:hint="eastAsia" w:ascii="楷体" w:hAnsi="楷体" w:eastAsia="楷体" w:cs="Times New Roman"/>
                <w:b w:val="0"/>
                <w:bCs w:val="0"/>
                <w:kern w:val="0"/>
                <w:sz w:val="24"/>
                <w:szCs w:val="24"/>
                <w:lang w:val="en-US" w:eastAsia="zh-CN" w:bidi="ar-SA"/>
              </w:rPr>
              <w:t>苏银理财恒源融达1号6月J</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kern w:val="0"/>
                <w:sz w:val="24"/>
                <w:szCs w:val="24"/>
                <w:lang w:val="en-US" w:eastAsia="zh-CN" w:bidi="ar-SA"/>
              </w:rPr>
            </w:pPr>
            <w:r>
              <w:rPr>
                <w:rFonts w:hint="eastAsia" w:ascii="楷体" w:hAnsi="楷体" w:eastAsia="楷体" w:cs="Times New Roman"/>
                <w:sz w:val="24"/>
                <w:szCs w:val="24"/>
                <w:lang w:val="en-US" w:eastAsia="zh-CN"/>
              </w:rPr>
              <w:t>J03506</w:t>
            </w:r>
          </w:p>
        </w:tc>
        <w:tc>
          <w:tcPr>
            <w:tcW w:w="1980" w:type="dxa"/>
            <w:noWrap w:val="0"/>
            <w:vAlign w:val="center"/>
          </w:tcPr>
          <w:p>
            <w:pPr>
              <w:spacing w:before="0" w:beforeAutospacing="0" w:after="0" w:afterAutospacing="0" w:line="400" w:lineRule="exact"/>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年化2.60%</w:t>
            </w:r>
          </w:p>
        </w:tc>
        <w:tc>
          <w:tcPr>
            <w:tcW w:w="2505" w:type="dxa"/>
            <w:noWrap w:val="0"/>
            <w:vAlign w:val="center"/>
          </w:tcPr>
          <w:p>
            <w:pPr>
              <w:spacing w:before="0" w:beforeAutospacing="0" w:after="0" w:afterAutospacing="0" w:line="400" w:lineRule="exact"/>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年化2.45%-3.25%</w:t>
            </w:r>
          </w:p>
        </w:tc>
      </w:tr>
    </w:tbl>
    <w:p>
      <w:pPr>
        <w:pStyle w:val="2"/>
        <w:ind w:firstLine="562" w:firstLineChars="200"/>
        <w:rPr>
          <w:rFonts w:hint="default" w:ascii="楷体" w:hAnsi="楷体" w:eastAsia="楷体" w:cs="Times New Roman"/>
          <w:b/>
          <w:bCs/>
          <w:kern w:val="2"/>
          <w:sz w:val="28"/>
          <w:szCs w:val="28"/>
          <w:lang w:val="en-US" w:eastAsia="zh-CN" w:bidi="ar-SA"/>
        </w:rPr>
      </w:pPr>
      <w:r>
        <w:rPr>
          <w:rFonts w:hint="eastAsia" w:ascii="楷体" w:hAnsi="楷体" w:eastAsia="楷体" w:cs="Times New Roman"/>
          <w:b/>
          <w:bCs/>
          <w:kern w:val="2"/>
          <w:sz w:val="28"/>
          <w:szCs w:val="28"/>
          <w:lang w:val="en-US" w:eastAsia="zh-CN" w:bidi="ar-SA"/>
        </w:rPr>
        <w:t>二、超额业绩报酬/浮动管理费调整</w:t>
      </w:r>
    </w:p>
    <w:tbl>
      <w:tblPr>
        <w:tblStyle w:val="14"/>
        <w:tblW w:w="9975"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1710"/>
        <w:gridCol w:w="3615"/>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207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份额名称</w:t>
            </w:r>
          </w:p>
        </w:tc>
        <w:tc>
          <w:tcPr>
            <w:tcW w:w="17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361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超额业绩报酬/浮动管理费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（调整前）</w:t>
            </w:r>
          </w:p>
        </w:tc>
        <w:tc>
          <w:tcPr>
            <w:tcW w:w="25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超额业绩报酬</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苏银理财恒源融达1号6月A</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rPr>
              <w:t>J180409SA86B</w:t>
            </w:r>
          </w:p>
        </w:tc>
        <w:tc>
          <w:tcPr>
            <w:tcW w:w="3615" w:type="dxa"/>
            <w:vMerge w:val="restart"/>
            <w:noWrap w:val="0"/>
            <w:vAlign w:val="center"/>
          </w:tcPr>
          <w:p>
            <w:pPr>
              <w:ind w:right="115" w:rightChars="55"/>
              <w:rPr>
                <w:rFonts w:hint="eastAsia" w:ascii="楷体" w:hAnsi="楷体" w:eastAsia="楷体" w:cs="宋体"/>
                <w:spacing w:val="-2"/>
                <w:sz w:val="18"/>
                <w:szCs w:val="18"/>
                <w:lang w:eastAsia="zh-CN"/>
              </w:rPr>
            </w:pPr>
            <w:r>
              <w:rPr>
                <w:rFonts w:hint="eastAsia" w:ascii="楷体" w:hAnsi="楷体" w:eastAsia="楷体" w:cs="宋体"/>
                <w:spacing w:val="-2"/>
                <w:sz w:val="18"/>
                <w:szCs w:val="18"/>
              </w:rPr>
              <w:t>超额业绩报酬比例：在客户份额持有期间净值增长率达到下述“浮动管理费中情形1”时，管理人可收取20%超额业绩报酬</w:t>
            </w:r>
            <w:r>
              <w:rPr>
                <w:rFonts w:hint="eastAsia" w:ascii="楷体" w:hAnsi="楷体" w:eastAsia="楷体" w:cs="宋体"/>
                <w:spacing w:val="-2"/>
                <w:sz w:val="18"/>
                <w:szCs w:val="18"/>
                <w:lang w:eastAsia="zh-CN"/>
              </w:rPr>
              <w:t>。</w:t>
            </w:r>
          </w:p>
          <w:p>
            <w:pPr>
              <w:jc w:val="left"/>
              <w:rPr>
                <w:rFonts w:hint="eastAsia" w:ascii="宋体" w:hAnsi="宋体" w:eastAsia="楷体"/>
                <w:sz w:val="15"/>
                <w:szCs w:val="16"/>
              </w:rPr>
            </w:pPr>
            <w:r>
              <w:rPr>
                <w:rFonts w:hint="eastAsia" w:ascii="楷体" w:hAnsi="楷体" w:eastAsia="楷体" w:cs="宋体"/>
                <w:spacing w:val="-2"/>
                <w:sz w:val="18"/>
                <w:szCs w:val="18"/>
              </w:rPr>
              <w:t>浮动管理费（I）：1.5%/年，</w:t>
            </w:r>
            <w:r>
              <w:rPr>
                <w:rFonts w:hint="eastAsia" w:ascii="楷体" w:hAnsi="楷体" w:eastAsia="楷体" w:cs="宋体"/>
                <w:spacing w:val="-2"/>
                <w:sz w:val="18"/>
                <w:szCs w:val="18"/>
                <w:highlight w:val="none"/>
              </w:rPr>
              <w:t>浮动管理费的收取需要视客户份额持有期间净值增长率（r)</w:t>
            </w:r>
            <w:r>
              <w:rPr>
                <w:rFonts w:hint="eastAsia" w:ascii="楷体" w:hAnsi="楷体" w:eastAsia="楷体" w:cs="宋体"/>
                <w:spacing w:val="-2"/>
                <w:sz w:val="18"/>
                <w:szCs w:val="18"/>
                <w:highlight w:val="none"/>
                <w:lang w:val="en-US" w:eastAsia="zh-CN"/>
              </w:rPr>
              <w:t>以及业绩比较基准（R）</w:t>
            </w:r>
            <w:r>
              <w:rPr>
                <w:rFonts w:hint="eastAsia" w:ascii="楷体" w:hAnsi="楷体" w:eastAsia="楷体" w:cs="宋体"/>
                <w:spacing w:val="-2"/>
                <w:sz w:val="18"/>
                <w:szCs w:val="18"/>
                <w:highlight w:val="none"/>
              </w:rPr>
              <w:t>而定，在客户份额赎回时根据实际情况支取。</w:t>
            </w:r>
            <w:r>
              <w:rPr>
                <w:rFonts w:hint="eastAsia" w:ascii="楷体" w:hAnsi="楷体" w:eastAsia="楷体" w:cs="宋体"/>
                <w:spacing w:val="-2"/>
                <w:sz w:val="18"/>
                <w:szCs w:val="18"/>
              </w:rPr>
              <w:t>客户份额持有期间净值增长率（r)依据份额确认时产品单位净值、份额赎回时产品单位净值、客户份额实际运作天数折算为年化收益率（1年按365天计算）。</w:t>
            </w:r>
          </w:p>
          <w:p>
            <w:pPr>
              <w:ind w:right="115" w:rightChars="55"/>
              <w:rPr>
                <w:rFonts w:hint="default" w:ascii="楷体" w:hAnsi="楷体" w:eastAsia="楷体" w:cs="Times New Roman"/>
                <w:sz w:val="22"/>
                <w:szCs w:val="22"/>
                <w:lang w:val="en-US" w:eastAsia="zh-CN"/>
              </w:rPr>
            </w:pPr>
            <w:r>
              <w:rPr>
                <w:rFonts w:hint="eastAsia" w:ascii="楷体" w:hAnsi="楷体" w:eastAsia="楷体" w:cs="宋体"/>
                <w:spacing w:val="-2"/>
                <w:sz w:val="18"/>
                <w:szCs w:val="18"/>
              </w:rPr>
              <w:t>存在以下四种情形：情形1：r&gt;R+I,则管理人实际收取浮动管理费率为I，并收取（r-R-I)*20%作为超额业绩报酬，客户的实际收益率为R+（r-R-I)*80%。情形2：R≤r≤R+I,则管理人实际收取浮动管理费率为r-R，客户的实际收益率为R。情形3：0〈r〈R,则客户按赎回日净值兑付，客户实际收益为 r，管理人无浮动管理费。情形4：r〈0，则客户按赎回日净值兑付，客户投资本金发生亏损，无收益，管理人无浮动管理费，在最不利于情形下，客户可能损失全部本金。</w:t>
            </w:r>
          </w:p>
        </w:tc>
        <w:tc>
          <w:tcPr>
            <w:tcW w:w="2580" w:type="dxa"/>
            <w:vMerge w:val="restart"/>
            <w:noWrap w:val="0"/>
            <w:vAlign w:val="center"/>
          </w:tcPr>
          <w:p>
            <w:pPr>
              <w:spacing w:before="0" w:beforeAutospacing="0" w:after="0" w:afterAutospacing="0" w:line="400" w:lineRule="exact"/>
              <w:jc w:val="both"/>
              <w:rPr>
                <w:rFonts w:hint="default" w:ascii="楷体" w:hAnsi="楷体" w:eastAsia="楷体" w:cs="Times New Roman"/>
                <w:sz w:val="22"/>
                <w:szCs w:val="22"/>
                <w:lang w:val="en-US" w:eastAsia="zh-CN"/>
              </w:rPr>
            </w:pPr>
            <w:r>
              <w:rPr>
                <w:rFonts w:hint="eastAsia" w:ascii="楷体" w:hAnsi="楷体" w:eastAsia="楷体" w:cs="宋体"/>
                <w:spacing w:val="-2"/>
                <w:sz w:val="18"/>
                <w:szCs w:val="18"/>
                <w:highlight w:val="none"/>
                <w:lang w:val="en-US" w:eastAsia="zh-CN"/>
              </w:rPr>
              <w:t>管</w:t>
            </w:r>
            <w:bookmarkStart w:id="0" w:name="_GoBack"/>
            <w:bookmarkEnd w:id="0"/>
            <w:r>
              <w:rPr>
                <w:rFonts w:hint="eastAsia" w:ascii="楷体" w:hAnsi="楷体" w:eastAsia="楷体" w:cs="宋体"/>
                <w:spacing w:val="-2"/>
                <w:sz w:val="18"/>
                <w:szCs w:val="18"/>
                <w:highlight w:val="none"/>
                <w:lang w:val="en-US" w:eastAsia="zh-CN"/>
              </w:rPr>
              <w:t>理人按投资周期收取超额业绩报酬，若各份额单一投资周期的产品实际投资收益在扣除托管费、销售服务费、投资管理费以及运作产品所必须缴纳的税费后超过各份额业绩比较基准下限，产品管理人将按照超出部分的50%收取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苏银理财恒源融达1号6月（代发专享）</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rPr>
              <w:t>J180409SA86D</w:t>
            </w:r>
          </w:p>
        </w:tc>
        <w:tc>
          <w:tcPr>
            <w:tcW w:w="3615"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kern w:val="2"/>
                <w:sz w:val="22"/>
                <w:szCs w:val="22"/>
                <w:lang w:val="en-US" w:eastAsia="zh-CN" w:bidi="ar-SA"/>
              </w:rPr>
            </w:pPr>
          </w:p>
        </w:tc>
        <w:tc>
          <w:tcPr>
            <w:tcW w:w="2580"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苏银理财恒源融达1号6月E50</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rPr>
              <w:t>J180409SA86E</w:t>
            </w:r>
          </w:p>
        </w:tc>
        <w:tc>
          <w:tcPr>
            <w:tcW w:w="3615"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kern w:val="2"/>
                <w:sz w:val="22"/>
                <w:szCs w:val="22"/>
                <w:lang w:val="en-US" w:eastAsia="zh-CN" w:bidi="ar-SA"/>
              </w:rPr>
            </w:pPr>
          </w:p>
        </w:tc>
        <w:tc>
          <w:tcPr>
            <w:tcW w:w="2580"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苏银理财恒源融达1号6月F</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rPr>
              <w:t>J180409SA86F</w:t>
            </w:r>
          </w:p>
        </w:tc>
        <w:tc>
          <w:tcPr>
            <w:tcW w:w="3615"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b w:val="0"/>
                <w:bCs w:val="0"/>
                <w:kern w:val="0"/>
                <w:sz w:val="22"/>
                <w:szCs w:val="22"/>
                <w:lang w:val="en-US" w:eastAsia="zh-CN" w:bidi="ar-SA"/>
              </w:rPr>
            </w:pPr>
          </w:p>
        </w:tc>
        <w:tc>
          <w:tcPr>
            <w:tcW w:w="2580"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苏银理财恒源融达1号6月G</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lang w:val="en-US" w:eastAsia="zh-CN"/>
              </w:rPr>
              <w:t>J02453</w:t>
            </w:r>
          </w:p>
        </w:tc>
        <w:tc>
          <w:tcPr>
            <w:tcW w:w="3615"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b w:val="0"/>
                <w:bCs w:val="0"/>
                <w:kern w:val="0"/>
                <w:sz w:val="22"/>
                <w:szCs w:val="22"/>
                <w:lang w:val="en-US" w:eastAsia="zh-CN" w:bidi="ar-SA"/>
              </w:rPr>
            </w:pPr>
          </w:p>
        </w:tc>
        <w:tc>
          <w:tcPr>
            <w:tcW w:w="2580"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苏银理财恒源融达1号6月S</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lang w:val="en-US" w:eastAsia="zh-CN"/>
              </w:rPr>
              <w:t>J02764</w:t>
            </w:r>
          </w:p>
        </w:tc>
        <w:tc>
          <w:tcPr>
            <w:tcW w:w="3615"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b w:val="0"/>
                <w:bCs w:val="0"/>
                <w:kern w:val="0"/>
                <w:sz w:val="22"/>
                <w:szCs w:val="22"/>
                <w:lang w:val="en-US" w:eastAsia="zh-CN" w:bidi="ar-SA"/>
              </w:rPr>
            </w:pPr>
          </w:p>
        </w:tc>
        <w:tc>
          <w:tcPr>
            <w:tcW w:w="2580" w:type="dxa"/>
            <w:vMerge w:val="continue"/>
            <w:tcBorders/>
            <w:noWrap w:val="0"/>
            <w:vAlign w:val="center"/>
          </w:tcPr>
          <w:p>
            <w:pPr>
              <w:spacing w:before="0" w:beforeAutospacing="0" w:after="0" w:afterAutospacing="0" w:line="400" w:lineRule="exact"/>
              <w:jc w:val="center"/>
              <w:rPr>
                <w:rFonts w:hint="eastAsia"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苏银理财恒源融达1号6月H</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default"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lang w:val="en-US" w:eastAsia="zh-CN"/>
              </w:rPr>
              <w:t>J02767</w:t>
            </w:r>
          </w:p>
        </w:tc>
        <w:tc>
          <w:tcPr>
            <w:tcW w:w="3615"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c>
          <w:tcPr>
            <w:tcW w:w="2580"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苏银理财恒源融达1号6月（碳账户专享）</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lang w:val="en-US" w:eastAsia="zh-CN"/>
              </w:rPr>
              <w:t>J03363</w:t>
            </w:r>
          </w:p>
        </w:tc>
        <w:tc>
          <w:tcPr>
            <w:tcW w:w="3615"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c>
          <w:tcPr>
            <w:tcW w:w="2580"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苏银理财恒源融达1号6月K</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lang w:val="en-US" w:eastAsia="zh-CN"/>
              </w:rPr>
              <w:t>J03473</w:t>
            </w:r>
          </w:p>
        </w:tc>
        <w:tc>
          <w:tcPr>
            <w:tcW w:w="3615"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c>
          <w:tcPr>
            <w:tcW w:w="2580"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070"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b w:val="0"/>
                <w:bCs w:val="0"/>
                <w:kern w:val="0"/>
                <w:sz w:val="24"/>
                <w:szCs w:val="24"/>
                <w:lang w:val="en-US" w:eastAsia="zh-CN" w:bidi="ar-SA"/>
              </w:rPr>
              <w:t>苏银理财恒源融达1号6月J</w:t>
            </w:r>
          </w:p>
        </w:tc>
        <w:tc>
          <w:tcPr>
            <w:tcW w:w="1710" w:type="dxa"/>
            <w:noWrap w:val="0"/>
            <w:vAlign w:val="center"/>
          </w:tcPr>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outlineLvl w:val="9"/>
              <w:rPr>
                <w:rFonts w:hint="eastAsia" w:ascii="楷体" w:hAnsi="楷体" w:eastAsia="楷体" w:cs="Times New Roman"/>
                <w:b w:val="0"/>
                <w:bCs w:val="0"/>
                <w:kern w:val="0"/>
                <w:sz w:val="22"/>
                <w:szCs w:val="22"/>
                <w:lang w:val="en-US" w:eastAsia="zh-CN" w:bidi="ar-SA"/>
              </w:rPr>
            </w:pPr>
            <w:r>
              <w:rPr>
                <w:rFonts w:hint="eastAsia" w:ascii="楷体" w:hAnsi="楷体" w:eastAsia="楷体" w:cs="Times New Roman"/>
                <w:sz w:val="24"/>
                <w:szCs w:val="24"/>
                <w:lang w:val="en-US" w:eastAsia="zh-CN"/>
              </w:rPr>
              <w:t>J03506</w:t>
            </w:r>
          </w:p>
        </w:tc>
        <w:tc>
          <w:tcPr>
            <w:tcW w:w="3615"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c>
          <w:tcPr>
            <w:tcW w:w="2580" w:type="dxa"/>
            <w:vMerge w:val="continue"/>
            <w:tcBorders/>
            <w:noWrap w:val="0"/>
            <w:vAlign w:val="center"/>
          </w:tcPr>
          <w:p>
            <w:pPr>
              <w:spacing w:before="0" w:beforeAutospacing="0" w:after="0" w:afterAutospacing="0" w:line="400" w:lineRule="exact"/>
              <w:jc w:val="center"/>
              <w:rPr>
                <w:rFonts w:hint="default" w:ascii="楷体" w:hAnsi="楷体" w:eastAsia="楷体" w:cs="Times New Roman"/>
                <w:sz w:val="22"/>
                <w:szCs w:val="22"/>
                <w:lang w:val="en-US" w:eastAsia="zh-CN"/>
              </w:rPr>
            </w:pPr>
          </w:p>
        </w:tc>
      </w:tr>
    </w:tbl>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2025年11月13日至2025年11月19日申购，于2025年11月20日确认的份额适用调整后的业绩比较基准和超额业绩报酬进行计提；2025年11月20日前已确认的份额，按确认时原有的业绩比较基准、超额业绩报酬/浮动管理费进行计提。</w:t>
      </w:r>
    </w:p>
    <w:p>
      <w:pPr>
        <w:pStyle w:val="11"/>
        <w:numPr>
          <w:ilvl w:val="0"/>
          <w:numId w:val="0"/>
        </w:numPr>
        <w:spacing w:before="0" w:beforeAutospacing="0" w:after="0" w:afterAutospacing="0" w:line="48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11</w:t>
      </w:r>
      <w:r>
        <w:rPr>
          <w:rFonts w:hint="eastAsia" w:ascii="楷体" w:hAnsi="楷体" w:eastAsia="楷体"/>
          <w:kern w:val="0"/>
          <w:sz w:val="28"/>
          <w:szCs w:val="28"/>
        </w:rPr>
        <w:t>月</w:t>
      </w:r>
      <w:r>
        <w:rPr>
          <w:rFonts w:hint="eastAsia" w:ascii="楷体" w:hAnsi="楷体" w:eastAsia="楷体"/>
          <w:kern w:val="0"/>
          <w:sz w:val="28"/>
          <w:szCs w:val="28"/>
          <w:lang w:val="en-US" w:eastAsia="zh-CN"/>
        </w:rPr>
        <w:t>11</w:t>
      </w:r>
      <w:r>
        <w:rPr>
          <w:rFonts w:hint="eastAsia" w:ascii="楷体" w:hAnsi="楷体" w:eastAsia="楷体"/>
          <w:kern w:val="0"/>
          <w:sz w:val="28"/>
          <w:szCs w:val="28"/>
        </w:rPr>
        <w:t>日</w:t>
      </w: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580"/>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0421"/>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708"/>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5BDD"/>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A72C25"/>
    <w:rsid w:val="02357EBD"/>
    <w:rsid w:val="034151C1"/>
    <w:rsid w:val="0469264D"/>
    <w:rsid w:val="05B04F36"/>
    <w:rsid w:val="05C24554"/>
    <w:rsid w:val="06FF58D1"/>
    <w:rsid w:val="07731EDA"/>
    <w:rsid w:val="099D0555"/>
    <w:rsid w:val="0CA26DB0"/>
    <w:rsid w:val="0CF50657"/>
    <w:rsid w:val="0DAF4280"/>
    <w:rsid w:val="0EA92285"/>
    <w:rsid w:val="0F4C57D3"/>
    <w:rsid w:val="0FF7692E"/>
    <w:rsid w:val="104867C3"/>
    <w:rsid w:val="10E55ACF"/>
    <w:rsid w:val="118A1357"/>
    <w:rsid w:val="124D3FC9"/>
    <w:rsid w:val="12D078A6"/>
    <w:rsid w:val="14971E4F"/>
    <w:rsid w:val="15CF287D"/>
    <w:rsid w:val="15E048F2"/>
    <w:rsid w:val="16CE1B84"/>
    <w:rsid w:val="176B4E28"/>
    <w:rsid w:val="179F0529"/>
    <w:rsid w:val="181A3497"/>
    <w:rsid w:val="19C5136C"/>
    <w:rsid w:val="1CFB691F"/>
    <w:rsid w:val="1D423482"/>
    <w:rsid w:val="1F6B4184"/>
    <w:rsid w:val="21492860"/>
    <w:rsid w:val="24622187"/>
    <w:rsid w:val="25AE4697"/>
    <w:rsid w:val="273C103C"/>
    <w:rsid w:val="2881416C"/>
    <w:rsid w:val="2AD462DB"/>
    <w:rsid w:val="2CCF285A"/>
    <w:rsid w:val="2D30343B"/>
    <w:rsid w:val="302B50B7"/>
    <w:rsid w:val="306C3CBA"/>
    <w:rsid w:val="307A1680"/>
    <w:rsid w:val="30E04D9B"/>
    <w:rsid w:val="313C3EEC"/>
    <w:rsid w:val="31A467A0"/>
    <w:rsid w:val="326E6078"/>
    <w:rsid w:val="32A10034"/>
    <w:rsid w:val="33372C8E"/>
    <w:rsid w:val="33AD1A8F"/>
    <w:rsid w:val="36145A4C"/>
    <w:rsid w:val="36452BCC"/>
    <w:rsid w:val="3719208C"/>
    <w:rsid w:val="371F1F31"/>
    <w:rsid w:val="382D529A"/>
    <w:rsid w:val="3A057A23"/>
    <w:rsid w:val="3ABF7DB8"/>
    <w:rsid w:val="3D894EAB"/>
    <w:rsid w:val="3E753237"/>
    <w:rsid w:val="3ED33717"/>
    <w:rsid w:val="3FD32214"/>
    <w:rsid w:val="4016644B"/>
    <w:rsid w:val="404C45FE"/>
    <w:rsid w:val="4496250A"/>
    <w:rsid w:val="45EB52C6"/>
    <w:rsid w:val="462F7055"/>
    <w:rsid w:val="48033807"/>
    <w:rsid w:val="4B0059E6"/>
    <w:rsid w:val="4CF80053"/>
    <w:rsid w:val="4D011DA1"/>
    <w:rsid w:val="4D1B5457"/>
    <w:rsid w:val="4D5937A3"/>
    <w:rsid w:val="4DA31726"/>
    <w:rsid w:val="4E0D7F2E"/>
    <w:rsid w:val="4F40507F"/>
    <w:rsid w:val="506B7908"/>
    <w:rsid w:val="50AA6D5E"/>
    <w:rsid w:val="50C3652F"/>
    <w:rsid w:val="535C5BED"/>
    <w:rsid w:val="53F259E7"/>
    <w:rsid w:val="548F625D"/>
    <w:rsid w:val="559A2086"/>
    <w:rsid w:val="563448E0"/>
    <w:rsid w:val="56BF5AB0"/>
    <w:rsid w:val="590B4EB3"/>
    <w:rsid w:val="59CF65DB"/>
    <w:rsid w:val="59DF673A"/>
    <w:rsid w:val="5A054BA3"/>
    <w:rsid w:val="5A610897"/>
    <w:rsid w:val="5E702997"/>
    <w:rsid w:val="614A56B9"/>
    <w:rsid w:val="62AC286D"/>
    <w:rsid w:val="63EE228A"/>
    <w:rsid w:val="66D00FE5"/>
    <w:rsid w:val="67F96943"/>
    <w:rsid w:val="68472ADB"/>
    <w:rsid w:val="68E71DB2"/>
    <w:rsid w:val="69C04ABB"/>
    <w:rsid w:val="6A532CDB"/>
    <w:rsid w:val="6A5D0A1D"/>
    <w:rsid w:val="6ACE4D37"/>
    <w:rsid w:val="6D2D0DCA"/>
    <w:rsid w:val="6DED41C2"/>
    <w:rsid w:val="714B3673"/>
    <w:rsid w:val="7166298A"/>
    <w:rsid w:val="7396760B"/>
    <w:rsid w:val="73A5138D"/>
    <w:rsid w:val="74966354"/>
    <w:rsid w:val="754A6E15"/>
    <w:rsid w:val="77667C2A"/>
    <w:rsid w:val="79127AA6"/>
    <w:rsid w:val="79925D05"/>
    <w:rsid w:val="7A260FB7"/>
    <w:rsid w:val="7A2D60A7"/>
    <w:rsid w:val="7B216513"/>
    <w:rsid w:val="7BBD7E78"/>
    <w:rsid w:val="7D6D7178"/>
    <w:rsid w:val="7F175FC0"/>
    <w:rsid w:val="7F96302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464</Words>
  <Characters>574</Characters>
  <Lines>3</Lines>
  <Paragraphs>1</Paragraphs>
  <TotalTime>6</TotalTime>
  <ScaleCrop>false</ScaleCrop>
  <LinksUpToDate>false</LinksUpToDate>
  <CharactersWithSpaces>574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2025-11-06T11:01:02Z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168D25DB2DE249A6975D33BEBF3CEA5C</vt:lpwstr>
  </property>
</Properties>
</file>