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楷体" w:hAnsi="楷体" w:eastAsia="楷体"/>
          <w:b/>
          <w:sz w:val="36"/>
          <w:szCs w:val="36"/>
        </w:rPr>
      </w:pPr>
      <w:r>
        <w:rPr>
          <w:rFonts w:hint="eastAsia" w:ascii="楷体" w:hAnsi="楷体" w:eastAsia="楷体"/>
          <w:b/>
          <w:sz w:val="36"/>
          <w:szCs w:val="36"/>
        </w:rPr>
        <w:t>关于调整“苏银理财恒源</w:t>
      </w:r>
      <w:r>
        <w:rPr>
          <w:rFonts w:hint="eastAsia" w:ascii="楷体" w:hAnsi="楷体" w:eastAsia="楷体"/>
          <w:b/>
          <w:sz w:val="36"/>
          <w:szCs w:val="36"/>
          <w:lang w:val="en-US" w:eastAsia="zh-CN"/>
        </w:rPr>
        <w:t>季开放14号</w:t>
      </w:r>
      <w:r>
        <w:rPr>
          <w:rFonts w:hint="eastAsia" w:ascii="楷体" w:hAnsi="楷体" w:eastAsia="楷体"/>
          <w:b/>
          <w:sz w:val="36"/>
          <w:szCs w:val="36"/>
        </w:rPr>
        <w:t xml:space="preserve">” </w:t>
      </w:r>
    </w:p>
    <w:p>
      <w:pPr>
        <w:jc w:val="center"/>
        <w:outlineLvl w:val="0"/>
        <w:rPr>
          <w:rFonts w:hint="eastAsia" w:ascii="楷体" w:hAnsi="楷体" w:eastAsia="楷体"/>
          <w:b/>
          <w:kern w:val="0"/>
          <w:sz w:val="36"/>
          <w:szCs w:val="36"/>
        </w:rPr>
      </w:pPr>
      <w:r>
        <w:rPr>
          <w:rFonts w:hint="eastAsia" w:ascii="楷体" w:hAnsi="楷体" w:eastAsia="楷体"/>
          <w:b/>
          <w:sz w:val="36"/>
          <w:szCs w:val="36"/>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rPr>
          <w:rFonts w:hint="eastAsia" w:ascii="楷体" w:hAnsi="楷体" w:eastAsia="楷体" w:cs="Times New Roman"/>
          <w:sz w:val="28"/>
          <w:szCs w:val="28"/>
          <w:lang w:val="en-US" w:eastAsia="zh-CN"/>
        </w:rPr>
      </w:pPr>
      <w:r>
        <w:rPr>
          <w:rFonts w:hint="eastAsia"/>
          <w:lang w:val="en-US" w:eastAsia="zh-CN"/>
        </w:rPr>
        <w:t xml:space="preserve">    </w:t>
      </w:r>
      <w:r>
        <w:rPr>
          <w:rFonts w:hint="eastAsia" w:ascii="楷体" w:hAnsi="楷体" w:eastAsia="楷体" w:cs="Times New Roman"/>
          <w:sz w:val="28"/>
          <w:szCs w:val="28"/>
          <w:lang w:val="en-US" w:eastAsia="zh-CN"/>
        </w:rPr>
        <w:t xml:space="preserve"> 管理人拟对“苏银理财恒源季开放14号”理财产品部分要素进行调整，具体如下：</w:t>
      </w:r>
    </w:p>
    <w:p>
      <w:pPr>
        <w:pStyle w:val="2"/>
        <w:numPr>
          <w:ilvl w:val="0"/>
          <w:numId w:val="0"/>
        </w:numPr>
        <w:ind w:leftChars="200"/>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一、销售起点/追加金额调整</w:t>
      </w:r>
    </w:p>
    <w:tbl>
      <w:tblPr>
        <w:tblStyle w:val="14"/>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936"/>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936"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销售起点/追加金额</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p>
        </w:tc>
        <w:tc>
          <w:tcPr>
            <w:tcW w:w="2864"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销售起点/追加金额</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Times New Roman"/>
                <w:kern w:val="0"/>
                <w:sz w:val="24"/>
                <w:szCs w:val="24"/>
                <w:lang w:val="en-US" w:eastAsia="zh-CN" w:bidi="ar-SA"/>
              </w:rPr>
            </w:pPr>
            <w:r>
              <w:rPr>
                <w:rFonts w:hint="eastAsia" w:ascii="楷体" w:hAnsi="楷体" w:eastAsia="楷体" w:cs="楷体"/>
                <w:i w:val="0"/>
                <w:color w:val="000000"/>
                <w:kern w:val="0"/>
                <w:sz w:val="24"/>
                <w:szCs w:val="24"/>
                <w:u w:val="none"/>
                <w:lang w:val="en-US" w:eastAsia="zh-CN" w:bidi="ar"/>
              </w:rPr>
              <w:t>苏银理财恒源季开放14号D</w:t>
            </w:r>
          </w:p>
        </w:tc>
        <w:tc>
          <w:tcPr>
            <w:tcW w:w="1195" w:type="dxa"/>
            <w:noWrap w:val="0"/>
            <w:vAlign w:val="center"/>
          </w:tcPr>
          <w:p>
            <w:pPr>
              <w:keepNext w:val="0"/>
              <w:keepLines w:val="0"/>
              <w:widowControl/>
              <w:suppressLineNumbers w:val="0"/>
              <w:jc w:val="center"/>
              <w:textAlignment w:val="center"/>
              <w:rPr>
                <w:rFonts w:hint="default" w:ascii="楷体" w:hAnsi="楷体" w:eastAsia="楷体" w:cs="Times New Roman"/>
                <w:kern w:val="0"/>
                <w:sz w:val="28"/>
                <w:szCs w:val="28"/>
                <w:lang w:val="en-US" w:eastAsia="zh-CN" w:bidi="ar-SA"/>
              </w:rPr>
            </w:pPr>
            <w:r>
              <w:rPr>
                <w:rFonts w:hint="eastAsia" w:ascii="楷体" w:hAnsi="楷体" w:eastAsia="楷体" w:cs="楷体"/>
                <w:i w:val="0"/>
                <w:iCs w:val="0"/>
                <w:color w:val="000000"/>
                <w:kern w:val="0"/>
                <w:sz w:val="24"/>
                <w:szCs w:val="24"/>
                <w:u w:val="none"/>
                <w:lang w:val="en-US" w:eastAsia="zh-CN" w:bidi="ar"/>
              </w:rPr>
              <w:t>J02957</w:t>
            </w:r>
          </w:p>
        </w:tc>
        <w:tc>
          <w:tcPr>
            <w:tcW w:w="2936"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楷体" w:hAnsi="楷体" w:eastAsia="楷体" w:cs="Times New Roman"/>
                <w:kern w:val="0"/>
                <w:sz w:val="24"/>
                <w:szCs w:val="24"/>
                <w:lang w:val="en-US" w:eastAsia="zh-CN" w:bidi="ar-SA"/>
              </w:rPr>
            </w:pPr>
            <w:r>
              <w:rPr>
                <w:rFonts w:hint="eastAsia" w:ascii="楷体" w:hAnsi="楷体" w:eastAsia="楷体" w:cs="宋体"/>
                <w:spacing w:val="-2"/>
                <w:sz w:val="21"/>
                <w:szCs w:val="21"/>
                <w:highlight w:val="none"/>
              </w:rPr>
              <w:t>个人投资者认购起点50万元，追加金额为1万元的整数倍；机构投资者认购起点5000万元，追加金额为1万元的整数倍。</w:t>
            </w:r>
          </w:p>
        </w:tc>
        <w:tc>
          <w:tcPr>
            <w:tcW w:w="2864"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楷体" w:hAnsi="楷体" w:eastAsia="楷体" w:cs="Times New Roman"/>
                <w:kern w:val="0"/>
                <w:sz w:val="24"/>
                <w:szCs w:val="24"/>
                <w:lang w:val="en-US" w:eastAsia="zh-CN" w:bidi="ar-SA"/>
              </w:rPr>
            </w:pPr>
            <w:r>
              <w:rPr>
                <w:rFonts w:hint="eastAsia" w:ascii="楷体" w:hAnsi="楷体" w:eastAsia="楷体" w:cs="宋体"/>
                <w:spacing w:val="-2"/>
                <w:sz w:val="21"/>
                <w:szCs w:val="21"/>
                <w:highlight w:val="none"/>
              </w:rPr>
              <w:t>个人投资者认购起点50万元，追加金额为1万元的整数倍；机构投资者认购起点</w:t>
            </w:r>
            <w:r>
              <w:rPr>
                <w:rFonts w:hint="eastAsia" w:ascii="楷体" w:hAnsi="楷体" w:eastAsia="楷体" w:cs="宋体"/>
                <w:spacing w:val="-2"/>
                <w:sz w:val="21"/>
                <w:szCs w:val="21"/>
                <w:highlight w:val="none"/>
                <w:lang w:val="en-US" w:eastAsia="zh-CN"/>
              </w:rPr>
              <w:t>3</w:t>
            </w:r>
            <w:r>
              <w:rPr>
                <w:rFonts w:hint="eastAsia" w:ascii="楷体" w:hAnsi="楷体" w:eastAsia="楷体" w:cs="宋体"/>
                <w:spacing w:val="-2"/>
                <w:sz w:val="21"/>
                <w:szCs w:val="21"/>
                <w:highlight w:val="none"/>
              </w:rPr>
              <w:t>000万元，追加金额为1万元的整数倍。</w:t>
            </w:r>
          </w:p>
        </w:tc>
      </w:tr>
    </w:tbl>
    <w:p>
      <w:pPr>
        <w:pStyle w:val="2"/>
        <w:numPr>
          <w:ilvl w:val="0"/>
          <w:numId w:val="1"/>
        </w:numPr>
        <w:ind w:firstLine="562" w:firstLineChars="200"/>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说明书费用调整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vertAlign w:val="baseline"/>
                <w:lang w:val="en-US" w:eastAsia="zh-CN"/>
              </w:rPr>
              <w:t>说明书固定管理费</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p>
        </w:tc>
        <w:tc>
          <w:tcPr>
            <w:tcW w:w="3027"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vertAlign w:val="baseline"/>
                <w:lang w:val="en-US" w:eastAsia="zh-CN"/>
              </w:rPr>
              <w:t>说明书固定管理费</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Times New Roman"/>
                <w:kern w:val="2"/>
                <w:sz w:val="32"/>
                <w:szCs w:val="32"/>
                <w:lang w:val="en-US" w:eastAsia="zh-CN" w:bidi="ar-SA"/>
              </w:rPr>
            </w:pPr>
            <w:r>
              <w:rPr>
                <w:rFonts w:hint="eastAsia" w:ascii="楷体" w:hAnsi="楷体" w:eastAsia="楷体" w:cs="楷体"/>
                <w:i w:val="0"/>
                <w:color w:val="000000"/>
                <w:kern w:val="0"/>
                <w:sz w:val="24"/>
                <w:szCs w:val="24"/>
                <w:u w:val="none"/>
                <w:lang w:val="en-US" w:eastAsia="zh-CN" w:bidi="ar"/>
              </w:rPr>
              <w:t>苏银理财恒源季开放14号W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32"/>
                <w:szCs w:val="32"/>
                <w:u w:val="none"/>
                <w:lang w:val="en-US" w:eastAsia="zh-CN" w:bidi="ar"/>
              </w:rPr>
            </w:pPr>
            <w:r>
              <w:rPr>
                <w:rFonts w:hint="eastAsia" w:ascii="楷体" w:hAnsi="楷体" w:eastAsia="楷体" w:cs="楷体"/>
                <w:i w:val="0"/>
                <w:iCs w:val="0"/>
                <w:color w:val="000000"/>
                <w:kern w:val="0"/>
                <w:sz w:val="24"/>
                <w:szCs w:val="24"/>
                <w:u w:val="none"/>
                <w:lang w:val="en-US" w:eastAsia="zh-CN" w:bidi="ar"/>
              </w:rPr>
              <w:t>J03156</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0.90%/年</w:t>
            </w:r>
          </w:p>
        </w:tc>
      </w:tr>
    </w:tbl>
    <w:p>
      <w:pPr>
        <w:pStyle w:val="2"/>
        <w:numPr>
          <w:ilvl w:val="0"/>
          <w:numId w:val="1"/>
        </w:numPr>
        <w:ind w:firstLine="562" w:firstLineChars="200"/>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Times New Roman"/>
                <w:kern w:val="2"/>
                <w:sz w:val="32"/>
                <w:szCs w:val="32"/>
                <w:lang w:val="en-US" w:eastAsia="zh-CN" w:bidi="ar-SA"/>
              </w:rPr>
            </w:pPr>
            <w:r>
              <w:rPr>
                <w:rFonts w:hint="eastAsia" w:ascii="楷体" w:hAnsi="楷体" w:eastAsia="楷体" w:cs="楷体"/>
                <w:i w:val="0"/>
                <w:color w:val="000000"/>
                <w:kern w:val="0"/>
                <w:sz w:val="24"/>
                <w:szCs w:val="24"/>
                <w:u w:val="none"/>
                <w:lang w:val="en-US" w:eastAsia="zh-CN" w:bidi="ar"/>
              </w:rPr>
              <w:t>苏银理财恒源季开放14号W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32"/>
                <w:szCs w:val="32"/>
                <w:u w:val="none"/>
                <w:lang w:val="en-US" w:eastAsia="zh-CN" w:bidi="ar"/>
              </w:rPr>
            </w:pPr>
            <w:r>
              <w:rPr>
                <w:rFonts w:hint="eastAsia" w:ascii="楷体" w:hAnsi="楷体" w:eastAsia="楷体" w:cs="楷体"/>
                <w:i w:val="0"/>
                <w:iCs w:val="0"/>
                <w:color w:val="000000"/>
                <w:kern w:val="0"/>
                <w:sz w:val="24"/>
                <w:szCs w:val="24"/>
                <w:u w:val="none"/>
                <w:lang w:val="en-US" w:eastAsia="zh-CN" w:bidi="ar"/>
              </w:rPr>
              <w:t>J03156</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bl>
    <w:p>
      <w:pPr>
        <w:spacing w:line="520" w:lineRule="exact"/>
        <w:ind w:firstLine="565" w:firstLineChars="202"/>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2"/>
        <w:ind w:firstLine="560" w:firstLineChars="200"/>
        <w:rPr>
          <w:rFonts w:hint="default"/>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5</w:t>
      </w:r>
      <w:r>
        <w:rPr>
          <w:rFonts w:hint="eastAsia" w:ascii="楷体" w:hAnsi="楷体" w:eastAsia="楷体"/>
          <w:sz w:val="28"/>
          <w:szCs w:val="28"/>
        </w:rPr>
        <w:t>年</w:t>
      </w:r>
      <w:r>
        <w:rPr>
          <w:rFonts w:hint="eastAsia" w:ascii="楷体" w:hAnsi="楷体" w:eastAsia="楷体"/>
          <w:sz w:val="28"/>
          <w:szCs w:val="28"/>
          <w:lang w:val="en-US" w:eastAsia="zh-CN"/>
        </w:rPr>
        <w:t>11</w:t>
      </w:r>
      <w:r>
        <w:rPr>
          <w:rFonts w:hint="eastAsia" w:ascii="楷体" w:hAnsi="楷体" w:eastAsia="楷体"/>
          <w:sz w:val="28"/>
          <w:szCs w:val="28"/>
        </w:rPr>
        <w:t>月</w:t>
      </w:r>
      <w:r>
        <w:rPr>
          <w:rFonts w:hint="eastAsia" w:ascii="楷体" w:hAnsi="楷体" w:eastAsia="楷体"/>
          <w:sz w:val="28"/>
          <w:szCs w:val="28"/>
          <w:lang w:val="en-US" w:eastAsia="zh-CN"/>
        </w:rPr>
        <w:t>27日起生效，投资者如不接受本次公告所述调整，可于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5</w:t>
      </w:r>
      <w:r>
        <w:rPr>
          <w:rFonts w:hint="eastAsia" w:ascii="楷体" w:hAnsi="楷体" w:eastAsia="楷体"/>
          <w:sz w:val="28"/>
          <w:szCs w:val="28"/>
        </w:rPr>
        <w:t>年</w:t>
      </w:r>
      <w:r>
        <w:rPr>
          <w:rFonts w:hint="eastAsia" w:ascii="楷体" w:hAnsi="楷体" w:eastAsia="楷体"/>
          <w:sz w:val="28"/>
          <w:szCs w:val="28"/>
          <w:lang w:val="en-US" w:eastAsia="zh-CN"/>
        </w:rPr>
        <w:t>11</w:t>
      </w:r>
      <w:r>
        <w:rPr>
          <w:rFonts w:hint="eastAsia" w:ascii="楷体" w:hAnsi="楷体" w:eastAsia="楷体"/>
          <w:sz w:val="28"/>
          <w:szCs w:val="28"/>
        </w:rPr>
        <w:t>月</w:t>
      </w:r>
      <w:r>
        <w:rPr>
          <w:rFonts w:hint="eastAsia" w:ascii="楷体" w:hAnsi="楷体" w:eastAsia="楷体"/>
          <w:sz w:val="28"/>
          <w:szCs w:val="28"/>
          <w:lang w:val="en-US" w:eastAsia="zh-CN"/>
        </w:rPr>
        <w:t>18日至</w:t>
      </w:r>
      <w:r>
        <w:rPr>
          <w:rFonts w:hint="eastAsia" w:ascii="楷体" w:hAnsi="楷体" w:eastAsia="楷体"/>
          <w:sz w:val="28"/>
          <w:szCs w:val="28"/>
        </w:rPr>
        <w:t>202</w:t>
      </w:r>
      <w:r>
        <w:rPr>
          <w:rFonts w:hint="eastAsia" w:ascii="楷体" w:hAnsi="楷体" w:eastAsia="楷体"/>
          <w:sz w:val="28"/>
          <w:szCs w:val="28"/>
          <w:lang w:val="en-US" w:eastAsia="zh-CN"/>
        </w:rPr>
        <w:t>5</w:t>
      </w:r>
      <w:r>
        <w:rPr>
          <w:rFonts w:hint="eastAsia" w:ascii="楷体" w:hAnsi="楷体" w:eastAsia="楷体"/>
          <w:sz w:val="28"/>
          <w:szCs w:val="28"/>
        </w:rPr>
        <w:t>年</w:t>
      </w:r>
      <w:r>
        <w:rPr>
          <w:rFonts w:hint="eastAsia" w:ascii="楷体" w:hAnsi="楷体" w:eastAsia="楷体"/>
          <w:sz w:val="28"/>
          <w:szCs w:val="28"/>
          <w:lang w:val="en-US" w:eastAsia="zh-CN"/>
        </w:rPr>
        <w:t>11</w:t>
      </w:r>
      <w:r>
        <w:rPr>
          <w:rFonts w:hint="eastAsia" w:ascii="楷体" w:hAnsi="楷体" w:eastAsia="楷体"/>
          <w:sz w:val="28"/>
          <w:szCs w:val="28"/>
        </w:rPr>
        <w:t>月</w:t>
      </w:r>
      <w:r>
        <w:rPr>
          <w:rFonts w:hint="eastAsia" w:ascii="楷体" w:hAnsi="楷体" w:eastAsia="楷体"/>
          <w:sz w:val="28"/>
          <w:szCs w:val="28"/>
          <w:lang w:val="en-US" w:eastAsia="zh-CN"/>
        </w:rPr>
        <w:t>26日产品开放期内提出赎回申请；若投资者逾期未提出赎回申请，则视为接受上述调整事项。</w:t>
      </w:r>
    </w:p>
    <w:p>
      <w:pPr>
        <w:spacing w:line="520" w:lineRule="exact"/>
        <w:ind w:firstLine="565" w:firstLineChars="202"/>
        <w:rPr>
          <w:rFonts w:hint="eastAsia" w:ascii="楷体" w:hAnsi="楷体" w:eastAsia="楷体"/>
          <w:sz w:val="28"/>
          <w:szCs w:val="28"/>
          <w:lang w:val="en-US" w:eastAsia="zh-CN"/>
        </w:rPr>
      </w:pPr>
      <w:r>
        <w:rPr>
          <w:rFonts w:hint="eastAsia" w:ascii="楷体" w:hAnsi="楷体" w:eastAsia="楷体"/>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5</w:t>
      </w:r>
      <w:r>
        <w:rPr>
          <w:rFonts w:hint="eastAsia" w:ascii="楷体" w:hAnsi="楷体" w:eastAsia="楷体"/>
          <w:kern w:val="0"/>
          <w:sz w:val="28"/>
          <w:szCs w:val="28"/>
        </w:rPr>
        <w:t>年</w:t>
      </w:r>
      <w:r>
        <w:rPr>
          <w:rFonts w:hint="eastAsia" w:ascii="楷体" w:hAnsi="楷体" w:eastAsia="楷体"/>
          <w:kern w:val="0"/>
          <w:sz w:val="28"/>
          <w:szCs w:val="28"/>
          <w:lang w:val="en-US" w:eastAsia="zh-CN"/>
        </w:rPr>
        <w:t>11</w:t>
      </w:r>
      <w:r>
        <w:rPr>
          <w:rFonts w:hint="eastAsia" w:ascii="楷体" w:hAnsi="楷体" w:eastAsia="楷体"/>
          <w:kern w:val="0"/>
          <w:sz w:val="28"/>
          <w:szCs w:val="28"/>
        </w:rPr>
        <w:t>月</w:t>
      </w:r>
      <w:r>
        <w:rPr>
          <w:rFonts w:hint="eastAsia" w:ascii="楷体" w:hAnsi="楷体" w:eastAsia="楷体"/>
          <w:kern w:val="0"/>
          <w:sz w:val="28"/>
          <w:szCs w:val="28"/>
          <w:lang w:val="en-US" w:eastAsia="zh-CN"/>
        </w:rPr>
        <w:t>10</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p>
      <w:pPr>
        <w:spacing w:line="520" w:lineRule="exact"/>
      </w:pP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EADA4"/>
    <w:multiLevelType w:val="singleLevel"/>
    <w:tmpl w:val="001EADA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0563"/>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B0078"/>
    <w:rsid w:val="000B0690"/>
    <w:rsid w:val="000B0E85"/>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2E7D"/>
    <w:rsid w:val="000E34F3"/>
    <w:rsid w:val="000E4205"/>
    <w:rsid w:val="000E7579"/>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7395"/>
    <w:rsid w:val="00140B25"/>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E95"/>
    <w:rsid w:val="001E623C"/>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636"/>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B6C82"/>
    <w:rsid w:val="002C021F"/>
    <w:rsid w:val="002C2056"/>
    <w:rsid w:val="002C222A"/>
    <w:rsid w:val="002C23F7"/>
    <w:rsid w:val="002C3367"/>
    <w:rsid w:val="002C7117"/>
    <w:rsid w:val="002C7CB4"/>
    <w:rsid w:val="002D0706"/>
    <w:rsid w:val="002D29FD"/>
    <w:rsid w:val="002D2AEC"/>
    <w:rsid w:val="002D2C1F"/>
    <w:rsid w:val="002D4FE3"/>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4ED6"/>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48E3"/>
    <w:rsid w:val="003A539D"/>
    <w:rsid w:val="003A5FA1"/>
    <w:rsid w:val="003A7623"/>
    <w:rsid w:val="003B1725"/>
    <w:rsid w:val="003B242C"/>
    <w:rsid w:val="003B324C"/>
    <w:rsid w:val="003B4D64"/>
    <w:rsid w:val="003B5DFB"/>
    <w:rsid w:val="003B6220"/>
    <w:rsid w:val="003B76DC"/>
    <w:rsid w:val="003C1E93"/>
    <w:rsid w:val="003C2161"/>
    <w:rsid w:val="003C596C"/>
    <w:rsid w:val="003C6765"/>
    <w:rsid w:val="003D03AF"/>
    <w:rsid w:val="003D07CA"/>
    <w:rsid w:val="003D1FE5"/>
    <w:rsid w:val="003D3735"/>
    <w:rsid w:val="003D5148"/>
    <w:rsid w:val="003D5CDF"/>
    <w:rsid w:val="003D6081"/>
    <w:rsid w:val="003D6720"/>
    <w:rsid w:val="003D6B3F"/>
    <w:rsid w:val="003D7951"/>
    <w:rsid w:val="003E030F"/>
    <w:rsid w:val="003E1EFB"/>
    <w:rsid w:val="003E2B26"/>
    <w:rsid w:val="003E4299"/>
    <w:rsid w:val="003E6D92"/>
    <w:rsid w:val="003E70B9"/>
    <w:rsid w:val="003E7812"/>
    <w:rsid w:val="003F2136"/>
    <w:rsid w:val="003F277A"/>
    <w:rsid w:val="003F29B2"/>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2D31"/>
    <w:rsid w:val="00426041"/>
    <w:rsid w:val="00426CBC"/>
    <w:rsid w:val="00427CC0"/>
    <w:rsid w:val="0043002F"/>
    <w:rsid w:val="004303B3"/>
    <w:rsid w:val="00430927"/>
    <w:rsid w:val="0043308A"/>
    <w:rsid w:val="00433113"/>
    <w:rsid w:val="00433DCD"/>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3AC9"/>
    <w:rsid w:val="004F3E60"/>
    <w:rsid w:val="004F40EF"/>
    <w:rsid w:val="004F46F0"/>
    <w:rsid w:val="004F4F78"/>
    <w:rsid w:val="004F55EC"/>
    <w:rsid w:val="005013A2"/>
    <w:rsid w:val="005017DC"/>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66CB"/>
    <w:rsid w:val="00527FBD"/>
    <w:rsid w:val="0053069A"/>
    <w:rsid w:val="005308B0"/>
    <w:rsid w:val="00533B31"/>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3D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1CC2"/>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38D"/>
    <w:rsid w:val="00671A6A"/>
    <w:rsid w:val="00673F0C"/>
    <w:rsid w:val="00676A38"/>
    <w:rsid w:val="00680098"/>
    <w:rsid w:val="00680957"/>
    <w:rsid w:val="00682CFC"/>
    <w:rsid w:val="00683B13"/>
    <w:rsid w:val="00686216"/>
    <w:rsid w:val="00686325"/>
    <w:rsid w:val="00686EC4"/>
    <w:rsid w:val="00687063"/>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5097"/>
    <w:rsid w:val="006B5516"/>
    <w:rsid w:val="006B5D36"/>
    <w:rsid w:val="006B5E7D"/>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79D7"/>
    <w:rsid w:val="00700A73"/>
    <w:rsid w:val="007015E9"/>
    <w:rsid w:val="00702A10"/>
    <w:rsid w:val="0070484E"/>
    <w:rsid w:val="00704ED8"/>
    <w:rsid w:val="0070601C"/>
    <w:rsid w:val="00706787"/>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0D68"/>
    <w:rsid w:val="0080100B"/>
    <w:rsid w:val="00801BBC"/>
    <w:rsid w:val="00802684"/>
    <w:rsid w:val="00804380"/>
    <w:rsid w:val="00804490"/>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A85"/>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0F95"/>
    <w:rsid w:val="009A24C3"/>
    <w:rsid w:val="009A44CB"/>
    <w:rsid w:val="009A454D"/>
    <w:rsid w:val="009A472B"/>
    <w:rsid w:val="009A5C14"/>
    <w:rsid w:val="009A7763"/>
    <w:rsid w:val="009A7A9E"/>
    <w:rsid w:val="009A7B95"/>
    <w:rsid w:val="009B05E8"/>
    <w:rsid w:val="009B05F1"/>
    <w:rsid w:val="009B126C"/>
    <w:rsid w:val="009B1A69"/>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0DCA"/>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2F73"/>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B7AD4"/>
    <w:rsid w:val="00AC12F5"/>
    <w:rsid w:val="00AC1749"/>
    <w:rsid w:val="00AC2A9D"/>
    <w:rsid w:val="00AC56CE"/>
    <w:rsid w:val="00AC59CF"/>
    <w:rsid w:val="00AC604F"/>
    <w:rsid w:val="00AC71B2"/>
    <w:rsid w:val="00AD2F15"/>
    <w:rsid w:val="00AD34FD"/>
    <w:rsid w:val="00AD4224"/>
    <w:rsid w:val="00AD4E75"/>
    <w:rsid w:val="00AD6DC7"/>
    <w:rsid w:val="00AD74C8"/>
    <w:rsid w:val="00AD757C"/>
    <w:rsid w:val="00AE3181"/>
    <w:rsid w:val="00AE357C"/>
    <w:rsid w:val="00AE6795"/>
    <w:rsid w:val="00AE6ED6"/>
    <w:rsid w:val="00AE7EDF"/>
    <w:rsid w:val="00AF07F9"/>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48F"/>
    <w:rsid w:val="00B35AF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CF7"/>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3E9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1BA5"/>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524"/>
    <w:rsid w:val="00CA3E46"/>
    <w:rsid w:val="00CA5475"/>
    <w:rsid w:val="00CA6FE3"/>
    <w:rsid w:val="00CB0E61"/>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21B"/>
    <w:rsid w:val="00DB6664"/>
    <w:rsid w:val="00DB73FB"/>
    <w:rsid w:val="00DB7CD4"/>
    <w:rsid w:val="00DC0DBE"/>
    <w:rsid w:val="00DC429D"/>
    <w:rsid w:val="00DC6E17"/>
    <w:rsid w:val="00DC6F8F"/>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9E8"/>
    <w:rsid w:val="00E46BFA"/>
    <w:rsid w:val="00E47194"/>
    <w:rsid w:val="00E477BE"/>
    <w:rsid w:val="00E47B62"/>
    <w:rsid w:val="00E51517"/>
    <w:rsid w:val="00E51F74"/>
    <w:rsid w:val="00E5403A"/>
    <w:rsid w:val="00E54533"/>
    <w:rsid w:val="00E55868"/>
    <w:rsid w:val="00E60C14"/>
    <w:rsid w:val="00E61815"/>
    <w:rsid w:val="00E63C50"/>
    <w:rsid w:val="00E653EB"/>
    <w:rsid w:val="00E65D86"/>
    <w:rsid w:val="00E66967"/>
    <w:rsid w:val="00E67E1C"/>
    <w:rsid w:val="00E70E2A"/>
    <w:rsid w:val="00E72C1A"/>
    <w:rsid w:val="00E745C5"/>
    <w:rsid w:val="00E74BBE"/>
    <w:rsid w:val="00E75451"/>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1502"/>
    <w:rsid w:val="00F53604"/>
    <w:rsid w:val="00F54A39"/>
    <w:rsid w:val="00F54B2D"/>
    <w:rsid w:val="00F54BBB"/>
    <w:rsid w:val="00F55625"/>
    <w:rsid w:val="00F55FAE"/>
    <w:rsid w:val="00F60171"/>
    <w:rsid w:val="00F6086F"/>
    <w:rsid w:val="00F613FA"/>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5FCF"/>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45565FB"/>
    <w:rsid w:val="05C24554"/>
    <w:rsid w:val="07731EDA"/>
    <w:rsid w:val="0784404A"/>
    <w:rsid w:val="099D0555"/>
    <w:rsid w:val="0AA66B07"/>
    <w:rsid w:val="0BA66D62"/>
    <w:rsid w:val="0C2E7DE5"/>
    <w:rsid w:val="0DAF4280"/>
    <w:rsid w:val="0EF5090E"/>
    <w:rsid w:val="103A4EAF"/>
    <w:rsid w:val="10707444"/>
    <w:rsid w:val="10E55ACF"/>
    <w:rsid w:val="138D6E1B"/>
    <w:rsid w:val="14030913"/>
    <w:rsid w:val="154C69AD"/>
    <w:rsid w:val="15CF287D"/>
    <w:rsid w:val="15D4371D"/>
    <w:rsid w:val="16116348"/>
    <w:rsid w:val="163816F1"/>
    <w:rsid w:val="18106956"/>
    <w:rsid w:val="18F736C2"/>
    <w:rsid w:val="192B0D84"/>
    <w:rsid w:val="1A4E3859"/>
    <w:rsid w:val="1AC763E3"/>
    <w:rsid w:val="1B664B02"/>
    <w:rsid w:val="1CD77CF3"/>
    <w:rsid w:val="1CE34318"/>
    <w:rsid w:val="1E370F59"/>
    <w:rsid w:val="1E996BC3"/>
    <w:rsid w:val="1F7946A4"/>
    <w:rsid w:val="1FE92EB2"/>
    <w:rsid w:val="224E07D6"/>
    <w:rsid w:val="22E01A46"/>
    <w:rsid w:val="232A2A0B"/>
    <w:rsid w:val="28183520"/>
    <w:rsid w:val="286E0463"/>
    <w:rsid w:val="290918A1"/>
    <w:rsid w:val="2A3744FF"/>
    <w:rsid w:val="2BC035CC"/>
    <w:rsid w:val="2EB879E5"/>
    <w:rsid w:val="2FD10999"/>
    <w:rsid w:val="31996E41"/>
    <w:rsid w:val="33346C59"/>
    <w:rsid w:val="34622BDD"/>
    <w:rsid w:val="34CF2843"/>
    <w:rsid w:val="34D26D17"/>
    <w:rsid w:val="35C75C95"/>
    <w:rsid w:val="36A2045D"/>
    <w:rsid w:val="39AE79B4"/>
    <w:rsid w:val="3ABF7DB8"/>
    <w:rsid w:val="3AFF4350"/>
    <w:rsid w:val="3E5206FE"/>
    <w:rsid w:val="45EB52C6"/>
    <w:rsid w:val="46185D1F"/>
    <w:rsid w:val="482B6C56"/>
    <w:rsid w:val="49AE47A5"/>
    <w:rsid w:val="4ACF7A75"/>
    <w:rsid w:val="4B43165C"/>
    <w:rsid w:val="4C675C96"/>
    <w:rsid w:val="4DE250C0"/>
    <w:rsid w:val="4F40507F"/>
    <w:rsid w:val="4F9C5574"/>
    <w:rsid w:val="4FF91545"/>
    <w:rsid w:val="52020F9B"/>
    <w:rsid w:val="527D382B"/>
    <w:rsid w:val="528638F8"/>
    <w:rsid w:val="53E1377B"/>
    <w:rsid w:val="550E6F94"/>
    <w:rsid w:val="55170CA3"/>
    <w:rsid w:val="554B526C"/>
    <w:rsid w:val="57023ADC"/>
    <w:rsid w:val="582F3CF4"/>
    <w:rsid w:val="58693E4E"/>
    <w:rsid w:val="58A27E95"/>
    <w:rsid w:val="5AED3DD9"/>
    <w:rsid w:val="5BAF5CDC"/>
    <w:rsid w:val="5D0143FE"/>
    <w:rsid w:val="621D43C7"/>
    <w:rsid w:val="629B7BA9"/>
    <w:rsid w:val="639B4440"/>
    <w:rsid w:val="63CD2A95"/>
    <w:rsid w:val="65F20436"/>
    <w:rsid w:val="66B44B18"/>
    <w:rsid w:val="69C04ABB"/>
    <w:rsid w:val="6AC25DB6"/>
    <w:rsid w:val="6ACE4D37"/>
    <w:rsid w:val="6D533A1E"/>
    <w:rsid w:val="6E584699"/>
    <w:rsid w:val="7396760B"/>
    <w:rsid w:val="73B82F5E"/>
    <w:rsid w:val="74966354"/>
    <w:rsid w:val="76004113"/>
    <w:rsid w:val="76442DB5"/>
    <w:rsid w:val="76816DDF"/>
    <w:rsid w:val="77667C2A"/>
    <w:rsid w:val="7B0A6242"/>
    <w:rsid w:val="7B4D1255"/>
    <w:rsid w:val="7C315F08"/>
    <w:rsid w:val="7EA118FD"/>
    <w:rsid w:val="7F685EF5"/>
    <w:rsid w:val="7FBA20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57</Words>
  <Characters>327</Characters>
  <Lines>2</Lines>
  <Paragraphs>1</Paragraphs>
  <TotalTime>2</TotalTime>
  <ScaleCrop>false</ScaleCrop>
  <LinksUpToDate>false</LinksUpToDate>
  <CharactersWithSpaces>383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2021-11-25T11:20:00Z</dcterms:created>
  <dc:creator>JSYH</dc:creator>
  <cp:lastModifiedBy>lhy</cp:lastModifiedBy>
  <cp:lastPrinted>2022-06-20T06:27:00Z</cp:lastPrinted>
  <dcterms:modified xsi:type="dcterms:W3CDTF">2025-11-03T06:53:03Z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FEFF6690338642709ABD32B38697B2CA</vt:lpwstr>
  </property>
</Properties>
</file>