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after="0"/>
        <w:jc w:val="center"/>
        <w:rPr>
          <w:rFonts w:ascii="宋体" w:hAnsi="宋体" w:eastAsia="宋体" w:cs="宋体"/>
          <w:sz w:val="24"/>
          <w:szCs w:val="24"/>
        </w:rPr>
      </w:pPr>
      <w:r>
        <w:rPr>
          <w:rFonts w:hint="eastAsia" w:ascii="宋体" w:hAnsi="宋体" w:eastAsia="宋体" w:cs="宋体"/>
          <w:b/>
          <w:bCs/>
          <w:sz w:val="36"/>
        </w:rPr>
        <w:t>关于代销</w:t>
      </w:r>
      <w:r>
        <w:rPr>
          <w:rFonts w:hint="eastAsia" w:ascii="宋体" w:hAnsi="宋体" w:eastAsia="宋体" w:cs="宋体"/>
          <w:b/>
          <w:bCs/>
          <w:sz w:val="36"/>
          <w:lang w:eastAsia="zh-CN"/>
        </w:rPr>
        <w:t>苏银理财恒源鑫泰固收增强最短持有270天</w:t>
      </w:r>
      <w:r>
        <w:rPr>
          <w:rFonts w:hint="eastAsia" w:ascii="宋体" w:hAnsi="宋体" w:eastAsia="宋体" w:cs="宋体"/>
          <w:b/>
          <w:bCs/>
          <w:sz w:val="36"/>
        </w:rPr>
        <w:t>的通知</w:t>
      </w:r>
    </w:p>
    <w:p>
      <w:pPr>
        <w:adjustRightInd/>
        <w:snapToGrid/>
        <w:spacing w:after="0" w:line="555" w:lineRule="atLeast"/>
        <w:rPr>
          <w:rFonts w:ascii="微软雅黑" w:hAnsi="微软雅黑" w:cs="宋体"/>
          <w:color w:val="000000"/>
          <w:sz w:val="30"/>
          <w:szCs w:val="30"/>
        </w:rPr>
      </w:pPr>
      <w:r>
        <w:rPr>
          <w:rFonts w:hint="eastAsia" w:ascii="仿宋_GB2312" w:hAnsi="微软雅黑" w:eastAsia="仿宋_GB2312" w:cs="宋体"/>
          <w:color w:val="000000"/>
          <w:sz w:val="32"/>
          <w:szCs w:val="32"/>
        </w:rPr>
        <w:t>各分(支)行、总行营业部：</w:t>
      </w:r>
    </w:p>
    <w:p>
      <w:pPr>
        <w:adjustRightInd/>
        <w:snapToGrid/>
        <w:spacing w:after="0"/>
        <w:ind w:firstLine="63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我行代销</w:t>
      </w:r>
      <w:r>
        <w:rPr>
          <w:rFonts w:hint="eastAsia" w:ascii="仿宋_GB2312" w:hAnsi="微软雅黑" w:eastAsia="仿宋_GB2312" w:cs="宋体"/>
          <w:color w:val="FF0000"/>
          <w:sz w:val="32"/>
          <w:szCs w:val="32"/>
        </w:rPr>
        <w:t>苏银理财有限责任公司</w:t>
      </w:r>
      <w:r>
        <w:rPr>
          <w:rFonts w:hint="eastAsia" w:ascii="仿宋_GB2312" w:hAnsi="微软雅黑" w:eastAsia="仿宋_GB2312" w:cs="宋体"/>
          <w:color w:val="000000"/>
          <w:sz w:val="32"/>
          <w:szCs w:val="32"/>
        </w:rPr>
        <w:t>发行的</w:t>
      </w:r>
      <w:r>
        <w:rPr>
          <w:rFonts w:hint="eastAsia" w:ascii="仿宋_GB2312" w:hAnsi="微软雅黑" w:eastAsia="仿宋_GB2312" w:cs="宋体"/>
          <w:color w:val="000000"/>
          <w:sz w:val="32"/>
          <w:szCs w:val="32"/>
          <w:lang w:eastAsia="zh-CN"/>
        </w:rPr>
        <w:t>苏银理财恒源鑫泰固收增强最短持有270天</w:t>
      </w:r>
      <w:r>
        <w:rPr>
          <w:rFonts w:hint="eastAsia" w:ascii="仿宋_GB2312" w:hAnsi="微软雅黑" w:eastAsia="仿宋_GB2312" w:cs="宋体"/>
          <w:color w:val="000000"/>
          <w:sz w:val="32"/>
          <w:szCs w:val="32"/>
        </w:rPr>
        <w:t>将</w:t>
      </w:r>
      <w:r>
        <w:rPr>
          <w:rFonts w:hint="eastAsia" w:ascii="仿宋_GB2312" w:hAnsi="微软雅黑" w:eastAsia="仿宋_GB2312" w:cs="宋体"/>
          <w:sz w:val="32"/>
          <w:szCs w:val="32"/>
        </w:rPr>
        <w:t>于</w:t>
      </w:r>
      <w:r>
        <w:rPr>
          <w:rFonts w:hint="eastAsia" w:ascii="仿宋_GB2312" w:hAnsi="微软雅黑" w:eastAsia="仿宋_GB2312" w:cs="宋体"/>
          <w:color w:val="FF0000"/>
          <w:sz w:val="32"/>
          <w:szCs w:val="32"/>
        </w:rPr>
        <w:t>2025年</w:t>
      </w:r>
      <w:r>
        <w:rPr>
          <w:rFonts w:hint="eastAsia" w:ascii="仿宋_GB2312" w:hAnsi="微软雅黑" w:eastAsia="仿宋_GB2312" w:cs="宋体"/>
          <w:color w:val="FF0000"/>
          <w:sz w:val="32"/>
          <w:szCs w:val="32"/>
          <w:lang w:val="en-US" w:eastAsia="zh-CN"/>
        </w:rPr>
        <w:t>9</w:t>
      </w:r>
      <w:r>
        <w:rPr>
          <w:rFonts w:hint="eastAsia" w:ascii="仿宋_GB2312" w:hAnsi="微软雅黑" w:eastAsia="仿宋_GB2312" w:cs="宋体"/>
          <w:color w:val="FF0000"/>
          <w:sz w:val="32"/>
          <w:szCs w:val="32"/>
        </w:rPr>
        <w:t>月</w:t>
      </w:r>
      <w:r>
        <w:rPr>
          <w:rFonts w:hint="eastAsia" w:ascii="仿宋_GB2312" w:hAnsi="微软雅黑" w:eastAsia="仿宋_GB2312" w:cs="宋体"/>
          <w:color w:val="FF0000"/>
          <w:sz w:val="32"/>
          <w:szCs w:val="32"/>
          <w:lang w:val="en-US" w:eastAsia="zh-CN"/>
        </w:rPr>
        <w:t>12</w:t>
      </w:r>
      <w:r>
        <w:rPr>
          <w:rFonts w:hint="eastAsia" w:ascii="仿宋_GB2312" w:hAnsi="微软雅黑" w:eastAsia="仿宋_GB2312" w:cs="宋体"/>
          <w:color w:val="FF0000"/>
          <w:sz w:val="32"/>
          <w:szCs w:val="32"/>
        </w:rPr>
        <w:t>日起</w:t>
      </w:r>
      <w:r>
        <w:rPr>
          <w:rFonts w:hint="eastAsia" w:ascii="仿宋_GB2312" w:hAnsi="微软雅黑" w:eastAsia="仿宋_GB2312" w:cs="宋体"/>
          <w:sz w:val="32"/>
          <w:szCs w:val="32"/>
        </w:rPr>
        <w:t>销售，</w:t>
      </w:r>
      <w:r>
        <w:rPr>
          <w:rFonts w:hint="eastAsia" w:ascii="仿宋_GB2312" w:hAnsi="微软雅黑" w:eastAsia="仿宋_GB2312" w:cs="宋体"/>
          <w:color w:val="000000"/>
          <w:sz w:val="32"/>
          <w:szCs w:val="32"/>
        </w:rPr>
        <w:t>目前在</w:t>
      </w:r>
      <w:r>
        <w:rPr>
          <w:rFonts w:hint="eastAsia" w:ascii="仿宋_GB2312" w:hAnsi="微软雅黑" w:eastAsia="仿宋_GB2312" w:cs="宋体"/>
          <w:color w:val="FF0000"/>
          <w:sz w:val="32"/>
          <w:szCs w:val="32"/>
        </w:rPr>
        <w:t>柜面</w:t>
      </w:r>
      <w:r>
        <w:rPr>
          <w:rFonts w:hint="eastAsia" w:ascii="仿宋_GB2312" w:hAnsi="微软雅黑" w:eastAsia="仿宋_GB2312" w:cs="宋体"/>
          <w:color w:val="000000"/>
          <w:sz w:val="32"/>
          <w:szCs w:val="32"/>
        </w:rPr>
        <w:t>和</w:t>
      </w:r>
      <w:r>
        <w:rPr>
          <w:rFonts w:hint="eastAsia" w:ascii="仿宋_GB2312" w:hAnsi="微软雅黑" w:eastAsia="仿宋_GB2312" w:cs="宋体"/>
          <w:color w:val="FF0000"/>
          <w:sz w:val="32"/>
          <w:szCs w:val="32"/>
        </w:rPr>
        <w:t>手机银行</w:t>
      </w:r>
      <w:r>
        <w:rPr>
          <w:rFonts w:hint="eastAsia" w:ascii="仿宋_GB2312" w:hAnsi="微软雅黑" w:eastAsia="仿宋_GB2312" w:cs="宋体"/>
          <w:color w:val="000000" w:themeColor="text1"/>
          <w:sz w:val="32"/>
          <w:szCs w:val="32"/>
        </w:rPr>
        <w:t>等</w:t>
      </w:r>
      <w:r>
        <w:rPr>
          <w:rFonts w:hint="eastAsia" w:ascii="仿宋_GB2312" w:hAnsi="微软雅黑" w:eastAsia="仿宋_GB2312" w:cs="宋体"/>
          <w:color w:val="000000"/>
          <w:sz w:val="32"/>
          <w:szCs w:val="32"/>
        </w:rPr>
        <w:t>销售。销售服务费率为0.</w:t>
      </w:r>
      <w:r>
        <w:rPr>
          <w:rFonts w:hint="eastAsia" w:ascii="仿宋_GB2312" w:hAnsi="微软雅黑" w:eastAsia="仿宋_GB2312" w:cs="宋体"/>
          <w:color w:val="000000"/>
          <w:sz w:val="32"/>
          <w:szCs w:val="32"/>
          <w:lang w:val="en-US" w:eastAsia="zh-CN"/>
        </w:rPr>
        <w:t>3</w:t>
      </w:r>
      <w:r>
        <w:rPr>
          <w:rFonts w:hint="eastAsia" w:ascii="仿宋_GB2312" w:hAnsi="微软雅黑" w:eastAsia="仿宋_GB2312" w:cs="宋体"/>
          <w:color w:val="000000"/>
          <w:sz w:val="32"/>
          <w:szCs w:val="32"/>
        </w:rPr>
        <w:t>%/年。部分要素如下：</w:t>
      </w:r>
    </w:p>
    <w:tbl>
      <w:tblPr>
        <w:tblStyle w:val="7"/>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36"/>
        <w:gridCol w:w="6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1"/>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产品名称</w:t>
            </w:r>
          </w:p>
        </w:tc>
        <w:tc>
          <w:tcPr>
            <w:tcW w:w="6756" w:type="dxa"/>
            <w:noWrap w:val="0"/>
            <w:vAlign w:val="center"/>
          </w:tcPr>
          <w:p>
            <w:pPr>
              <w:pStyle w:val="15"/>
              <w:kinsoku w:val="0"/>
              <w:overflowPunct w:val="0"/>
              <w:spacing w:before="13"/>
              <w:ind w:left="59" w:right="77"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w:t>
            </w:r>
            <w:r>
              <w:rPr>
                <w:rFonts w:hint="eastAsia" w:ascii="楷体" w:hAnsi="楷体" w:eastAsia="楷体" w:cs="宋体"/>
                <w:spacing w:val="-2"/>
                <w:sz w:val="21"/>
                <w:szCs w:val="21"/>
                <w:lang w:eastAsia="zh-CN"/>
              </w:rPr>
              <w:t>恒源鑫泰固收增强最短持有270天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ind w:left="57"/>
              <w:jc w:val="both"/>
              <w:rPr>
                <w:rFonts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756" w:type="dxa"/>
            <w:noWrap w:val="0"/>
            <w:vAlign w:val="center"/>
          </w:tcPr>
          <w:p>
            <w:pPr>
              <w:pStyle w:val="15"/>
              <w:kinsoku w:val="0"/>
              <w:overflowPunct w:val="0"/>
              <w:spacing w:line="260" w:lineRule="exact"/>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Z7003123000137</w:t>
            </w:r>
          </w:p>
          <w:p>
            <w:pPr>
              <w:pStyle w:val="15"/>
              <w:kinsoku w:val="0"/>
              <w:overflowPunct w:val="0"/>
              <w:spacing w:line="260" w:lineRule="exact"/>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fldChar w:fldCharType="begin"/>
            </w:r>
            <w:r>
              <w:instrText xml:space="preserve"> HYPERLINK "http://www.chinawealth.com.cn/" </w:instrText>
            </w:r>
            <w:r>
              <w:fldChar w:fldCharType="separate"/>
            </w:r>
            <w:r>
              <w:rPr>
                <w:rFonts w:ascii="楷体" w:hAnsi="楷体" w:eastAsia="楷体" w:cs="宋体"/>
                <w:spacing w:val="-2"/>
                <w:sz w:val="21"/>
                <w:szCs w:val="21"/>
              </w:rPr>
              <w:t>www.chinawealth.com.cn</w:t>
            </w:r>
            <w:r>
              <w:rPr>
                <w:rFonts w:ascii="楷体" w:hAnsi="楷体" w:eastAsia="楷体" w:cs="宋体"/>
                <w:spacing w:val="-2"/>
                <w:sz w:val="21"/>
                <w:szCs w:val="21"/>
              </w:rPr>
              <w:fldChar w:fldCharType="end"/>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756" w:type="dxa"/>
            <w:noWrap w:val="0"/>
            <w:vAlign w:val="center"/>
          </w:tcPr>
          <w:p>
            <w:pPr>
              <w:pStyle w:val="15"/>
              <w:kinsoku w:val="0"/>
              <w:overflowPunct w:val="0"/>
              <w:spacing w:before="12"/>
              <w:ind w:left="59" w:right="77"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rPr>
              <w:t>A份额：苏银理财恒源鑫泰（固收增强）最短持有270天A/J0</w:t>
            </w:r>
            <w:r>
              <w:rPr>
                <w:rFonts w:hint="eastAsia" w:ascii="楷体" w:hAnsi="楷体" w:eastAsia="楷体" w:cs="宋体"/>
                <w:spacing w:val="-2"/>
                <w:sz w:val="21"/>
                <w:szCs w:val="21"/>
                <w:lang w:val="en-US" w:eastAsia="zh-CN"/>
              </w:rPr>
              <w:t>2654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4"/>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756" w:type="dxa"/>
            <w:noWrap w:val="0"/>
            <w:vAlign w:val="center"/>
          </w:tcPr>
          <w:p>
            <w:pPr>
              <w:pStyle w:val="15"/>
              <w:kinsoku w:val="0"/>
              <w:overflowPunct w:val="0"/>
              <w:spacing w:before="12"/>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756" w:type="dxa"/>
            <w:noWrap w:val="0"/>
            <w:vAlign w:val="center"/>
          </w:tcPr>
          <w:p>
            <w:pPr>
              <w:pStyle w:val="15"/>
              <w:kinsoku w:val="0"/>
              <w:overflowPunct w:val="0"/>
              <w:spacing w:before="12"/>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756" w:type="dxa"/>
            <w:noWrap w:val="0"/>
            <w:vAlign w:val="center"/>
          </w:tcPr>
          <w:p>
            <w:pPr>
              <w:pStyle w:val="15"/>
              <w:kinsoku w:val="0"/>
              <w:overflowPunct w:val="0"/>
              <w:spacing w:before="13"/>
              <w:ind w:left="59" w:right="77" w:rightChars="35"/>
              <w:jc w:val="both"/>
              <w:rPr>
                <w:rFonts w:ascii="楷体" w:hAnsi="楷体" w:eastAsia="楷体" w:cs="宋体"/>
                <w:b/>
                <w:spacing w:val="-2"/>
                <w:sz w:val="21"/>
                <w:szCs w:val="21"/>
                <w:u w:val="single"/>
              </w:rPr>
            </w:pPr>
            <w:r>
              <w:rPr>
                <w:rFonts w:hint="eastAsia" w:ascii="楷体" w:hAnsi="楷体" w:eastAsia="楷体" w:cs="宋体"/>
                <w:b/>
                <w:spacing w:val="-2"/>
                <w:sz w:val="21"/>
                <w:szCs w:val="21"/>
                <w:u w:val="single"/>
              </w:rPr>
              <w:t>1、★★</w:t>
            </w:r>
            <w:r>
              <w:rPr>
                <w:rFonts w:hint="eastAsia" w:ascii="楷体" w:hAnsi="楷体" w:eastAsia="楷体" w:cs="宋体"/>
                <w:b/>
                <w:spacing w:val="-2"/>
                <w:sz w:val="21"/>
                <w:szCs w:val="21"/>
                <w:u w:val="single"/>
                <w:lang w:val="en-US" w:eastAsia="zh-CN"/>
              </w:rPr>
              <w:t>二</w:t>
            </w:r>
            <w:r>
              <w:rPr>
                <w:rFonts w:hint="eastAsia" w:ascii="楷体" w:hAnsi="楷体" w:eastAsia="楷体" w:cs="宋体"/>
                <w:b/>
                <w:spacing w:val="-2"/>
                <w:sz w:val="21"/>
                <w:szCs w:val="21"/>
                <w:u w:val="single"/>
              </w:rPr>
              <w:t>级，</w:t>
            </w:r>
            <w:r>
              <w:rPr>
                <w:rFonts w:hint="eastAsia" w:ascii="楷体" w:hAnsi="楷体" w:eastAsia="楷体" w:cs="宋体"/>
                <w:spacing w:val="-2"/>
                <w:sz w:val="21"/>
                <w:szCs w:val="21"/>
              </w:rPr>
              <w:t>本评级为苏银理财有限责任公司内部评级，由苏银理财根据理财产品的投资组合、同类产品过往业绩和风险状况等因素，对理财产品进行评级，仅供客户参考。</w:t>
            </w:r>
          </w:p>
          <w:p>
            <w:pPr>
              <w:pStyle w:val="15"/>
              <w:kinsoku w:val="0"/>
              <w:overflowPunct w:val="0"/>
              <w:spacing w:before="13"/>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2、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pStyle w:val="15"/>
              <w:kinsoku w:val="0"/>
              <w:overflowPunct w:val="0"/>
              <w:spacing w:before="13"/>
              <w:ind w:left="59" w:right="77" w:rightChars="35"/>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3、如本产品</w:t>
            </w:r>
            <w:r>
              <w:rPr>
                <w:rFonts w:ascii="楷体" w:hAnsi="楷体" w:eastAsia="楷体" w:cs="宋体"/>
                <w:b/>
                <w:spacing w:val="-2"/>
                <w:sz w:val="21"/>
                <w:szCs w:val="21"/>
                <w:u w:val="single"/>
              </w:rPr>
              <w:t>通过代理销售机构渠道销售，理财产品评级</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p>
          <w:p>
            <w:pPr>
              <w:rPr>
                <w:rFonts w:hint="eastAsia" w:ascii="楷体" w:hAnsi="楷体" w:eastAsia="楷体" w:cs="宋体"/>
                <w:b/>
                <w:spacing w:val="-2"/>
                <w:sz w:val="21"/>
                <w:szCs w:val="21"/>
                <w:u w:val="single"/>
              </w:rPr>
            </w:pPr>
            <w:r>
              <w:rPr>
                <w:rFonts w:hint="eastAsia" w:ascii="仿宋" w:hAnsi="仿宋" w:eastAsia="仿宋"/>
                <w:b/>
                <w:color w:val="FF0000"/>
                <w:lang w:val="en-US" w:eastAsia="zh-CN"/>
              </w:rPr>
              <w:t>4、</w:t>
            </w:r>
            <w:r>
              <w:rPr>
                <w:rFonts w:hint="eastAsia" w:ascii="仿宋" w:hAnsi="仿宋" w:eastAsia="仿宋"/>
                <w:b/>
                <w:color w:val="FF0000"/>
              </w:rPr>
              <w:t>紫金农商银行对本产品的风险评级为中</w:t>
            </w:r>
            <w:r>
              <w:rPr>
                <w:rFonts w:hint="eastAsia" w:ascii="仿宋" w:hAnsi="仿宋" w:eastAsia="仿宋"/>
                <w:b/>
                <w:color w:val="FF0000"/>
                <w:lang w:eastAsia="zh-CN"/>
              </w:rPr>
              <w:t>等</w:t>
            </w:r>
            <w:bookmarkStart w:id="0" w:name="_GoBack"/>
            <w:bookmarkEnd w:id="0"/>
            <w:r>
              <w:rPr>
                <w:rFonts w:hint="eastAsia" w:ascii="仿宋" w:hAnsi="仿宋" w:eastAsia="仿宋"/>
                <w:b/>
                <w:color w:val="FF0000"/>
              </w:rPr>
              <w:t>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ascii="楷体" w:hAnsi="楷体" w:eastAsia="楷体" w:cs="宋体"/>
                <w:b/>
                <w:spacing w:val="-2"/>
                <w:sz w:val="21"/>
                <w:szCs w:val="21"/>
              </w:rPr>
            </w:pPr>
            <w:r>
              <w:rPr>
                <w:rFonts w:hint="eastAsia" w:ascii="楷体" w:hAnsi="楷体" w:eastAsia="楷体" w:cs="宋体"/>
                <w:b/>
                <w:spacing w:val="-2"/>
                <w:sz w:val="21"/>
                <w:szCs w:val="21"/>
              </w:rPr>
              <w:t>收益类型</w:t>
            </w:r>
          </w:p>
        </w:tc>
        <w:tc>
          <w:tcPr>
            <w:tcW w:w="6756" w:type="dxa"/>
            <w:noWrap w:val="0"/>
            <w:vAlign w:val="center"/>
          </w:tcPr>
          <w:p>
            <w:pPr>
              <w:pStyle w:val="15"/>
              <w:kinsoku w:val="0"/>
              <w:overflowPunct w:val="0"/>
              <w:spacing w:before="12"/>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产品类型</w:t>
            </w:r>
          </w:p>
        </w:tc>
        <w:tc>
          <w:tcPr>
            <w:tcW w:w="6756" w:type="dxa"/>
            <w:noWrap w:val="0"/>
            <w:vAlign w:val="center"/>
          </w:tcPr>
          <w:p>
            <w:pPr>
              <w:pStyle w:val="15"/>
              <w:kinsoku w:val="0"/>
              <w:overflowPunct w:val="0"/>
              <w:spacing w:before="12"/>
              <w:ind w:left="59" w:right="77" w:rightChars="35"/>
              <w:jc w:val="both"/>
              <w:rPr>
                <w:rFonts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3"/>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份额最低持有期</w:t>
            </w:r>
          </w:p>
        </w:tc>
        <w:tc>
          <w:tcPr>
            <w:tcW w:w="6756" w:type="dxa"/>
            <w:noWrap w:val="0"/>
            <w:vAlign w:val="center"/>
          </w:tcPr>
          <w:p>
            <w:pPr>
              <w:pStyle w:val="15"/>
              <w:kinsoku w:val="0"/>
              <w:overflowPunct w:val="0"/>
              <w:spacing w:before="12"/>
              <w:ind w:left="59" w:right="77" w:rightChars="35"/>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lang w:val="en-US" w:eastAsia="zh-CN"/>
              </w:rPr>
              <w:t>270</w:t>
            </w:r>
            <w:r>
              <w:rPr>
                <w:rFonts w:hint="eastAsia" w:ascii="楷体" w:hAnsi="楷体" w:eastAsia="楷体" w:cs="宋体"/>
                <w:b/>
                <w:spacing w:val="-2"/>
                <w:sz w:val="21"/>
                <w:szCs w:val="21"/>
                <w:u w:val="single"/>
              </w:rPr>
              <w:t>天，</w:t>
            </w:r>
            <w:r>
              <w:rPr>
                <w:rFonts w:ascii="楷体" w:hAnsi="楷体" w:eastAsia="楷体" w:cs="宋体"/>
                <w:b/>
                <w:spacing w:val="-2"/>
                <w:sz w:val="21"/>
                <w:szCs w:val="21"/>
                <w:u w:val="single"/>
              </w:rPr>
              <w:t>理财份额自确认日起最低持有</w:t>
            </w:r>
            <w:r>
              <w:rPr>
                <w:rFonts w:hint="eastAsia" w:ascii="楷体" w:hAnsi="楷体" w:eastAsia="楷体" w:cs="宋体"/>
                <w:b/>
                <w:spacing w:val="-2"/>
                <w:sz w:val="21"/>
                <w:szCs w:val="21"/>
                <w:u w:val="single"/>
                <w:lang w:val="en-US" w:eastAsia="zh-CN"/>
              </w:rPr>
              <w:t>270</w:t>
            </w:r>
            <w:r>
              <w:rPr>
                <w:rFonts w:hint="eastAsia" w:ascii="楷体" w:hAnsi="楷体" w:eastAsia="楷体" w:cs="宋体"/>
                <w:b/>
                <w:spacing w:val="-2"/>
                <w:sz w:val="21"/>
                <w:szCs w:val="21"/>
                <w:u w:val="single"/>
              </w:rPr>
              <w:t>天</w:t>
            </w:r>
            <w:r>
              <w:rPr>
                <w:rFonts w:ascii="楷体" w:hAnsi="楷体" w:eastAsia="楷体" w:cs="宋体"/>
                <w:b/>
                <w:spacing w:val="-2"/>
                <w:sz w:val="21"/>
                <w:szCs w:val="21"/>
                <w:u w:val="single"/>
              </w:rPr>
              <w:t>，</w:t>
            </w:r>
            <w:r>
              <w:rPr>
                <w:rFonts w:hint="eastAsia" w:ascii="楷体" w:hAnsi="楷体" w:eastAsia="楷体" w:cs="宋体"/>
                <w:b/>
                <w:spacing w:val="-2"/>
                <w:sz w:val="21"/>
                <w:szCs w:val="21"/>
                <w:u w:val="single"/>
                <w:lang w:val="en-US" w:eastAsia="zh-CN"/>
              </w:rPr>
              <w:t>270</w:t>
            </w:r>
            <w:r>
              <w:rPr>
                <w:rFonts w:hint="eastAsia" w:ascii="楷体" w:hAnsi="楷体" w:eastAsia="楷体" w:cs="宋体"/>
                <w:b/>
                <w:spacing w:val="-2"/>
                <w:sz w:val="21"/>
                <w:szCs w:val="21"/>
                <w:u w:val="single"/>
              </w:rPr>
              <w:t>天</w:t>
            </w:r>
            <w:r>
              <w:rPr>
                <w:rFonts w:ascii="楷体" w:hAnsi="楷体" w:eastAsia="楷体" w:cs="宋体"/>
                <w:b/>
                <w:spacing w:val="-2"/>
                <w:sz w:val="21"/>
                <w:szCs w:val="21"/>
                <w:u w:val="single"/>
              </w:rPr>
              <w:t>以内不可提出赎回申请。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销售对象</w:t>
            </w:r>
          </w:p>
        </w:tc>
        <w:tc>
          <w:tcPr>
            <w:tcW w:w="6756" w:type="dxa"/>
            <w:noWrap w:val="0"/>
            <w:vAlign w:val="center"/>
          </w:tcPr>
          <w:p>
            <w:pPr>
              <w:pStyle w:val="15"/>
              <w:kinsoku w:val="0"/>
              <w:overflowPunct w:val="0"/>
              <w:spacing w:before="12"/>
              <w:ind w:left="59" w:right="77"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面向个人和机构投资者销售</w:t>
            </w:r>
            <w:r>
              <w:rPr>
                <w:rFonts w:hint="eastAsia" w:ascii="楷体" w:hAnsi="楷体" w:eastAsia="楷体" w:cs="宋体"/>
                <w:spacing w:val="-2"/>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4"/>
              <w:ind w:left="55"/>
              <w:jc w:val="both"/>
              <w:rPr>
                <w:rFonts w:ascii="楷体" w:hAnsi="楷体" w:eastAsia="楷体" w:cs="宋体"/>
                <w:b/>
                <w:spacing w:val="-2"/>
                <w:sz w:val="21"/>
                <w:szCs w:val="21"/>
              </w:rPr>
            </w:pPr>
            <w:r>
              <w:rPr>
                <w:rFonts w:hint="eastAsia" w:ascii="楷体" w:hAnsi="楷体" w:eastAsia="楷体" w:cs="宋体"/>
                <w:b/>
                <w:spacing w:val="-2"/>
                <w:sz w:val="21"/>
                <w:szCs w:val="21"/>
              </w:rPr>
              <w:t>募集币种</w:t>
            </w:r>
          </w:p>
        </w:tc>
        <w:tc>
          <w:tcPr>
            <w:tcW w:w="6756" w:type="dxa"/>
            <w:noWrap w:val="0"/>
            <w:vAlign w:val="center"/>
          </w:tcPr>
          <w:p>
            <w:pPr>
              <w:pStyle w:val="15"/>
              <w:kinsoku w:val="0"/>
              <w:overflowPunct w:val="0"/>
              <w:spacing w:before="14"/>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3"/>
              <w:ind w:left="55"/>
              <w:jc w:val="both"/>
              <w:rPr>
                <w:rFonts w:ascii="楷体" w:hAnsi="楷体" w:eastAsia="楷体" w:cs="宋体"/>
                <w:spacing w:val="-2"/>
                <w:sz w:val="21"/>
                <w:szCs w:val="21"/>
              </w:rPr>
            </w:pPr>
            <w:r>
              <w:rPr>
                <w:rFonts w:hint="eastAsia" w:ascii="楷体" w:hAnsi="楷体" w:eastAsia="楷体" w:cs="宋体"/>
                <w:b/>
                <w:spacing w:val="-2"/>
                <w:sz w:val="21"/>
                <w:szCs w:val="21"/>
              </w:rPr>
              <w:t>计划发行规模</w:t>
            </w:r>
          </w:p>
        </w:tc>
        <w:tc>
          <w:tcPr>
            <w:tcW w:w="6756" w:type="dxa"/>
            <w:noWrap w:val="0"/>
            <w:vAlign w:val="center"/>
          </w:tcPr>
          <w:p>
            <w:pPr>
              <w:pStyle w:val="15"/>
              <w:kinsoku w:val="0"/>
              <w:overflowPunct w:val="0"/>
              <w:spacing w:before="12"/>
              <w:ind w:left="59" w:right="77"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初始募集规模</w:t>
            </w:r>
            <w:r>
              <w:rPr>
                <w:rFonts w:hint="eastAsia" w:ascii="楷体" w:hAnsi="楷体" w:eastAsia="楷体" w:cs="宋体"/>
                <w:spacing w:val="-2"/>
                <w:sz w:val="21"/>
                <w:szCs w:val="21"/>
                <w:lang w:val="en-US" w:eastAsia="zh-CN"/>
              </w:rPr>
              <w:t>1亿</w:t>
            </w:r>
            <w:r>
              <w:rPr>
                <w:rFonts w:hint="eastAsia" w:ascii="楷体" w:hAnsi="楷体" w:eastAsia="楷体" w:cs="宋体"/>
                <w:spacing w:val="-2"/>
                <w:sz w:val="21"/>
                <w:szCs w:val="21"/>
              </w:rPr>
              <w:t>元。</w:t>
            </w:r>
          </w:p>
          <w:p>
            <w:pPr>
              <w:pStyle w:val="15"/>
              <w:kinsoku w:val="0"/>
              <w:overflowPunct w:val="0"/>
              <w:spacing w:before="12"/>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产品存续期内，产品募集规模上限1</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亿元。苏银理财有权根据投资运作情况，调整产品规模。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ascii="楷体" w:hAnsi="楷体" w:eastAsia="楷体" w:cs="宋体"/>
                <w:b/>
                <w:spacing w:val="-2"/>
                <w:sz w:val="21"/>
                <w:szCs w:val="21"/>
              </w:rPr>
            </w:pPr>
            <w:r>
              <w:rPr>
                <w:rFonts w:hint="eastAsia" w:ascii="楷体" w:hAnsi="楷体" w:eastAsia="楷体" w:cs="宋体"/>
                <w:b/>
                <w:spacing w:val="-2"/>
                <w:sz w:val="21"/>
                <w:szCs w:val="21"/>
              </w:rPr>
              <w:t>购买起点</w:t>
            </w:r>
            <w:r>
              <w:rPr>
                <w:rFonts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756" w:type="dxa"/>
            <w:noWrap w:val="0"/>
            <w:vAlign w:val="center"/>
          </w:tcPr>
          <w:p>
            <w:pPr>
              <w:ind w:left="59" w:right="77" w:rightChars="35"/>
              <w:rPr>
                <w:rFonts w:hint="eastAsia" w:ascii="楷体" w:hAnsi="楷体" w:eastAsia="楷体" w:cs="宋体"/>
                <w:spacing w:val="-2"/>
                <w:szCs w:val="21"/>
                <w:lang w:eastAsia="zh-CN"/>
              </w:rPr>
            </w:pPr>
            <w:r>
              <w:rPr>
                <w:rFonts w:hint="eastAsia" w:ascii="楷体" w:hAnsi="楷体" w:eastAsia="楷体" w:cs="宋体"/>
                <w:spacing w:val="-2"/>
                <w:szCs w:val="21"/>
              </w:rPr>
              <w:t>A份额购买起点金额为</w:t>
            </w:r>
            <w:r>
              <w:rPr>
                <w:rFonts w:ascii="楷体" w:hAnsi="楷体" w:eastAsia="楷体" w:cs="宋体"/>
                <w:spacing w:val="-2"/>
                <w:szCs w:val="21"/>
              </w:rPr>
              <w:t>1</w:t>
            </w:r>
            <w:r>
              <w:rPr>
                <w:rFonts w:hint="eastAsia" w:ascii="楷体" w:hAnsi="楷体" w:eastAsia="楷体" w:cs="宋体"/>
                <w:spacing w:val="-2"/>
                <w:szCs w:val="21"/>
              </w:rPr>
              <w:t>元，追加金额为</w:t>
            </w:r>
            <w:r>
              <w:rPr>
                <w:rFonts w:ascii="楷体" w:hAnsi="楷体" w:eastAsia="楷体" w:cs="宋体"/>
                <w:spacing w:val="-2"/>
                <w:szCs w:val="21"/>
              </w:rPr>
              <w:t>1</w:t>
            </w:r>
            <w:r>
              <w:rPr>
                <w:rFonts w:hint="eastAsia" w:ascii="楷体" w:hAnsi="楷体" w:eastAsia="楷体" w:cs="宋体"/>
                <w:spacing w:val="-2"/>
                <w:szCs w:val="21"/>
              </w:rPr>
              <w:t>元的整数倍</w:t>
            </w:r>
            <w:r>
              <w:rPr>
                <w:rFonts w:hint="eastAsia" w:ascii="楷体" w:hAnsi="楷体" w:eastAsia="楷体" w:cs="宋体"/>
                <w:spacing w:val="-2"/>
                <w:szCs w:val="21"/>
                <w:lang w:eastAsia="zh-CN"/>
              </w:rPr>
              <w:t>。</w:t>
            </w:r>
          </w:p>
          <w:p>
            <w:pPr>
              <w:ind w:left="59" w:right="77" w:rightChars="35"/>
              <w:rPr>
                <w:rFonts w:ascii="楷体" w:hAnsi="楷体" w:eastAsia="楷体" w:cs="宋体"/>
                <w:spacing w:val="-2"/>
                <w:szCs w:val="21"/>
              </w:rPr>
            </w:pPr>
            <w:r>
              <w:rPr>
                <w:rFonts w:hint="eastAsia" w:ascii="楷体" w:hAnsi="楷体" w:eastAsia="楷体" w:cs="宋体"/>
                <w:spacing w:val="-2"/>
                <w:szCs w:val="21"/>
              </w:rPr>
              <w:t>苏银理财有权对上述起点金额和递增金额进行调整，并在调整前进行公告。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份额面值</w:t>
            </w:r>
          </w:p>
        </w:tc>
        <w:tc>
          <w:tcPr>
            <w:tcW w:w="6756" w:type="dxa"/>
            <w:noWrap w:val="0"/>
            <w:vAlign w:val="center"/>
          </w:tcPr>
          <w:p>
            <w:pPr>
              <w:pStyle w:val="15"/>
              <w:kinsoku w:val="0"/>
              <w:overflowPunct w:val="0"/>
              <w:spacing w:before="12"/>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募集期</w:t>
            </w:r>
          </w:p>
        </w:tc>
        <w:tc>
          <w:tcPr>
            <w:tcW w:w="6756" w:type="dxa"/>
            <w:noWrap w:val="0"/>
            <w:vAlign w:val="center"/>
          </w:tcPr>
          <w:p>
            <w:pPr>
              <w:pStyle w:val="15"/>
              <w:kinsoku w:val="0"/>
              <w:overflowPunct w:val="0"/>
              <w:spacing w:before="12"/>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2023年9月11日到2023年9月14日</w:t>
            </w:r>
          </w:p>
          <w:p>
            <w:pPr>
              <w:pStyle w:val="15"/>
              <w:kinsoku w:val="0"/>
              <w:overflowPunct w:val="0"/>
              <w:spacing w:before="12"/>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管理人在法律允许的范围内保留延长或提前终止产品募集期的权利。如有变动，实际产品募集期以管理人公告或各销售机构设置的募集时间为准。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3"/>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认购份额计算</w:t>
            </w:r>
          </w:p>
        </w:tc>
        <w:tc>
          <w:tcPr>
            <w:tcW w:w="6756" w:type="dxa"/>
            <w:noWrap w:val="0"/>
            <w:vAlign w:val="center"/>
          </w:tcPr>
          <w:p>
            <w:pPr>
              <w:pStyle w:val="15"/>
              <w:kinsoku w:val="0"/>
              <w:overflowPunct w:val="0"/>
              <w:spacing w:before="12"/>
              <w:ind w:left="59" w:right="77"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认购份额=认购金额/产品份额面值（1元/份）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产品成立日/份额登记日</w:t>
            </w:r>
          </w:p>
        </w:tc>
        <w:tc>
          <w:tcPr>
            <w:tcW w:w="6756" w:type="dxa"/>
            <w:noWrap w:val="0"/>
            <w:vAlign w:val="center"/>
          </w:tcPr>
          <w:p>
            <w:pPr>
              <w:pStyle w:val="15"/>
              <w:kinsoku w:val="0"/>
              <w:overflowPunct w:val="0"/>
              <w:spacing w:before="12"/>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20</w:t>
            </w:r>
            <w:r>
              <w:rPr>
                <w:rFonts w:ascii="楷体" w:hAnsi="楷体" w:eastAsia="楷体" w:cs="宋体"/>
                <w:spacing w:val="-2"/>
                <w:sz w:val="21"/>
                <w:szCs w:val="21"/>
              </w:rPr>
              <w:t>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9</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15</w:t>
            </w:r>
            <w:r>
              <w:rPr>
                <w:rFonts w:hint="eastAsia" w:ascii="楷体" w:hAnsi="楷体" w:eastAsia="楷体" w:cs="宋体"/>
                <w:spacing w:val="-2"/>
                <w:sz w:val="21"/>
                <w:szCs w:val="21"/>
              </w:rPr>
              <w:t>日</w:t>
            </w:r>
          </w:p>
          <w:p>
            <w:pPr>
              <w:pStyle w:val="15"/>
              <w:kinsoku w:val="0"/>
              <w:overflowPunct w:val="0"/>
              <w:spacing w:before="12"/>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若产品认购份额未达到最低发行总规模3</w:t>
            </w:r>
            <w:r>
              <w:rPr>
                <w:rFonts w:ascii="楷体" w:hAnsi="楷体" w:eastAsia="楷体" w:cs="宋体"/>
                <w:spacing w:val="-2"/>
                <w:sz w:val="21"/>
                <w:szCs w:val="21"/>
              </w:rPr>
              <w:t>000</w:t>
            </w:r>
            <w:r>
              <w:rPr>
                <w:rFonts w:hint="eastAsia" w:ascii="楷体" w:hAnsi="楷体" w:eastAsia="楷体" w:cs="宋体"/>
                <w:spacing w:val="-2"/>
                <w:sz w:val="21"/>
                <w:szCs w:val="21"/>
              </w:rPr>
              <w:t>万元，或新的法律、法规导致本产品无法合法合规运行，或出现其他导致影响产品成立的不可抗力因素，产品管理人有权利但无义务宣布产品不成立，并于产品募集期结束后5个工作日内将投资者认购资金返还至投资者资金账户，募集期及资金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封闭运作期</w:t>
            </w:r>
          </w:p>
        </w:tc>
        <w:tc>
          <w:tcPr>
            <w:tcW w:w="6756" w:type="dxa"/>
            <w:noWrap w:val="0"/>
            <w:vAlign w:val="center"/>
          </w:tcPr>
          <w:p>
            <w:pPr>
              <w:pStyle w:val="15"/>
              <w:kinsoku w:val="0"/>
              <w:overflowPunct w:val="0"/>
              <w:spacing w:before="12"/>
              <w:ind w:left="59" w:right="77"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产品成立后封闭运作</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天（2023年9月15日-2023年9月21日），封闭运作期内不可申购/赎回。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产品终止日</w:t>
            </w:r>
          </w:p>
        </w:tc>
        <w:tc>
          <w:tcPr>
            <w:tcW w:w="6756" w:type="dxa"/>
            <w:noWrap w:val="0"/>
            <w:vAlign w:val="center"/>
          </w:tcPr>
          <w:p>
            <w:pPr>
              <w:pStyle w:val="15"/>
              <w:kinsoku w:val="0"/>
              <w:overflowPunct w:val="0"/>
              <w:spacing w:before="12"/>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20</w:t>
            </w:r>
            <w:r>
              <w:rPr>
                <w:rFonts w:ascii="楷体" w:hAnsi="楷体" w:eastAsia="楷体" w:cs="宋体"/>
                <w:spacing w:val="-2"/>
                <w:sz w:val="21"/>
                <w:szCs w:val="21"/>
              </w:rPr>
              <w:t>3</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12</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rPr>
              <w:t>日。本产品</w:t>
            </w:r>
            <w:r>
              <w:rPr>
                <w:rFonts w:ascii="楷体" w:hAnsi="楷体" w:eastAsia="楷体" w:cs="宋体"/>
                <w:spacing w:val="-2"/>
                <w:sz w:val="21"/>
                <w:szCs w:val="21"/>
              </w:rPr>
              <w:t>存续期</w:t>
            </w:r>
            <w:r>
              <w:rPr>
                <w:rFonts w:hint="eastAsia" w:ascii="楷体" w:hAnsi="楷体" w:eastAsia="楷体" w:cs="宋体"/>
                <w:spacing w:val="-2"/>
                <w:sz w:val="21"/>
                <w:szCs w:val="21"/>
              </w:rPr>
              <w:t>10年</w:t>
            </w:r>
            <w:r>
              <w:rPr>
                <w:rFonts w:ascii="楷体" w:hAnsi="楷体" w:eastAsia="楷体" w:cs="宋体"/>
                <w:spacing w:val="-2"/>
                <w:sz w:val="21"/>
                <w:szCs w:val="21"/>
              </w:rPr>
              <w:t>，但</w:t>
            </w:r>
            <w:r>
              <w:rPr>
                <w:rFonts w:hint="eastAsia" w:ascii="楷体" w:hAnsi="楷体" w:eastAsia="楷体" w:cs="宋体"/>
                <w:spacing w:val="-2"/>
                <w:sz w:val="21"/>
                <w:szCs w:val="21"/>
              </w:rPr>
              <w:t>在符合产品说明书约定的条件下，产品管理人有权提前终止本理财产品，产品到期日受制于提前终止条款。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开放日</w:t>
            </w:r>
          </w:p>
        </w:tc>
        <w:tc>
          <w:tcPr>
            <w:tcW w:w="6756" w:type="dxa"/>
            <w:noWrap w:val="0"/>
            <w:vAlign w:val="top"/>
          </w:tcPr>
          <w:p>
            <w:pPr>
              <w:pStyle w:val="15"/>
              <w:kinsoku w:val="0"/>
              <w:overflowPunct w:val="0"/>
              <w:spacing w:before="12"/>
              <w:ind w:left="59" w:right="77"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本产品封闭运作期结束后，后续每个工作日为开放日。管理人有权根据资产运作情况、节假日安排调整开放日，并在调整前进行公告。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756" w:type="dxa"/>
            <w:noWrap w:val="0"/>
            <w:vAlign w:val="top"/>
          </w:tcPr>
          <w:p>
            <w:pPr>
              <w:pStyle w:val="15"/>
              <w:kinsoku w:val="0"/>
              <w:overflowPunct w:val="0"/>
              <w:spacing w:before="12"/>
              <w:ind w:left="59" w:right="77"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本产品封闭运作期结束后，自20</w:t>
            </w:r>
            <w:r>
              <w:rPr>
                <w:rFonts w:ascii="楷体" w:hAnsi="楷体" w:eastAsia="楷体" w:cs="宋体"/>
                <w:spacing w:val="-2"/>
                <w:sz w:val="21"/>
                <w:szCs w:val="21"/>
              </w:rPr>
              <w:t>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9</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22</w:t>
            </w:r>
            <w:r>
              <w:rPr>
                <w:rFonts w:hint="eastAsia" w:ascii="楷体" w:hAnsi="楷体" w:eastAsia="楷体" w:cs="宋体"/>
                <w:spacing w:val="-2"/>
                <w:sz w:val="21"/>
                <w:szCs w:val="21"/>
              </w:rPr>
              <w:t>日起按工作日开放申购，苏银理财可根据资产运作情况、节假日调整、客户需求调整开放频率，并在调整前通过苏银理财官方网站公告。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工作日</w:t>
            </w:r>
          </w:p>
        </w:tc>
        <w:tc>
          <w:tcPr>
            <w:tcW w:w="6756" w:type="dxa"/>
            <w:noWrap w:val="0"/>
            <w:vAlign w:val="center"/>
          </w:tcPr>
          <w:p>
            <w:pPr>
              <w:pStyle w:val="15"/>
              <w:kinsoku w:val="0"/>
              <w:overflowPunct w:val="0"/>
              <w:spacing w:before="12"/>
              <w:ind w:left="59" w:right="77"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本产品所指工作日为上海证券交易所、深圳证券交易所的正常交易日。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单个客户持有比例上限</w:t>
            </w:r>
          </w:p>
        </w:tc>
        <w:tc>
          <w:tcPr>
            <w:tcW w:w="6756" w:type="dxa"/>
            <w:noWrap w:val="0"/>
            <w:vAlign w:val="center"/>
          </w:tcPr>
          <w:p>
            <w:pPr>
              <w:pStyle w:val="15"/>
              <w:kinsoku w:val="0"/>
              <w:overflowPunct w:val="0"/>
              <w:spacing w:before="12"/>
              <w:ind w:left="59" w:right="77"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产品申购</w:t>
            </w:r>
          </w:p>
        </w:tc>
        <w:tc>
          <w:tcPr>
            <w:tcW w:w="6756" w:type="dxa"/>
            <w:noWrap w:val="0"/>
            <w:vAlign w:val="center"/>
          </w:tcPr>
          <w:p>
            <w:pPr>
              <w:pStyle w:val="15"/>
              <w:kinsoku w:val="0"/>
              <w:overflowPunct w:val="0"/>
              <w:spacing w:before="12"/>
              <w:ind w:left="59" w:right="77"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申购时间为7*24小时，工作日</w:t>
            </w:r>
            <w:r>
              <w:rPr>
                <w:rFonts w:ascii="楷体" w:hAnsi="楷体" w:eastAsia="楷体" w:cs="宋体"/>
                <w:spacing w:val="-2"/>
                <w:sz w:val="21"/>
                <w:szCs w:val="21"/>
              </w:rPr>
              <w:t>1</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0前申购T+</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rPr>
              <w:t>确认，1</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0后的申购为预受理，视同下一工作日申购。申购按受理日当日单位净值确认份额。</w:t>
            </w:r>
            <w:r>
              <w:rPr>
                <w:rFonts w:ascii="楷体" w:hAnsi="楷体" w:eastAsia="楷体" w:cs="宋体"/>
                <w:spacing w:val="-2"/>
                <w:sz w:val="21"/>
                <w:szCs w:val="21"/>
              </w:rPr>
              <w:t>详见</w:t>
            </w:r>
            <w:r>
              <w:rPr>
                <w:rFonts w:hint="eastAsia" w:ascii="楷体" w:hAnsi="楷体" w:eastAsia="楷体" w:cs="宋体"/>
                <w:spacing w:val="-2"/>
                <w:sz w:val="21"/>
                <w:szCs w:val="21"/>
                <w:lang w:eastAsia="zh-CN"/>
              </w:rPr>
              <w:t>产品说明书</w:t>
            </w:r>
            <w:r>
              <w:rPr>
                <w:rFonts w:hint="eastAsia" w:ascii="楷体" w:hAnsi="楷体" w:eastAsia="楷体" w:cs="宋体"/>
                <w:spacing w:val="-2"/>
                <w:sz w:val="21"/>
                <w:szCs w:val="21"/>
              </w:rPr>
              <w:t>“产品申购、赎回”。</w:t>
            </w:r>
            <w:r>
              <w:rPr>
                <w:rFonts w:hint="eastAsia" w:ascii="楷体" w:hAnsi="楷体" w:eastAsia="楷体" w:cs="宋体"/>
                <w:spacing w:val="-2"/>
                <w:sz w:val="21"/>
                <w:szCs w:val="21"/>
                <w:lang w:eastAsia="zh-CN"/>
              </w:rPr>
              <w:t>（具体以销售机构设置为准）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w:t>
            </w:r>
            <w:r>
              <w:rPr>
                <w:rFonts w:ascii="楷体" w:hAnsi="楷体" w:eastAsia="楷体" w:cs="宋体"/>
                <w:b/>
                <w:spacing w:val="-2"/>
                <w:sz w:val="21"/>
                <w:szCs w:val="21"/>
              </w:rPr>
              <w:t>申购</w:t>
            </w:r>
          </w:p>
        </w:tc>
        <w:tc>
          <w:tcPr>
            <w:tcW w:w="6756" w:type="dxa"/>
            <w:noWrap w:val="0"/>
            <w:vAlign w:val="center"/>
          </w:tcPr>
          <w:p>
            <w:pPr>
              <w:pStyle w:val="15"/>
              <w:kinsoku w:val="0"/>
              <w:overflowPunct w:val="0"/>
              <w:spacing w:before="12"/>
              <w:ind w:left="59" w:right="77"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产品单个开放日净申购申请折算产品份额超过上一日产品总份额20%时，即认为发生了巨额申购。当出现巨额申购时，产品管理人有权拒绝客户的全部或部分申购申请。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申购</w:t>
            </w:r>
            <w:r>
              <w:rPr>
                <w:rFonts w:ascii="楷体" w:hAnsi="楷体" w:eastAsia="楷体" w:cs="宋体"/>
                <w:b/>
                <w:spacing w:val="-2"/>
                <w:sz w:val="21"/>
                <w:szCs w:val="21"/>
              </w:rPr>
              <w:t>份额计算</w:t>
            </w:r>
          </w:p>
        </w:tc>
        <w:tc>
          <w:tcPr>
            <w:tcW w:w="6756" w:type="dxa"/>
            <w:noWrap w:val="0"/>
            <w:vAlign w:val="center"/>
          </w:tcPr>
          <w:p>
            <w:pPr>
              <w:pStyle w:val="15"/>
              <w:kinsoku w:val="0"/>
              <w:overflowPunct w:val="0"/>
              <w:spacing w:before="12"/>
              <w:ind w:left="59" w:right="77"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申购份额=申购金额/受理日（T）产品单位净值（四舍五入</w:t>
            </w:r>
            <w:r>
              <w:rPr>
                <w:rFonts w:ascii="楷体" w:hAnsi="楷体" w:eastAsia="楷体" w:cs="宋体"/>
                <w:spacing w:val="-2"/>
                <w:sz w:val="21"/>
                <w:szCs w:val="21"/>
              </w:rPr>
              <w:t>保留</w:t>
            </w:r>
            <w:r>
              <w:rPr>
                <w:rFonts w:hint="eastAsia" w:ascii="楷体" w:hAnsi="楷体" w:eastAsia="楷体" w:cs="宋体"/>
                <w:spacing w:val="-2"/>
                <w:sz w:val="21"/>
                <w:szCs w:val="21"/>
              </w:rPr>
              <w:t>2位</w:t>
            </w:r>
            <w:r>
              <w:rPr>
                <w:rFonts w:ascii="楷体" w:hAnsi="楷体" w:eastAsia="楷体" w:cs="宋体"/>
                <w:spacing w:val="-2"/>
                <w:sz w:val="21"/>
                <w:szCs w:val="21"/>
              </w:rPr>
              <w:t>小数</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产品赎回</w:t>
            </w:r>
          </w:p>
        </w:tc>
        <w:tc>
          <w:tcPr>
            <w:tcW w:w="6756" w:type="dxa"/>
            <w:noWrap w:val="0"/>
            <w:vAlign w:val="center"/>
          </w:tcPr>
          <w:p>
            <w:pPr>
              <w:pStyle w:val="15"/>
              <w:kinsoku w:val="0"/>
              <w:overflowPunct w:val="0"/>
              <w:spacing w:before="12"/>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份额确认后持有时间超过</w:t>
            </w:r>
            <w:r>
              <w:rPr>
                <w:rFonts w:hint="eastAsia" w:ascii="楷体" w:hAnsi="楷体" w:eastAsia="楷体" w:cs="宋体"/>
                <w:spacing w:val="-2"/>
                <w:sz w:val="21"/>
                <w:szCs w:val="21"/>
                <w:lang w:eastAsia="zh-CN"/>
              </w:rPr>
              <w:t>270</w:t>
            </w:r>
            <w:r>
              <w:rPr>
                <w:rFonts w:hint="eastAsia" w:ascii="楷体" w:hAnsi="楷体" w:eastAsia="楷体" w:cs="宋体"/>
                <w:spacing w:val="-2"/>
                <w:sz w:val="21"/>
                <w:szCs w:val="21"/>
              </w:rPr>
              <w:t>个自然日，投资者可自主发起赎回，工作日1</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0前赎回T+</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rPr>
              <w:t>确认，1</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0后的赎回为预受理，视同下一工作日赎回。赎回按受理日当日单位净值确认兑付金额。</w:t>
            </w:r>
          </w:p>
          <w:p>
            <w:pPr>
              <w:pStyle w:val="15"/>
              <w:kinsoku w:val="0"/>
              <w:overflowPunct w:val="0"/>
              <w:spacing w:before="12"/>
              <w:ind w:left="59" w:right="77" w:rightChars="35"/>
              <w:jc w:val="both"/>
              <w:rPr>
                <w:rFonts w:hint="eastAsia" w:ascii="楷体" w:hAnsi="楷体" w:eastAsia="楷体" w:cs="宋体"/>
                <w:spacing w:val="-2"/>
                <w:sz w:val="21"/>
                <w:szCs w:val="21"/>
              </w:rPr>
            </w:pPr>
            <w:r>
              <w:rPr>
                <w:rFonts w:ascii="楷体" w:hAnsi="楷体" w:eastAsia="楷体" w:cs="宋体"/>
                <w:spacing w:val="-2"/>
                <w:sz w:val="21"/>
                <w:szCs w:val="21"/>
              </w:rPr>
              <w:t>详见</w:t>
            </w:r>
            <w:r>
              <w:rPr>
                <w:rFonts w:hint="eastAsia" w:ascii="楷体" w:hAnsi="楷体" w:eastAsia="楷体" w:cs="宋体"/>
                <w:spacing w:val="-2"/>
                <w:sz w:val="21"/>
                <w:szCs w:val="21"/>
                <w:lang w:eastAsia="zh-CN"/>
              </w:rPr>
              <w:t>产品说明书</w:t>
            </w:r>
            <w:r>
              <w:rPr>
                <w:rFonts w:hint="eastAsia" w:ascii="楷体" w:hAnsi="楷体" w:eastAsia="楷体" w:cs="宋体"/>
                <w:spacing w:val="-2"/>
                <w:sz w:val="21"/>
                <w:szCs w:val="21"/>
              </w:rPr>
              <w:t>“产品申购、赎回”。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巨额赎回</w:t>
            </w:r>
          </w:p>
        </w:tc>
        <w:tc>
          <w:tcPr>
            <w:tcW w:w="6756" w:type="dxa"/>
            <w:noWrap w:val="0"/>
            <w:vAlign w:val="center"/>
          </w:tcPr>
          <w:p>
            <w:pPr>
              <w:pStyle w:val="15"/>
              <w:kinsoku w:val="0"/>
              <w:overflowPunct w:val="0"/>
              <w:spacing w:before="12"/>
              <w:ind w:left="59" w:right="77" w:rightChars="35"/>
              <w:jc w:val="both"/>
              <w:rPr>
                <w:rFonts w:hint="eastAsia" w:ascii="楷体" w:hAnsi="楷体" w:eastAsia="楷体" w:cs="宋体"/>
                <w:bCs/>
                <w:spacing w:val="-2"/>
                <w:kern w:val="2"/>
                <w:sz w:val="21"/>
                <w:szCs w:val="21"/>
              </w:rPr>
            </w:pPr>
            <w:r>
              <w:rPr>
                <w:rFonts w:hint="eastAsia" w:ascii="楷体" w:hAnsi="楷体" w:eastAsia="楷体" w:cs="宋体"/>
                <w:bCs/>
                <w:spacing w:val="-2"/>
                <w:kern w:val="2"/>
                <w:sz w:val="21"/>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ascii="楷体" w:hAnsi="楷体" w:eastAsia="楷体" w:cs="宋体"/>
                <w:bCs/>
                <w:spacing w:val="-2"/>
                <w:kern w:val="2"/>
                <w:sz w:val="21"/>
                <w:szCs w:val="21"/>
              </w:rPr>
              <w:t>延期</w:t>
            </w:r>
            <w:r>
              <w:rPr>
                <w:rFonts w:hint="eastAsia" w:ascii="楷体" w:hAnsi="楷体" w:eastAsia="楷体" w:cs="宋体"/>
                <w:bCs/>
                <w:spacing w:val="-2"/>
                <w:kern w:val="2"/>
                <w:sz w:val="21"/>
                <w:szCs w:val="21"/>
              </w:rPr>
              <w:t>办理</w:t>
            </w:r>
            <w:r>
              <w:rPr>
                <w:rFonts w:ascii="楷体" w:hAnsi="楷体" w:eastAsia="楷体" w:cs="宋体"/>
                <w:bCs/>
                <w:spacing w:val="-2"/>
                <w:kern w:val="2"/>
                <w:sz w:val="21"/>
                <w:szCs w:val="21"/>
              </w:rPr>
              <w:t>巨额赎回</w:t>
            </w:r>
            <w:r>
              <w:rPr>
                <w:rFonts w:hint="eastAsia" w:ascii="楷体" w:hAnsi="楷体" w:eastAsia="楷体" w:cs="宋体"/>
                <w:bCs/>
                <w:spacing w:val="-2"/>
                <w:kern w:val="2"/>
                <w:sz w:val="21"/>
                <w:szCs w:val="21"/>
              </w:rPr>
              <w:t>等</w:t>
            </w:r>
            <w:r>
              <w:rPr>
                <w:rFonts w:ascii="楷体" w:hAnsi="楷体" w:eastAsia="楷体" w:cs="宋体"/>
                <w:bCs/>
                <w:spacing w:val="-2"/>
                <w:kern w:val="2"/>
                <w:sz w:val="21"/>
                <w:szCs w:val="21"/>
              </w:rPr>
              <w:t>措施</w:t>
            </w:r>
            <w:r>
              <w:rPr>
                <w:rFonts w:hint="eastAsia" w:ascii="楷体" w:hAnsi="楷体" w:eastAsia="楷体" w:cs="宋体"/>
                <w:bCs/>
                <w:spacing w:val="-2"/>
                <w:kern w:val="2"/>
                <w:sz w:val="21"/>
                <w:szCs w:val="21"/>
              </w:rPr>
              <w:t>，产品管理人将在采取</w:t>
            </w:r>
            <w:r>
              <w:rPr>
                <w:rFonts w:ascii="楷体" w:hAnsi="楷体" w:eastAsia="楷体" w:cs="宋体"/>
                <w:bCs/>
                <w:spacing w:val="-2"/>
                <w:kern w:val="2"/>
                <w:sz w:val="21"/>
                <w:szCs w:val="21"/>
              </w:rPr>
              <w:t>相关</w:t>
            </w:r>
            <w:r>
              <w:rPr>
                <w:rFonts w:hint="eastAsia" w:ascii="楷体" w:hAnsi="楷体" w:eastAsia="楷体" w:cs="宋体"/>
                <w:bCs/>
                <w:spacing w:val="-2"/>
                <w:kern w:val="2"/>
                <w:sz w:val="21"/>
                <w:szCs w:val="21"/>
              </w:rPr>
              <w:t>措施后3个工作日内进行信息披露。</w:t>
            </w:r>
          </w:p>
          <w:p>
            <w:pPr>
              <w:pStyle w:val="15"/>
              <w:kinsoku w:val="0"/>
              <w:overflowPunct w:val="0"/>
              <w:spacing w:before="12"/>
              <w:ind w:left="59" w:right="77" w:rightChars="35"/>
              <w:jc w:val="both"/>
              <w:rPr>
                <w:rFonts w:ascii="楷体" w:hAnsi="楷体" w:eastAsia="楷体" w:cs="宋体"/>
                <w:b/>
                <w:spacing w:val="-2"/>
                <w:kern w:val="2"/>
                <w:sz w:val="21"/>
                <w:szCs w:val="21"/>
                <w:u w:val="single"/>
              </w:rPr>
            </w:pPr>
            <w:r>
              <w:rPr>
                <w:rFonts w:hint="eastAsia" w:ascii="楷体" w:hAnsi="楷体" w:eastAsia="楷体" w:cs="宋体"/>
                <w:b/>
                <w:spacing w:val="-2"/>
                <w:kern w:val="2"/>
                <w:sz w:val="21"/>
                <w:szCs w:val="21"/>
                <w:u w:val="single"/>
              </w:rPr>
              <w:t>1.全额赎回：当产品管理人有能力兑付投资者的全部赎回申请时，将在申请确认日按投资者申请赎回份额执行正常赎回程序。</w:t>
            </w:r>
          </w:p>
          <w:p>
            <w:pPr>
              <w:pStyle w:val="15"/>
              <w:kinsoku w:val="0"/>
              <w:overflowPunct w:val="0"/>
              <w:spacing w:before="12"/>
              <w:ind w:left="59" w:right="77" w:rightChars="35"/>
              <w:jc w:val="both"/>
              <w:rPr>
                <w:rFonts w:ascii="楷体" w:hAnsi="楷体" w:eastAsia="楷体" w:cs="宋体"/>
                <w:b/>
                <w:spacing w:val="-2"/>
                <w:kern w:val="2"/>
                <w:sz w:val="21"/>
                <w:szCs w:val="21"/>
                <w:u w:val="single"/>
              </w:rPr>
            </w:pPr>
            <w:r>
              <w:rPr>
                <w:rFonts w:hint="eastAsia" w:ascii="楷体" w:hAnsi="楷体" w:eastAsia="楷体" w:cs="宋体"/>
                <w:b/>
                <w:spacing w:val="-2"/>
                <w:kern w:val="2"/>
                <w:sz w:val="21"/>
                <w:szCs w:val="21"/>
                <w:u w:val="single"/>
              </w:rPr>
              <w:t>2.部分赎回</w:t>
            </w:r>
            <w:r>
              <w:rPr>
                <w:rFonts w:ascii="楷体" w:hAnsi="楷体" w:eastAsia="楷体" w:cs="宋体"/>
                <w:b/>
                <w:spacing w:val="-2"/>
                <w:kern w:val="2"/>
                <w:sz w:val="21"/>
                <w:szCs w:val="21"/>
                <w:u w:val="single"/>
              </w:rPr>
              <w:t>：</w:t>
            </w:r>
            <w:r>
              <w:rPr>
                <w:rFonts w:hint="eastAsia" w:ascii="楷体" w:hAnsi="楷体" w:eastAsia="楷体" w:cs="宋体"/>
                <w:b/>
                <w:spacing w:val="-2"/>
                <w:kern w:val="2"/>
                <w:sz w:val="21"/>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示例：客户当日申请赎回份额 5万份，当日全部赎回申请1亿份，假设前一日存续份额5亿份，发生巨额赎回，管理人当日办理的赎回份额5000万份，则客户当日确认办理的份额为5/10000*5000=2.5万份）。</w:t>
            </w:r>
          </w:p>
          <w:p>
            <w:pPr>
              <w:pStyle w:val="15"/>
              <w:kinsoku w:val="0"/>
              <w:overflowPunct w:val="0"/>
              <w:spacing w:before="12"/>
              <w:ind w:left="59" w:right="77" w:rightChars="35"/>
              <w:jc w:val="both"/>
              <w:rPr>
                <w:rFonts w:hint="eastAsia" w:ascii="楷体" w:hAnsi="楷体" w:eastAsia="楷体" w:cs="宋体"/>
                <w:b/>
                <w:spacing w:val="-2"/>
                <w:kern w:val="2"/>
                <w:sz w:val="21"/>
                <w:szCs w:val="21"/>
                <w:u w:val="single"/>
              </w:rPr>
            </w:pPr>
            <w:r>
              <w:rPr>
                <w:rFonts w:hint="eastAsia" w:ascii="楷体" w:hAnsi="楷体" w:eastAsia="楷体" w:cs="宋体"/>
                <w:b/>
                <w:spacing w:val="-2"/>
                <w:kern w:val="2"/>
                <w:sz w:val="21"/>
                <w:szCs w:val="21"/>
                <w:u w:val="single"/>
              </w:rPr>
              <w:t>3.对于该开放日内净赎回额超过本产品上一工作日日终份额10%时，管理人有权拒绝超过10%以上部分的赎回申请。未确认受理的赎回申请份额，投资者</w:t>
            </w:r>
            <w:r>
              <w:rPr>
                <w:rFonts w:ascii="楷体" w:hAnsi="楷体" w:eastAsia="楷体" w:cs="宋体"/>
                <w:b/>
                <w:spacing w:val="-2"/>
                <w:kern w:val="2"/>
                <w:sz w:val="21"/>
                <w:szCs w:val="21"/>
                <w:u w:val="single"/>
              </w:rPr>
              <w:t>可</w:t>
            </w:r>
            <w:r>
              <w:rPr>
                <w:rFonts w:hint="eastAsia" w:ascii="楷体" w:hAnsi="楷体" w:eastAsia="楷体" w:cs="宋体"/>
                <w:b/>
                <w:spacing w:val="-2"/>
                <w:kern w:val="2"/>
                <w:sz w:val="21"/>
                <w:szCs w:val="21"/>
                <w:u w:val="single"/>
              </w:rPr>
              <w:t>选择将当日未获受理部分予以撤销（巨额赎回处理方式具体以代销机构展示为准），未选择撤销的赎回申请，产品</w:t>
            </w:r>
            <w:r>
              <w:rPr>
                <w:rFonts w:ascii="楷体" w:hAnsi="楷体" w:eastAsia="楷体" w:cs="宋体"/>
                <w:b/>
                <w:spacing w:val="-2"/>
                <w:kern w:val="2"/>
                <w:sz w:val="21"/>
                <w:szCs w:val="21"/>
                <w:u w:val="single"/>
              </w:rPr>
              <w:t>管理人可以</w:t>
            </w:r>
            <w:r>
              <w:rPr>
                <w:rFonts w:hint="eastAsia" w:ascii="楷体" w:hAnsi="楷体" w:eastAsia="楷体" w:cs="宋体"/>
                <w:b/>
                <w:spacing w:val="-2"/>
                <w:kern w:val="2"/>
                <w:sz w:val="21"/>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连续</w:t>
            </w:r>
            <w:r>
              <w:rPr>
                <w:rFonts w:ascii="楷体" w:hAnsi="楷体" w:eastAsia="楷体" w:cs="宋体"/>
                <w:b/>
                <w:spacing w:val="-2"/>
                <w:sz w:val="21"/>
                <w:szCs w:val="21"/>
              </w:rPr>
              <w:t>巨额赎回</w:t>
            </w:r>
          </w:p>
        </w:tc>
        <w:tc>
          <w:tcPr>
            <w:tcW w:w="6756" w:type="dxa"/>
            <w:noWrap w:val="0"/>
            <w:vAlign w:val="center"/>
          </w:tcPr>
          <w:p>
            <w:pPr>
              <w:pStyle w:val="15"/>
              <w:kinsoku w:val="0"/>
              <w:overflowPunct w:val="0"/>
              <w:spacing w:before="12"/>
              <w:ind w:left="59" w:right="77"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赎回</w:t>
            </w:r>
            <w:r>
              <w:rPr>
                <w:rFonts w:ascii="楷体" w:hAnsi="楷体" w:eastAsia="楷体" w:cs="宋体"/>
                <w:b/>
                <w:spacing w:val="-2"/>
                <w:sz w:val="21"/>
                <w:szCs w:val="21"/>
              </w:rPr>
              <w:t>金额计算</w:t>
            </w:r>
          </w:p>
        </w:tc>
        <w:tc>
          <w:tcPr>
            <w:tcW w:w="6756" w:type="dxa"/>
            <w:noWrap w:val="0"/>
            <w:vAlign w:val="center"/>
          </w:tcPr>
          <w:p>
            <w:pPr>
              <w:pStyle w:val="15"/>
              <w:kinsoku w:val="0"/>
              <w:overflowPunct w:val="0"/>
              <w:spacing w:before="12"/>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赎回金额=赎回份额*受理日（T）产品单位净值（四舍五入</w:t>
            </w:r>
            <w:r>
              <w:rPr>
                <w:rFonts w:ascii="楷体" w:hAnsi="楷体" w:eastAsia="楷体" w:cs="宋体"/>
                <w:spacing w:val="-2"/>
                <w:sz w:val="21"/>
                <w:szCs w:val="21"/>
              </w:rPr>
              <w:t>保留</w:t>
            </w:r>
            <w:r>
              <w:rPr>
                <w:rFonts w:hint="eastAsia" w:ascii="楷体" w:hAnsi="楷体" w:eastAsia="楷体" w:cs="宋体"/>
                <w:spacing w:val="-2"/>
                <w:sz w:val="21"/>
                <w:szCs w:val="21"/>
              </w:rPr>
              <w:t>2位</w:t>
            </w:r>
            <w:r>
              <w:rPr>
                <w:rFonts w:ascii="楷体" w:hAnsi="楷体" w:eastAsia="楷体" w:cs="宋体"/>
                <w:spacing w:val="-2"/>
                <w:sz w:val="21"/>
                <w:szCs w:val="21"/>
              </w:rPr>
              <w:t>小数</w:t>
            </w:r>
            <w:r>
              <w:rPr>
                <w:rFonts w:hint="eastAsia" w:ascii="楷体" w:hAnsi="楷体" w:eastAsia="楷体" w:cs="宋体"/>
                <w:spacing w:val="-2"/>
                <w:sz w:val="21"/>
                <w:szCs w:val="21"/>
              </w:rPr>
              <w:t>）</w:t>
            </w:r>
          </w:p>
          <w:p>
            <w:pPr>
              <w:pStyle w:val="15"/>
              <w:kinsoku w:val="0"/>
              <w:overflowPunct w:val="0"/>
              <w:spacing w:before="12"/>
              <w:ind w:left="59" w:right="77"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产品</w:t>
            </w:r>
            <w:r>
              <w:rPr>
                <w:rFonts w:ascii="楷体" w:hAnsi="楷体" w:eastAsia="楷体" w:cs="宋体"/>
                <w:spacing w:val="-2"/>
                <w:sz w:val="21"/>
                <w:szCs w:val="21"/>
              </w:rPr>
              <w:t>的超额业绩报酬</w:t>
            </w:r>
            <w:r>
              <w:rPr>
                <w:rFonts w:hint="eastAsia" w:ascii="楷体" w:hAnsi="楷体" w:eastAsia="楷体" w:cs="宋体"/>
                <w:spacing w:val="-2"/>
                <w:sz w:val="21"/>
                <w:szCs w:val="21"/>
              </w:rPr>
              <w:t>等</w:t>
            </w:r>
            <w:r>
              <w:rPr>
                <w:rFonts w:ascii="楷体" w:hAnsi="楷体" w:eastAsia="楷体" w:cs="宋体"/>
                <w:spacing w:val="-2"/>
                <w:sz w:val="21"/>
                <w:szCs w:val="21"/>
              </w:rPr>
              <w:t>费用（</w:t>
            </w:r>
            <w:r>
              <w:rPr>
                <w:rFonts w:hint="eastAsia" w:ascii="楷体" w:hAnsi="楷体" w:eastAsia="楷体" w:cs="宋体"/>
                <w:spacing w:val="-2"/>
                <w:sz w:val="21"/>
                <w:szCs w:val="21"/>
              </w:rPr>
              <w:t>如有</w:t>
            </w:r>
            <w:r>
              <w:rPr>
                <w:rFonts w:ascii="楷体" w:hAnsi="楷体" w:eastAsia="楷体" w:cs="宋体"/>
                <w:spacing w:val="-2"/>
                <w:sz w:val="21"/>
                <w:szCs w:val="21"/>
              </w:rPr>
              <w:t>）</w:t>
            </w:r>
            <w:r>
              <w:rPr>
                <w:rFonts w:hint="eastAsia" w:ascii="楷体" w:hAnsi="楷体" w:eastAsia="楷体" w:cs="宋体"/>
                <w:spacing w:val="-2"/>
                <w:sz w:val="21"/>
                <w:szCs w:val="21"/>
              </w:rPr>
              <w:t>将从</w:t>
            </w:r>
            <w:r>
              <w:rPr>
                <w:rFonts w:ascii="楷体" w:hAnsi="楷体" w:eastAsia="楷体" w:cs="宋体"/>
                <w:spacing w:val="-2"/>
                <w:sz w:val="21"/>
                <w:szCs w:val="21"/>
              </w:rPr>
              <w:t>赎回金额中扣除</w:t>
            </w:r>
            <w:r>
              <w:rPr>
                <w:rFonts w:hint="eastAsia" w:ascii="楷体" w:hAnsi="楷体" w:eastAsia="楷体" w:cs="宋体"/>
                <w:spacing w:val="-2"/>
                <w:sz w:val="21"/>
                <w:szCs w:val="21"/>
              </w:rPr>
              <w:t>，详见“十一、产品运作”计算示例。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认购/申购资金的清算</w:t>
            </w:r>
          </w:p>
        </w:tc>
        <w:tc>
          <w:tcPr>
            <w:tcW w:w="6756" w:type="dxa"/>
            <w:noWrap w:val="0"/>
            <w:vAlign w:val="center"/>
          </w:tcPr>
          <w:p>
            <w:pPr>
              <w:pStyle w:val="15"/>
              <w:kinsoku w:val="0"/>
              <w:overflowPunct w:val="0"/>
              <w:spacing w:before="12"/>
              <w:ind w:left="59" w:right="77"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1、投资者提出认购/申购申请后，投资者认购/申购资金将会冻结在投资者资金账户上。冻结期间资金利息根据《理财产品（代理）销售协议书》相关条款确定。（以销售</w:t>
            </w:r>
            <w:r>
              <w:rPr>
                <w:rFonts w:ascii="楷体" w:hAnsi="楷体" w:eastAsia="楷体" w:cs="宋体"/>
                <w:spacing w:val="-2"/>
                <w:sz w:val="21"/>
                <w:szCs w:val="21"/>
              </w:rPr>
              <w:t>机构实际</w:t>
            </w:r>
            <w:r>
              <w:rPr>
                <w:rFonts w:hint="eastAsia" w:ascii="楷体" w:hAnsi="楷体" w:eastAsia="楷体" w:cs="宋体"/>
                <w:spacing w:val="-2"/>
                <w:sz w:val="21"/>
                <w:szCs w:val="21"/>
              </w:rPr>
              <w:t>设置</w:t>
            </w:r>
            <w:r>
              <w:rPr>
                <w:rFonts w:ascii="楷体" w:hAnsi="楷体" w:eastAsia="楷体" w:cs="宋体"/>
                <w:spacing w:val="-2"/>
                <w:sz w:val="21"/>
                <w:szCs w:val="21"/>
              </w:rPr>
              <w:t>的</w:t>
            </w:r>
            <w:r>
              <w:rPr>
                <w:rFonts w:hint="eastAsia" w:ascii="楷体" w:hAnsi="楷体" w:eastAsia="楷体" w:cs="宋体"/>
                <w:spacing w:val="-2"/>
                <w:sz w:val="21"/>
                <w:szCs w:val="21"/>
              </w:rPr>
              <w:t>规则</w:t>
            </w:r>
            <w:r>
              <w:rPr>
                <w:rFonts w:ascii="楷体" w:hAnsi="楷体" w:eastAsia="楷体" w:cs="宋体"/>
                <w:spacing w:val="-2"/>
                <w:sz w:val="21"/>
                <w:szCs w:val="21"/>
              </w:rPr>
              <w:t>为准</w:t>
            </w:r>
            <w:r>
              <w:rPr>
                <w:rFonts w:hint="eastAsia" w:ascii="楷体" w:hAnsi="楷体" w:eastAsia="楷体" w:cs="宋体"/>
                <w:spacing w:val="-2"/>
                <w:sz w:val="21"/>
                <w:szCs w:val="21"/>
              </w:rPr>
              <w:t>）</w:t>
            </w:r>
          </w:p>
          <w:p>
            <w:pPr>
              <w:pStyle w:val="15"/>
              <w:kinsoku w:val="0"/>
              <w:overflowPunct w:val="0"/>
              <w:spacing w:before="12"/>
              <w:ind w:left="59" w:right="77" w:rightChars="35"/>
              <w:jc w:val="both"/>
              <w:rPr>
                <w:rFonts w:hint="eastAsia" w:ascii="楷体" w:hAnsi="楷体" w:eastAsia="楷体" w:cs="宋体"/>
                <w:spacing w:val="-2"/>
                <w:szCs w:val="21"/>
              </w:rPr>
            </w:pPr>
            <w:r>
              <w:rPr>
                <w:rFonts w:hint="eastAsia" w:ascii="楷体" w:hAnsi="楷体" w:eastAsia="楷体" w:cs="宋体"/>
                <w:spacing w:val="-2"/>
                <w:sz w:val="21"/>
                <w:szCs w:val="21"/>
              </w:rPr>
              <w:t>2、管理人在份额确认日通知销售机构扣划投资者认购/申购资金，投资者应在扣款前保证资金账户中拥有足够可用余额。</w:t>
            </w:r>
            <w:r>
              <w:rPr>
                <w:rFonts w:hint="eastAsia" w:ascii="楷体" w:hAnsi="楷体" w:eastAsia="楷体" w:cs="宋体"/>
                <w:b/>
                <w:bCs/>
                <w:spacing w:val="-2"/>
                <w:sz w:val="21"/>
                <w:szCs w:val="21"/>
                <w:u w:val="single"/>
              </w:rPr>
              <w:t>因投资者资金账户余额不足、司法冻结、不可抗力因素或其他不可归责于苏银理财和销售机构的事由出现，造成扣款失败，认购/申购申请未被确认的，苏银理财和销售机构不承担任何责任。苏银理财不计付在途资金从冻结日至份额确认日间的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赎回资金的清算</w:t>
            </w:r>
          </w:p>
        </w:tc>
        <w:tc>
          <w:tcPr>
            <w:tcW w:w="6756" w:type="dxa"/>
            <w:noWrap w:val="0"/>
            <w:vAlign w:val="center"/>
          </w:tcPr>
          <w:p>
            <w:pPr>
              <w:ind w:left="59" w:right="77" w:rightChars="35"/>
              <w:rPr>
                <w:rFonts w:hint="eastAsia" w:ascii="楷体" w:hAnsi="楷体" w:eastAsia="楷体" w:cs="宋体"/>
                <w:spacing w:val="-2"/>
                <w:szCs w:val="21"/>
              </w:rPr>
            </w:pPr>
            <w:r>
              <w:rPr>
                <w:rFonts w:hint="eastAsia" w:ascii="楷体" w:hAnsi="楷体" w:eastAsia="楷体" w:cs="宋体"/>
                <w:spacing w:val="-2"/>
                <w:szCs w:val="21"/>
              </w:rPr>
              <w:t>未触发巨额赎回条款情形下，投资者赎回资金将在赎回申请确认日后</w:t>
            </w:r>
            <w:r>
              <w:rPr>
                <w:rFonts w:ascii="楷体" w:hAnsi="楷体" w:eastAsia="楷体" w:cs="宋体"/>
                <w:spacing w:val="-2"/>
                <w:szCs w:val="21"/>
              </w:rPr>
              <w:t>4</w:t>
            </w:r>
            <w:r>
              <w:rPr>
                <w:rFonts w:hint="eastAsia" w:ascii="楷体" w:hAnsi="楷体" w:eastAsia="楷体" w:cs="宋体"/>
                <w:spacing w:val="-2"/>
                <w:szCs w:val="21"/>
              </w:rPr>
              <w:t>个工作日内到达投资者资金账户。在途期间投资者赎回资金不计息。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9" w:leftChars="0" w:right="77" w:rightChars="35"/>
              <w:jc w:val="both"/>
              <w:rPr>
                <w:rFonts w:hint="eastAsia" w:ascii="楷体" w:hAnsi="楷体" w:eastAsia="楷体" w:cs="宋体"/>
                <w:b/>
                <w:spacing w:val="-2"/>
                <w:sz w:val="21"/>
                <w:szCs w:val="21"/>
              </w:rPr>
            </w:pPr>
            <w:r>
              <w:rPr>
                <w:rFonts w:hint="eastAsia" w:ascii="楷体" w:hAnsi="楷体" w:eastAsia="楷体" w:cs="宋体"/>
                <w:b/>
                <w:spacing w:val="-2"/>
                <w:sz w:val="21"/>
                <w:szCs w:val="21"/>
              </w:rPr>
              <w:t>投资范围及比例</w:t>
            </w:r>
          </w:p>
        </w:tc>
        <w:tc>
          <w:tcPr>
            <w:tcW w:w="6756" w:type="dxa"/>
            <w:noWrap w:val="0"/>
            <w:vAlign w:val="center"/>
          </w:tcPr>
          <w:p>
            <w:pPr>
              <w:ind w:left="59" w:leftChars="0" w:right="77" w:rightChars="35"/>
              <w:rPr>
                <w:rFonts w:hint="eastAsia" w:ascii="楷体" w:hAnsi="楷体" w:eastAsia="楷体" w:cs="宋体"/>
                <w:spacing w:val="-2"/>
                <w:szCs w:val="21"/>
              </w:rPr>
            </w:pPr>
            <w:r>
              <w:rPr>
                <w:rFonts w:hint="eastAsia" w:ascii="楷体" w:hAnsi="楷体" w:eastAsia="楷体" w:cs="宋体"/>
                <w:spacing w:val="-2"/>
                <w:szCs w:val="21"/>
              </w:rPr>
              <w:t>本理财产品直接或间接投资于现金、银行存款、债券回购、中央银行票据、同业存单、拆借、货币市场基金、债券、在银行间市场和证券交易所市场发行的资产支持证券、权益类资产和监管机构允许投资的其他资产</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不含金融衍生品）</w:t>
            </w:r>
            <w:r>
              <w:rPr>
                <w:rFonts w:hint="eastAsia" w:ascii="楷体" w:hAnsi="楷体" w:eastAsia="楷体" w:cs="宋体"/>
                <w:spacing w:val="-2"/>
                <w:szCs w:val="21"/>
              </w:rPr>
              <w:t>。具体资产投资比例为：固定收益类资产占产品资产总值比例0-100%，权益类资产等其他符合监管要求的资产占产品资产总值比例不高于10%。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9" w:leftChars="0" w:right="77" w:rightChars="35"/>
              <w:jc w:val="both"/>
              <w:rPr>
                <w:rFonts w:hint="eastAsia" w:ascii="楷体" w:hAnsi="楷体" w:eastAsia="楷体" w:cs="宋体"/>
                <w:b/>
                <w:spacing w:val="-2"/>
                <w:sz w:val="21"/>
                <w:szCs w:val="21"/>
              </w:rPr>
            </w:pPr>
            <w:r>
              <w:rPr>
                <w:rFonts w:hint="eastAsia" w:ascii="楷体" w:hAnsi="楷体" w:eastAsia="楷体" w:cs="宋体"/>
                <w:b/>
                <w:spacing w:val="-2"/>
                <w:sz w:val="21"/>
                <w:szCs w:val="21"/>
              </w:rPr>
              <w:t>投资策略</w:t>
            </w:r>
          </w:p>
        </w:tc>
        <w:tc>
          <w:tcPr>
            <w:tcW w:w="6756" w:type="dxa"/>
            <w:noWrap w:val="0"/>
            <w:vAlign w:val="center"/>
          </w:tcPr>
          <w:p>
            <w:pPr>
              <w:ind w:left="59" w:leftChars="0" w:right="77" w:rightChars="35"/>
              <w:rPr>
                <w:rFonts w:hint="eastAsia" w:ascii="楷体" w:hAnsi="楷体" w:eastAsia="楷体" w:cs="宋体"/>
                <w:spacing w:val="-2"/>
                <w:szCs w:val="21"/>
              </w:rPr>
            </w:pPr>
            <w:r>
              <w:rPr>
                <w:rFonts w:hint="eastAsia" w:ascii="楷体" w:hAnsi="楷体" w:eastAsia="楷体" w:cs="宋体"/>
                <w:spacing w:val="-2"/>
                <w:szCs w:val="21"/>
              </w:rPr>
              <w:t>本理财产品通过自上而下的宏观经济基本面分析，在通过投资固定收益类资产获得稳定投资收益的同时，通过对权益资产组合的动态调整增厚收益，实现投资组合能够适应不同经济情景的目的。具体而言，以债券、债券回购等固定收益类资产配置为主来获取稳健收益，通过投资权益类资产灵活抓取市场机会，并且进行紧密的投后跟踪管理，严格控制产品投资风险，追求稳定收益基础上获取增强收入，让投资者在风险相对可控的情况下分享多市场快速发展的红利，以更好地实现投资者财富保值增值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2"/>
              <w:ind w:left="59" w:right="77" w:rightChars="35"/>
              <w:jc w:val="both"/>
              <w:rPr>
                <w:rFonts w:ascii="楷体" w:hAnsi="楷体" w:eastAsia="楷体" w:cs="宋体"/>
                <w:b/>
                <w:spacing w:val="-2"/>
                <w:sz w:val="21"/>
                <w:szCs w:val="21"/>
              </w:rPr>
            </w:pPr>
            <w:r>
              <w:rPr>
                <w:rFonts w:hint="eastAsia" w:ascii="楷体" w:hAnsi="楷体" w:eastAsia="楷体" w:cs="宋体"/>
                <w:b/>
                <w:spacing w:val="-2"/>
                <w:sz w:val="21"/>
                <w:szCs w:val="21"/>
              </w:rPr>
              <w:t>业绩比较基准</w:t>
            </w:r>
          </w:p>
          <w:p>
            <w:pPr>
              <w:pStyle w:val="15"/>
              <w:kinsoku w:val="0"/>
              <w:overflowPunct w:val="0"/>
              <w:spacing w:before="12"/>
              <w:ind w:left="59" w:right="77" w:rightChars="35"/>
              <w:jc w:val="both"/>
              <w:rPr>
                <w:rFonts w:ascii="楷体" w:hAnsi="楷体" w:eastAsia="楷体" w:cs="宋体"/>
                <w:b/>
                <w:spacing w:val="-2"/>
                <w:sz w:val="21"/>
                <w:szCs w:val="21"/>
              </w:rPr>
            </w:pPr>
            <w:r>
              <w:rPr>
                <w:rFonts w:hint="eastAsia" w:ascii="楷体" w:hAnsi="楷体" w:eastAsia="楷体" w:cs="宋体"/>
                <w:b/>
                <w:spacing w:val="-2"/>
                <w:sz w:val="21"/>
                <w:szCs w:val="21"/>
              </w:rPr>
              <w:t>（年化）</w:t>
            </w:r>
          </w:p>
        </w:tc>
        <w:tc>
          <w:tcPr>
            <w:tcW w:w="6756" w:type="dxa"/>
            <w:noWrap w:val="0"/>
            <w:vAlign w:val="center"/>
          </w:tcPr>
          <w:p>
            <w:pPr>
              <w:pStyle w:val="15"/>
              <w:spacing w:before="37" w:line="273" w:lineRule="auto"/>
              <w:ind w:left="103" w:right="103"/>
              <w:rPr>
                <w:rFonts w:ascii="楷体" w:hAnsi="楷体" w:eastAsia="楷体" w:cs="宋体"/>
                <w:spacing w:val="-2"/>
                <w:sz w:val="21"/>
                <w:szCs w:val="21"/>
              </w:rPr>
            </w:pPr>
            <w:r>
              <w:rPr>
                <w:rFonts w:hint="eastAsia" w:ascii="楷体" w:hAnsi="楷体" w:eastAsia="楷体" w:cs="宋体"/>
                <w:spacing w:val="-2"/>
                <w:sz w:val="21"/>
                <w:szCs w:val="21"/>
              </w:rPr>
              <w:t>A份额：2.6</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%-5.5</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15"/>
              <w:kinsoku w:val="0"/>
              <w:overflowPunct w:val="0"/>
              <w:spacing w:before="12"/>
              <w:ind w:left="59" w:right="77" w:rightChars="35"/>
              <w:jc w:val="both"/>
              <w:rPr>
                <w:rFonts w:ascii="楷体" w:hAnsi="楷体" w:eastAsia="楷体" w:cs="宋体"/>
                <w:bCs/>
                <w:spacing w:val="-2"/>
                <w:kern w:val="2"/>
                <w:sz w:val="21"/>
                <w:szCs w:val="21"/>
              </w:rPr>
            </w:pPr>
            <w:r>
              <w:rPr>
                <w:rFonts w:hint="eastAsia" w:ascii="楷体" w:hAnsi="楷体" w:eastAsia="楷体" w:cs="宋体"/>
                <w:bCs/>
                <w:spacing w:val="-2"/>
                <w:kern w:val="2"/>
                <w:sz w:val="21"/>
                <w:szCs w:val="21"/>
              </w:rPr>
              <w:t>（管理人参考过往投资经验，依据过往货币市场工具、债券、股票等资产投资收益水平，在产品说明书约定的投资范围和投资比例内，模拟测算得出业绩比较基准。其中权益资产以过去十年沪深300年化收益率为基础，结合已投资权益资产过往收益表现测算收益，固收类资产以已投资债券加权平均静态收益率测算收益，按照权益类资产配置不超过</w:t>
            </w:r>
            <w:r>
              <w:rPr>
                <w:rFonts w:hint="eastAsia" w:ascii="楷体" w:hAnsi="楷体" w:eastAsia="楷体" w:cs="宋体"/>
                <w:bCs/>
                <w:spacing w:val="-2"/>
                <w:kern w:val="2"/>
                <w:sz w:val="21"/>
                <w:szCs w:val="21"/>
                <w:lang w:val="en-US" w:eastAsia="zh-CN"/>
              </w:rPr>
              <w:t>1</w:t>
            </w:r>
            <w:r>
              <w:rPr>
                <w:rFonts w:hint="eastAsia" w:ascii="楷体" w:hAnsi="楷体" w:eastAsia="楷体" w:cs="宋体"/>
                <w:bCs/>
                <w:spacing w:val="-2"/>
                <w:kern w:val="2"/>
                <w:sz w:val="21"/>
                <w:szCs w:val="21"/>
              </w:rPr>
              <w:t>0%，固收类资产配置不低于</w:t>
            </w:r>
            <w:r>
              <w:rPr>
                <w:rFonts w:hint="eastAsia" w:ascii="楷体" w:hAnsi="楷体" w:eastAsia="楷体" w:cs="宋体"/>
                <w:bCs/>
                <w:spacing w:val="-2"/>
                <w:kern w:val="2"/>
                <w:sz w:val="21"/>
                <w:szCs w:val="21"/>
                <w:lang w:val="en-US" w:eastAsia="zh-CN"/>
              </w:rPr>
              <w:t>9</w:t>
            </w:r>
            <w:r>
              <w:rPr>
                <w:rFonts w:hint="eastAsia" w:ascii="楷体" w:hAnsi="楷体" w:eastAsia="楷体" w:cs="宋体"/>
                <w:bCs/>
                <w:spacing w:val="-2"/>
                <w:kern w:val="2"/>
                <w:sz w:val="21"/>
                <w:szCs w:val="21"/>
              </w:rPr>
              <w:t>0%，根据权益市场历史波动率数据分别测算悲观、中性、乐观等不同情景下资产收益情况，模拟测算得出业绩比较基准区间）</w:t>
            </w:r>
          </w:p>
          <w:p>
            <w:pPr>
              <w:ind w:left="59" w:right="77" w:rightChars="35"/>
              <w:rPr>
                <w:rFonts w:ascii="楷体" w:hAnsi="楷体" w:eastAsia="楷体" w:cs="宋体"/>
                <w:spacing w:val="-2"/>
                <w:kern w:val="0"/>
                <w:szCs w:val="21"/>
              </w:rPr>
            </w:pPr>
            <w:r>
              <w:rPr>
                <w:rFonts w:hint="eastAsia" w:ascii="楷体" w:hAnsi="楷体" w:eastAsia="楷体" w:cs="宋体"/>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noWrap w:val="0"/>
            <w:vAlign w:val="center"/>
          </w:tcPr>
          <w:p>
            <w:pPr>
              <w:pStyle w:val="15"/>
              <w:kinsoku w:val="0"/>
              <w:overflowPunct w:val="0"/>
              <w:spacing w:before="18"/>
              <w:ind w:left="55"/>
              <w:jc w:val="both"/>
              <w:rPr>
                <w:rFonts w:ascii="楷体" w:hAnsi="楷体" w:eastAsia="楷体" w:cs="宋体"/>
                <w:spacing w:val="-2"/>
                <w:sz w:val="21"/>
                <w:szCs w:val="21"/>
              </w:rPr>
            </w:pPr>
            <w:r>
              <w:rPr>
                <w:rFonts w:hint="eastAsia" w:ascii="楷体" w:hAnsi="楷体" w:eastAsia="楷体" w:cs="宋体"/>
                <w:b/>
                <w:spacing w:val="-2"/>
                <w:sz w:val="21"/>
                <w:szCs w:val="21"/>
              </w:rPr>
              <w:t>产品费用</w:t>
            </w:r>
          </w:p>
        </w:tc>
        <w:tc>
          <w:tcPr>
            <w:tcW w:w="6756" w:type="dxa"/>
            <w:noWrap w:val="0"/>
            <w:vAlign w:val="center"/>
          </w:tcPr>
          <w:p>
            <w:pPr>
              <w:ind w:left="59" w:right="77" w:rightChars="35"/>
              <w:rPr>
                <w:rFonts w:ascii="楷体" w:hAnsi="楷体" w:eastAsia="楷体" w:cs="宋体"/>
                <w:spacing w:val="-2"/>
                <w:szCs w:val="21"/>
              </w:rPr>
            </w:pPr>
            <w:r>
              <w:rPr>
                <w:rFonts w:hint="eastAsia" w:ascii="楷体" w:hAnsi="楷体" w:eastAsia="楷体" w:cs="宋体"/>
                <w:spacing w:val="-2"/>
                <w:szCs w:val="21"/>
              </w:rPr>
              <w:t>本产品费用包括托管费、销售服务费、投资管理费、超额业绩报酬以及产品运作和清算中产生的其他费用等。</w:t>
            </w:r>
          </w:p>
          <w:p>
            <w:pPr>
              <w:ind w:left="59" w:right="77" w:rightChars="35"/>
              <w:rPr>
                <w:rFonts w:ascii="楷体" w:hAnsi="楷体" w:eastAsia="楷体" w:cs="宋体"/>
                <w:spacing w:val="-2"/>
                <w:szCs w:val="21"/>
              </w:rPr>
            </w:pPr>
            <w:r>
              <w:rPr>
                <w:rFonts w:hint="eastAsia" w:ascii="楷体" w:hAnsi="楷体" w:eastAsia="楷体" w:cs="宋体"/>
                <w:spacing w:val="-2"/>
                <w:szCs w:val="21"/>
              </w:rPr>
              <w:t>1.托管费率：</w:t>
            </w:r>
            <w:r>
              <w:rPr>
                <w:rFonts w:ascii="楷体" w:hAnsi="楷体" w:eastAsia="楷体" w:cs="宋体"/>
                <w:spacing w:val="-2"/>
                <w:szCs w:val="21"/>
              </w:rPr>
              <w:t>0.04</w:t>
            </w:r>
            <w:r>
              <w:rPr>
                <w:rFonts w:hint="eastAsia" w:ascii="楷体" w:hAnsi="楷体" w:eastAsia="楷体" w:cs="宋体"/>
                <w:spacing w:val="-2"/>
                <w:szCs w:val="21"/>
              </w:rPr>
              <w:t>%/年；</w:t>
            </w:r>
          </w:p>
          <w:p>
            <w:pPr>
              <w:ind w:left="59" w:right="77" w:rightChars="35"/>
              <w:rPr>
                <w:rFonts w:ascii="楷体" w:hAnsi="楷体" w:eastAsia="楷体" w:cs="宋体"/>
                <w:spacing w:val="-2"/>
                <w:szCs w:val="21"/>
              </w:rPr>
            </w:pPr>
            <w:r>
              <w:rPr>
                <w:rFonts w:hint="eastAsia" w:ascii="楷体" w:hAnsi="楷体" w:eastAsia="楷体" w:cs="宋体"/>
                <w:spacing w:val="-2"/>
                <w:szCs w:val="21"/>
              </w:rPr>
              <w:t>2.销售服务费率：A份额</w:t>
            </w:r>
            <w:r>
              <w:rPr>
                <w:rFonts w:ascii="楷体" w:hAnsi="楷体" w:eastAsia="楷体" w:cs="宋体"/>
                <w:spacing w:val="-2"/>
                <w:szCs w:val="21"/>
              </w:rPr>
              <w:t>0.30</w:t>
            </w:r>
            <w:r>
              <w:rPr>
                <w:rFonts w:hint="eastAsia" w:ascii="楷体" w:hAnsi="楷体" w:eastAsia="楷体" w:cs="宋体"/>
                <w:spacing w:val="-2"/>
                <w:szCs w:val="21"/>
              </w:rPr>
              <w:t>%/年；</w:t>
            </w:r>
          </w:p>
          <w:p>
            <w:pPr>
              <w:ind w:left="59" w:right="77" w:rightChars="35"/>
              <w:rPr>
                <w:rFonts w:ascii="楷体" w:hAnsi="楷体" w:eastAsia="楷体" w:cs="宋体"/>
                <w:spacing w:val="-2"/>
                <w:szCs w:val="21"/>
              </w:rPr>
            </w:pPr>
            <w:r>
              <w:rPr>
                <w:rFonts w:hint="eastAsia" w:ascii="楷体" w:hAnsi="楷体" w:eastAsia="楷体" w:cs="宋体"/>
                <w:spacing w:val="-2"/>
                <w:szCs w:val="21"/>
              </w:rPr>
              <w:t>3.投资管理费率：A份额</w:t>
            </w:r>
            <w:r>
              <w:rPr>
                <w:rFonts w:ascii="楷体" w:hAnsi="楷体" w:eastAsia="楷体" w:cs="宋体"/>
                <w:spacing w:val="-2"/>
                <w:szCs w:val="21"/>
              </w:rPr>
              <w:t>0.60</w:t>
            </w:r>
            <w:r>
              <w:rPr>
                <w:rFonts w:hint="eastAsia" w:ascii="楷体" w:hAnsi="楷体" w:eastAsia="楷体" w:cs="宋体"/>
                <w:spacing w:val="-2"/>
                <w:szCs w:val="21"/>
              </w:rPr>
              <w:t>%/年；</w:t>
            </w:r>
          </w:p>
          <w:p>
            <w:pPr>
              <w:ind w:left="59" w:right="77" w:rightChars="35"/>
              <w:rPr>
                <w:rFonts w:hint="eastAsia" w:ascii="楷体" w:hAnsi="楷体" w:eastAsia="楷体" w:cs="宋体"/>
                <w:spacing w:val="-2"/>
                <w:szCs w:val="21"/>
              </w:rPr>
            </w:pPr>
            <w:r>
              <w:rPr>
                <w:rFonts w:hint="eastAsia" w:ascii="楷体" w:hAnsi="楷体" w:eastAsia="楷体" w:cs="宋体"/>
                <w:spacing w:val="-2"/>
                <w:szCs w:val="21"/>
              </w:rPr>
              <w:t>4.超额业绩报酬：假设客户持有期间的年化收益率为R：</w:t>
            </w:r>
          </w:p>
          <w:p>
            <w:pPr>
              <w:ind w:left="59" w:right="77" w:rightChars="35"/>
              <w:rPr>
                <w:rFonts w:hint="eastAsia" w:ascii="楷体" w:hAnsi="楷体" w:eastAsia="楷体" w:cs="宋体"/>
                <w:b/>
                <w:bCs/>
                <w:spacing w:val="-2"/>
                <w:szCs w:val="21"/>
                <w:u w:val="single"/>
              </w:rPr>
            </w:pPr>
            <w:r>
              <w:rPr>
                <w:rFonts w:hint="eastAsia" w:ascii="楷体" w:hAnsi="楷体" w:eastAsia="楷体" w:cs="宋体"/>
                <w:b/>
                <w:bCs/>
                <w:spacing w:val="-2"/>
                <w:szCs w:val="21"/>
                <w:u w:val="single"/>
              </w:rPr>
              <w:t>若R&lt;业绩比较基准下限，管理人无超额业绩报酬；</w:t>
            </w:r>
          </w:p>
          <w:p>
            <w:pPr>
              <w:ind w:left="59" w:right="77" w:rightChars="35"/>
              <w:rPr>
                <w:rFonts w:hint="eastAsia" w:ascii="楷体" w:hAnsi="楷体" w:eastAsia="楷体" w:cs="宋体"/>
                <w:b/>
                <w:bCs/>
                <w:spacing w:val="-2"/>
                <w:szCs w:val="21"/>
                <w:u w:val="single"/>
              </w:rPr>
            </w:pPr>
            <w:r>
              <w:rPr>
                <w:rFonts w:hint="eastAsia" w:ascii="楷体" w:hAnsi="楷体" w:eastAsia="楷体" w:cs="宋体"/>
                <w:b/>
                <w:bCs/>
                <w:spacing w:val="-2"/>
                <w:szCs w:val="21"/>
                <w:u w:val="single"/>
              </w:rPr>
              <w:t>若业绩比较基准下限≤R&lt;业绩比较基准上限，管理人对超出业绩比较基准下限的部分收取5%超额业绩报酬；</w:t>
            </w:r>
          </w:p>
          <w:p>
            <w:pPr>
              <w:ind w:left="59" w:right="77" w:rightChars="35"/>
              <w:rPr>
                <w:rFonts w:ascii="楷体" w:hAnsi="楷体" w:eastAsia="楷体" w:cs="宋体"/>
                <w:spacing w:val="-2"/>
                <w:szCs w:val="21"/>
              </w:rPr>
            </w:pPr>
            <w:r>
              <w:rPr>
                <w:rFonts w:hint="eastAsia" w:ascii="楷体" w:hAnsi="楷体" w:eastAsia="楷体" w:cs="宋体"/>
                <w:b/>
                <w:bCs/>
                <w:spacing w:val="-2"/>
                <w:szCs w:val="21"/>
                <w:u w:val="single"/>
              </w:rPr>
              <w:t>若R≥业绩比较基准上限，管理人对业绩比较基准上限与业绩比较基准下限之间的部分收取5%超额业绩报酬；对超过业绩比较基准上限的部分，收取30%超额业绩报酬。</w:t>
            </w:r>
          </w:p>
          <w:p>
            <w:pPr>
              <w:ind w:left="59" w:right="77" w:rightChars="35"/>
              <w:rPr>
                <w:rFonts w:ascii="楷体" w:hAnsi="楷体" w:eastAsia="楷体"/>
                <w:sz w:val="24"/>
                <w:szCs w:val="24"/>
              </w:rPr>
            </w:pPr>
            <w:r>
              <w:rPr>
                <w:rFonts w:hint="eastAsia" w:ascii="楷体" w:hAnsi="楷体" w:eastAsia="楷体" w:cs="宋体"/>
                <w:spacing w:val="-2"/>
                <w:szCs w:val="21"/>
              </w:rPr>
              <w:t>产品存续期内苏银理财有权对相关费用进行调整，实际收取费率及</w:t>
            </w:r>
            <w:r>
              <w:rPr>
                <w:rFonts w:ascii="楷体" w:hAnsi="楷体" w:eastAsia="楷体" w:cs="宋体"/>
                <w:spacing w:val="-2"/>
                <w:szCs w:val="21"/>
              </w:rPr>
              <w:t>超额报酬比例</w:t>
            </w:r>
            <w:r>
              <w:rPr>
                <w:rFonts w:hint="eastAsia" w:ascii="楷体" w:hAnsi="楷体" w:eastAsia="楷体" w:cs="宋体"/>
                <w:spacing w:val="-2"/>
                <w:szCs w:val="21"/>
              </w:rPr>
              <w:t>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tcBorders>
              <w:bottom w:val="single" w:color="auto" w:sz="4" w:space="0"/>
            </w:tcBorders>
            <w:noWrap w:val="0"/>
            <w:vAlign w:val="center"/>
          </w:tcPr>
          <w:p>
            <w:pPr>
              <w:pStyle w:val="15"/>
              <w:kinsoku w:val="0"/>
              <w:overflowPunct w:val="0"/>
              <w:spacing w:before="18"/>
              <w:ind w:left="55"/>
              <w:jc w:val="both"/>
              <w:rPr>
                <w:rFonts w:ascii="楷体" w:hAnsi="楷体" w:eastAsia="楷体" w:cs="宋体"/>
                <w:b/>
                <w:spacing w:val="-2"/>
                <w:sz w:val="21"/>
                <w:szCs w:val="21"/>
              </w:rPr>
            </w:pPr>
            <w:r>
              <w:rPr>
                <w:rFonts w:hint="eastAsia" w:ascii="楷体" w:hAnsi="楷体" w:eastAsia="楷体" w:cs="宋体"/>
                <w:b/>
                <w:spacing w:val="-2"/>
                <w:sz w:val="21"/>
                <w:szCs w:val="21"/>
              </w:rPr>
              <w:t>估值日</w:t>
            </w:r>
          </w:p>
        </w:tc>
        <w:tc>
          <w:tcPr>
            <w:tcW w:w="6756" w:type="dxa"/>
            <w:tcBorders>
              <w:bottom w:val="single" w:color="auto" w:sz="4" w:space="0"/>
            </w:tcBorders>
            <w:noWrap w:val="0"/>
            <w:vAlign w:val="center"/>
          </w:tcPr>
          <w:p>
            <w:pPr>
              <w:ind w:left="59" w:right="77" w:rightChars="35"/>
              <w:rPr>
                <w:rFonts w:ascii="楷体" w:hAnsi="楷体" w:eastAsia="楷体" w:cs="宋体"/>
                <w:spacing w:val="-2"/>
                <w:szCs w:val="21"/>
              </w:rPr>
            </w:pPr>
            <w:r>
              <w:rPr>
                <w:rFonts w:hint="eastAsia" w:ascii="楷体" w:hAnsi="楷体" w:eastAsia="楷体" w:cs="宋体"/>
                <w:spacing w:val="-2"/>
                <w:szCs w:val="21"/>
              </w:rPr>
              <w:t>本产品每日估值，每个开放日结束后2个工作日内通过本理财产品说明书约定方式披露开放日的单位净值、份额累计净值、认/申购价格和赎回价格。详见</w:t>
            </w:r>
            <w:r>
              <w:rPr>
                <w:rFonts w:hint="eastAsia" w:ascii="楷体" w:hAnsi="楷体" w:eastAsia="楷体" w:cs="宋体"/>
                <w:spacing w:val="-2"/>
                <w:szCs w:val="21"/>
                <w:lang w:eastAsia="zh-CN"/>
              </w:rPr>
              <w:t>产品说明书</w:t>
            </w:r>
            <w:r>
              <w:rPr>
                <w:rFonts w:hint="eastAsia" w:ascii="楷体" w:hAnsi="楷体" w:eastAsia="楷体" w:cs="宋体"/>
                <w:spacing w:val="-2"/>
                <w:szCs w:val="21"/>
              </w:rPr>
              <w:t>“产品估值”。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tcBorders>
              <w:bottom w:val="single" w:color="auto" w:sz="4" w:space="0"/>
            </w:tcBorders>
            <w:noWrap w:val="0"/>
            <w:vAlign w:val="center"/>
          </w:tcPr>
          <w:p>
            <w:pPr>
              <w:pStyle w:val="15"/>
              <w:kinsoku w:val="0"/>
              <w:overflowPunct w:val="0"/>
              <w:spacing w:before="18"/>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暂停估值</w:t>
            </w:r>
          </w:p>
        </w:tc>
        <w:tc>
          <w:tcPr>
            <w:tcW w:w="6756" w:type="dxa"/>
            <w:tcBorders>
              <w:bottom w:val="single" w:color="auto" w:sz="4" w:space="0"/>
            </w:tcBorders>
            <w:noWrap w:val="0"/>
            <w:vAlign w:val="center"/>
          </w:tcPr>
          <w:p>
            <w:pPr>
              <w:ind w:left="59" w:right="77" w:rightChars="35"/>
              <w:rPr>
                <w:rFonts w:hint="eastAsia" w:ascii="楷体" w:hAnsi="楷体" w:eastAsia="楷体" w:cs="宋体"/>
                <w:spacing w:val="-2"/>
                <w:szCs w:val="21"/>
              </w:rPr>
            </w:pPr>
            <w:r>
              <w:rPr>
                <w:rFonts w:hint="eastAsia" w:ascii="楷体" w:hAnsi="楷体" w:eastAsia="楷体" w:cs="宋体"/>
                <w:spacing w:val="-2"/>
                <w:szCs w:val="21"/>
                <w:highlight w:val="none"/>
              </w:rPr>
              <w:t>本产品在前一估值日内，产品资产净值50%以上的资产不具备活跃交易市场或者在活跃市场中无报价，且不能采用估值技术可靠计量公允价值的，管理人将暂停本产品估值，并采取延缓支付赎回款项或暂停接受理财产品认</w:t>
            </w:r>
            <w:r>
              <w:rPr>
                <w:rFonts w:hint="eastAsia" w:ascii="楷体" w:hAnsi="楷体" w:eastAsia="楷体" w:cs="宋体"/>
                <w:spacing w:val="-2"/>
                <w:szCs w:val="21"/>
                <w:highlight w:val="none"/>
                <w:lang w:val="en-US" w:eastAsia="zh-CN"/>
              </w:rPr>
              <w:t>/申</w:t>
            </w:r>
            <w:r>
              <w:rPr>
                <w:rFonts w:hint="eastAsia" w:ascii="楷体" w:hAnsi="楷体" w:eastAsia="楷体" w:cs="宋体"/>
                <w:spacing w:val="-2"/>
                <w:szCs w:val="21"/>
                <w:highlight w:val="none"/>
              </w:rPr>
              <w:t>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tcBorders>
              <w:bottom w:val="single" w:color="auto" w:sz="4" w:space="0"/>
            </w:tcBorders>
            <w:noWrap w:val="0"/>
            <w:vAlign w:val="center"/>
          </w:tcPr>
          <w:p>
            <w:pPr>
              <w:pStyle w:val="15"/>
              <w:kinsoku w:val="0"/>
              <w:overflowPunct w:val="0"/>
              <w:spacing w:before="18"/>
              <w:ind w:left="55"/>
              <w:jc w:val="both"/>
              <w:rPr>
                <w:rFonts w:ascii="楷体" w:hAnsi="楷体" w:eastAsia="楷体" w:cs="宋体"/>
                <w:b/>
                <w:spacing w:val="-2"/>
                <w:sz w:val="21"/>
                <w:szCs w:val="21"/>
              </w:rPr>
            </w:pPr>
            <w:r>
              <w:rPr>
                <w:rFonts w:hint="eastAsia" w:ascii="楷体" w:hAnsi="楷体" w:eastAsia="楷体" w:cs="宋体"/>
                <w:b/>
                <w:spacing w:val="-2"/>
                <w:sz w:val="21"/>
                <w:szCs w:val="21"/>
              </w:rPr>
              <w:t>收益分配</w:t>
            </w:r>
          </w:p>
        </w:tc>
        <w:tc>
          <w:tcPr>
            <w:tcW w:w="6756" w:type="dxa"/>
            <w:tcBorders>
              <w:bottom w:val="single" w:color="auto" w:sz="4" w:space="0"/>
            </w:tcBorders>
            <w:noWrap w:val="0"/>
            <w:vAlign w:val="center"/>
          </w:tcPr>
          <w:p>
            <w:pPr>
              <w:ind w:left="59" w:right="77" w:rightChars="35"/>
              <w:rPr>
                <w:rFonts w:ascii="楷体" w:hAnsi="楷体" w:eastAsia="楷体" w:cs="宋体"/>
                <w:spacing w:val="-2"/>
                <w:szCs w:val="21"/>
              </w:rPr>
            </w:pPr>
            <w:r>
              <w:rPr>
                <w:rFonts w:hint="eastAsia" w:ascii="楷体" w:hAnsi="楷体" w:eastAsia="楷体" w:cs="宋体"/>
                <w:spacing w:val="-2"/>
                <w:szCs w:val="21"/>
              </w:rPr>
              <w:t>本产品无分红机制，投资运作情况体现为产品净值变化。产品投资运作到期，投资收益扣除相关费用后，全部分配给投资者。详见</w:t>
            </w:r>
            <w:r>
              <w:rPr>
                <w:rFonts w:hint="eastAsia" w:ascii="楷体" w:hAnsi="楷体" w:eastAsia="楷体" w:cs="宋体"/>
                <w:spacing w:val="-2"/>
                <w:szCs w:val="21"/>
                <w:lang w:eastAsia="zh-CN"/>
              </w:rPr>
              <w:t>产品说明书</w:t>
            </w:r>
            <w:r>
              <w:rPr>
                <w:rFonts w:hint="eastAsia" w:ascii="楷体" w:hAnsi="楷体" w:eastAsia="楷体" w:cs="宋体"/>
                <w:spacing w:val="-2"/>
                <w:szCs w:val="21"/>
              </w:rPr>
              <w:t>“理财产品的终止与清算”。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tcBorders>
              <w:top w:val="single" w:color="auto" w:sz="4" w:space="0"/>
              <w:left w:val="single" w:color="auto" w:sz="4" w:space="0"/>
              <w:bottom w:val="single" w:color="auto" w:sz="4" w:space="0"/>
              <w:right w:val="single" w:color="auto" w:sz="4" w:space="0"/>
            </w:tcBorders>
            <w:noWrap w:val="0"/>
            <w:vAlign w:val="center"/>
          </w:tcPr>
          <w:p>
            <w:pPr>
              <w:pStyle w:val="15"/>
              <w:kinsoku w:val="0"/>
              <w:overflowPunct w:val="0"/>
              <w:spacing w:before="18"/>
              <w:ind w:left="55"/>
              <w:jc w:val="both"/>
              <w:rPr>
                <w:rFonts w:ascii="楷体" w:hAnsi="楷体" w:eastAsia="楷体" w:cs="宋体"/>
                <w:b/>
                <w:spacing w:val="-2"/>
                <w:sz w:val="21"/>
                <w:szCs w:val="21"/>
              </w:rPr>
            </w:pPr>
            <w:r>
              <w:rPr>
                <w:rFonts w:hint="eastAsia" w:ascii="楷体" w:hAnsi="楷体" w:eastAsia="楷体" w:cs="宋体"/>
                <w:b/>
                <w:spacing w:val="-2"/>
                <w:sz w:val="21"/>
                <w:szCs w:val="21"/>
              </w:rPr>
              <w:t>信息披露</w:t>
            </w:r>
          </w:p>
        </w:tc>
        <w:tc>
          <w:tcPr>
            <w:tcW w:w="6756" w:type="dxa"/>
            <w:tcBorders>
              <w:top w:val="single" w:color="auto" w:sz="4" w:space="0"/>
              <w:left w:val="single" w:color="auto" w:sz="4" w:space="0"/>
              <w:bottom w:val="single" w:color="auto" w:sz="4" w:space="0"/>
              <w:right w:val="single" w:color="auto" w:sz="4" w:space="0"/>
            </w:tcBorders>
            <w:noWrap w:val="0"/>
            <w:vAlign w:val="center"/>
          </w:tcPr>
          <w:p>
            <w:pPr>
              <w:ind w:left="59" w:right="77" w:rightChars="35"/>
              <w:rPr>
                <w:rFonts w:ascii="楷体" w:hAnsi="楷体" w:eastAsia="楷体" w:cs="宋体"/>
                <w:spacing w:val="-2"/>
                <w:szCs w:val="21"/>
              </w:rPr>
            </w:pPr>
            <w:r>
              <w:rPr>
                <w:rFonts w:hint="eastAsia" w:ascii="楷体" w:hAnsi="楷体" w:eastAsia="楷体" w:cs="宋体"/>
                <w:spacing w:val="-2"/>
                <w:szCs w:val="21"/>
              </w:rPr>
              <w:t>管理人将按照《产品说明书》中约定的方式进行信息披露，详见</w:t>
            </w:r>
            <w:r>
              <w:rPr>
                <w:rFonts w:hint="eastAsia" w:ascii="楷体" w:hAnsi="楷体" w:eastAsia="楷体" w:cs="宋体"/>
                <w:spacing w:val="-2"/>
                <w:szCs w:val="21"/>
                <w:lang w:eastAsia="zh-CN"/>
              </w:rPr>
              <w:t>产品说明书</w:t>
            </w:r>
            <w:r>
              <w:rPr>
                <w:rFonts w:hint="eastAsia" w:ascii="楷体" w:hAnsi="楷体" w:eastAsia="楷体" w:cs="宋体"/>
                <w:spacing w:val="-2"/>
                <w:szCs w:val="21"/>
              </w:rPr>
              <w:t>“信息披露”。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36" w:type="dxa"/>
            <w:tcBorders>
              <w:top w:val="single" w:color="auto" w:sz="4" w:space="0"/>
              <w:left w:val="single" w:color="auto" w:sz="4" w:space="0"/>
              <w:bottom w:val="single" w:color="auto" w:sz="4" w:space="0"/>
              <w:right w:val="single" w:color="auto" w:sz="4" w:space="0"/>
            </w:tcBorders>
            <w:noWrap w:val="0"/>
            <w:vAlign w:val="center"/>
          </w:tcPr>
          <w:p>
            <w:pPr>
              <w:pStyle w:val="15"/>
              <w:kinsoku w:val="0"/>
              <w:overflowPunct w:val="0"/>
              <w:spacing w:before="18"/>
              <w:ind w:left="55"/>
              <w:jc w:val="both"/>
              <w:rPr>
                <w:rFonts w:ascii="楷体" w:hAnsi="楷体" w:eastAsia="楷体" w:cs="宋体"/>
                <w:b/>
                <w:spacing w:val="-2"/>
                <w:sz w:val="21"/>
                <w:szCs w:val="21"/>
              </w:rPr>
            </w:pPr>
            <w:r>
              <w:rPr>
                <w:rFonts w:hint="eastAsia" w:ascii="楷体" w:hAnsi="楷体" w:eastAsia="楷体" w:cs="宋体"/>
                <w:b/>
                <w:spacing w:val="-2"/>
                <w:sz w:val="21"/>
                <w:szCs w:val="21"/>
              </w:rPr>
              <w:t>税款</w:t>
            </w:r>
          </w:p>
        </w:tc>
        <w:tc>
          <w:tcPr>
            <w:tcW w:w="6756" w:type="dxa"/>
            <w:tcBorders>
              <w:top w:val="single" w:color="auto" w:sz="4" w:space="0"/>
              <w:left w:val="single" w:color="auto" w:sz="4" w:space="0"/>
              <w:bottom w:val="single" w:color="auto" w:sz="4" w:space="0"/>
              <w:right w:val="single" w:color="auto" w:sz="4" w:space="0"/>
            </w:tcBorders>
            <w:noWrap w:val="0"/>
            <w:vAlign w:val="center"/>
          </w:tcPr>
          <w:p>
            <w:pPr>
              <w:ind w:left="59" w:right="77" w:rightChars="35"/>
              <w:rPr>
                <w:rFonts w:ascii="楷体" w:hAnsi="楷体" w:eastAsia="楷体" w:cs="宋体"/>
                <w:spacing w:val="-2"/>
                <w:szCs w:val="21"/>
              </w:rPr>
            </w:pPr>
            <w:r>
              <w:rPr>
                <w:rFonts w:hint="eastAsia" w:ascii="楷体" w:hAnsi="楷体" w:eastAsia="楷体" w:cs="宋体"/>
                <w:spacing w:val="-2"/>
                <w:szCs w:val="21"/>
              </w:rPr>
              <w:t>本产品运作过程中涉及的各纳税主体，其纳税义务按国家税收法律、法规执行。详见</w:t>
            </w:r>
            <w:r>
              <w:rPr>
                <w:rFonts w:hint="eastAsia" w:ascii="楷体" w:hAnsi="楷体" w:eastAsia="楷体" w:cs="宋体"/>
                <w:spacing w:val="-2"/>
                <w:szCs w:val="21"/>
                <w:lang w:eastAsia="zh-CN"/>
              </w:rPr>
              <w:t>产品说明书</w:t>
            </w:r>
            <w:r>
              <w:rPr>
                <w:rFonts w:hint="eastAsia" w:ascii="楷体" w:hAnsi="楷体" w:eastAsia="楷体" w:cs="宋体"/>
                <w:spacing w:val="-2"/>
                <w:szCs w:val="21"/>
              </w:rPr>
              <w:t xml:space="preserve">“税收规定”。 </w:t>
            </w:r>
          </w:p>
        </w:tc>
      </w:tr>
    </w:tbl>
    <w:p>
      <w:pPr>
        <w:adjustRightInd/>
        <w:snapToGrid/>
        <w:spacing w:after="0"/>
        <w:ind w:firstLine="630"/>
        <w:jc w:val="center"/>
        <w:rPr>
          <w:rFonts w:ascii="仿宋_GB2312" w:hAnsi="微软雅黑" w:eastAsia="仿宋_GB2312" w:cs="宋体"/>
          <w:color w:val="FF0000"/>
          <w:sz w:val="32"/>
          <w:szCs w:val="32"/>
        </w:rPr>
      </w:pPr>
      <w:r>
        <w:rPr>
          <w:rFonts w:hint="eastAsia" w:ascii="仿宋_GB2312" w:hAnsi="微软雅黑" w:eastAsia="仿宋_GB2312" w:cs="宋体"/>
          <w:color w:val="FF0000"/>
          <w:sz w:val="32"/>
          <w:szCs w:val="32"/>
        </w:rPr>
        <w:t>（更多具体要素请详阅产品说明书）</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注意事项：</w:t>
      </w:r>
    </w:p>
    <w:p>
      <w:pPr>
        <w:adjustRightInd/>
        <w:snapToGrid/>
        <w:spacing w:after="0"/>
        <w:ind w:firstLine="640" w:firstLineChars="200"/>
        <w:rPr>
          <w:rFonts w:ascii="微软雅黑" w:hAnsi="微软雅黑" w:cs="宋体"/>
          <w:color w:val="000000"/>
          <w:sz w:val="30"/>
          <w:szCs w:val="30"/>
        </w:rPr>
      </w:pPr>
      <w:r>
        <w:rPr>
          <w:rFonts w:hint="eastAsia" w:ascii="仿宋_GB2312" w:hAnsi="微软雅黑" w:eastAsia="仿宋_GB2312" w:cs="宋体"/>
          <w:color w:val="000000"/>
          <w:sz w:val="32"/>
          <w:szCs w:val="32"/>
        </w:rPr>
        <w:t>1.该产品销售要求参照我行理财销售相关规定执行。</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2.相关产品销售文件见附件。</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3.如有其他未尽事宜以私人银行部解释为准。</w:t>
      </w:r>
    </w:p>
    <w:p>
      <w:pPr>
        <w:adjustRightInd/>
        <w:snapToGrid/>
        <w:spacing w:after="0"/>
        <w:rPr>
          <w:rFonts w:ascii="微软雅黑" w:hAnsi="微软雅黑" w:cs="宋体"/>
          <w:color w:val="000000"/>
          <w:sz w:val="30"/>
          <w:szCs w:val="30"/>
        </w:rPr>
      </w:pP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附件：1.“</w:t>
      </w:r>
      <w:r>
        <w:rPr>
          <w:rFonts w:hint="eastAsia" w:ascii="仿宋_GB2312" w:hAnsi="微软雅黑" w:eastAsia="仿宋_GB2312" w:cs="宋体"/>
          <w:color w:val="000000"/>
          <w:sz w:val="32"/>
          <w:szCs w:val="32"/>
          <w:lang w:eastAsia="zh-CN"/>
        </w:rPr>
        <w:t>苏银理财恒源鑫泰固收增强最短持有270天</w:t>
      </w:r>
      <w:r>
        <w:rPr>
          <w:rFonts w:hint="eastAsia" w:ascii="仿宋_GB2312" w:hAnsi="微软雅黑" w:eastAsia="仿宋_GB2312" w:cs="宋体"/>
          <w:color w:val="000000"/>
          <w:sz w:val="32"/>
          <w:szCs w:val="32"/>
        </w:rPr>
        <w:t>”理财产品说明书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2. 理财产品(代理)销售协议书、苏银理财有限责任公司理财产品投资协议书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3.“</w:t>
      </w:r>
      <w:r>
        <w:rPr>
          <w:rFonts w:hint="eastAsia" w:ascii="仿宋_GB2312" w:hAnsi="微软雅黑" w:eastAsia="仿宋_GB2312" w:cs="宋体"/>
          <w:color w:val="000000"/>
          <w:sz w:val="32"/>
          <w:szCs w:val="32"/>
          <w:lang w:eastAsia="zh-CN"/>
        </w:rPr>
        <w:t>苏银理财恒源鑫泰固收增强最短持有270天</w:t>
      </w:r>
      <w:r>
        <w:rPr>
          <w:rFonts w:hint="eastAsia" w:ascii="仿宋_GB2312" w:hAnsi="微软雅黑" w:eastAsia="仿宋_GB2312" w:cs="宋体"/>
          <w:color w:val="000000"/>
          <w:sz w:val="32"/>
          <w:szCs w:val="32"/>
        </w:rPr>
        <w:t>”理财产品风险揭示书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4.苏银理财有限责任公司投资者权益须知</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5. 个人客户风险承受能力评估表</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6. 机构客户风险承受能力评估表</w:t>
      </w:r>
    </w:p>
    <w:p>
      <w:pPr>
        <w:adjustRightInd/>
        <w:snapToGrid/>
        <w:spacing w:after="0"/>
        <w:ind w:firstLine="645"/>
        <w:rPr>
          <w:rFonts w:ascii="微软雅黑" w:hAnsi="微软雅黑" w:cs="宋体"/>
          <w:color w:val="000000"/>
          <w:sz w:val="30"/>
          <w:szCs w:val="30"/>
        </w:rPr>
      </w:pPr>
    </w:p>
    <w:p>
      <w:pPr>
        <w:adjustRightInd/>
        <w:snapToGrid/>
        <w:spacing w:after="0"/>
        <w:ind w:firstLine="5760"/>
        <w:rPr>
          <w:rFonts w:ascii="仿宋_GB2312" w:hAnsi="微软雅黑" w:eastAsia="仿宋_GB2312" w:cs="宋体"/>
          <w:color w:val="000000"/>
          <w:sz w:val="32"/>
          <w:szCs w:val="32"/>
        </w:rPr>
      </w:pPr>
    </w:p>
    <w:p>
      <w:pPr>
        <w:adjustRightInd/>
        <w:snapToGrid/>
        <w:spacing w:after="0"/>
        <w:ind w:firstLine="5760"/>
        <w:rPr>
          <w:rFonts w:ascii="仿宋_GB2312" w:hAnsi="微软雅黑" w:eastAsia="仿宋_GB2312" w:cs="宋体"/>
          <w:color w:val="000000"/>
          <w:sz w:val="32"/>
          <w:szCs w:val="32"/>
        </w:rPr>
      </w:pPr>
    </w:p>
    <w:p>
      <w:pPr>
        <w:adjustRightInd/>
        <w:snapToGrid/>
        <w:spacing w:after="0"/>
        <w:ind w:firstLine="5760"/>
        <w:rPr>
          <w:rFonts w:ascii="微软雅黑" w:hAnsi="微软雅黑" w:cs="宋体"/>
          <w:color w:val="000000"/>
          <w:sz w:val="30"/>
          <w:szCs w:val="30"/>
        </w:rPr>
      </w:pPr>
      <w:r>
        <w:rPr>
          <w:rFonts w:hint="eastAsia" w:ascii="仿宋_GB2312" w:hAnsi="微软雅黑" w:eastAsia="仿宋_GB2312" w:cs="宋体"/>
          <w:color w:val="000000"/>
          <w:sz w:val="32"/>
          <w:szCs w:val="32"/>
        </w:rPr>
        <w:t>私人银行部</w:t>
      </w:r>
    </w:p>
    <w:p>
      <w:pPr>
        <w:adjustRightInd/>
        <w:snapToGrid/>
        <w:spacing w:after="0"/>
        <w:ind w:firstLine="5445"/>
      </w:pPr>
      <w:r>
        <w:rPr>
          <w:rFonts w:hint="eastAsia" w:ascii="仿宋_GB2312" w:hAnsi="微软雅黑" w:eastAsia="仿宋_GB2312" w:cs="宋体"/>
          <w:color w:val="000000"/>
          <w:sz w:val="32"/>
          <w:szCs w:val="32"/>
        </w:rPr>
        <w:t>2025年</w:t>
      </w:r>
      <w:r>
        <w:rPr>
          <w:rFonts w:hint="eastAsia" w:ascii="仿宋_GB2312" w:hAnsi="微软雅黑" w:eastAsia="仿宋_GB2312" w:cs="宋体"/>
          <w:color w:val="000000"/>
          <w:sz w:val="32"/>
          <w:szCs w:val="32"/>
          <w:lang w:val="en-US" w:eastAsia="zh-CN"/>
        </w:rPr>
        <w:t>9</w:t>
      </w:r>
      <w:r>
        <w:rPr>
          <w:rFonts w:hint="eastAsia" w:ascii="仿宋_GB2312" w:hAnsi="微软雅黑" w:eastAsia="仿宋_GB2312" w:cs="宋体"/>
          <w:color w:val="000000"/>
          <w:sz w:val="32"/>
          <w:szCs w:val="32"/>
        </w:rPr>
        <w:t>月</w:t>
      </w:r>
      <w:r>
        <w:rPr>
          <w:rFonts w:hint="eastAsia" w:ascii="仿宋_GB2312" w:hAnsi="微软雅黑" w:eastAsia="仿宋_GB2312" w:cs="宋体"/>
          <w:color w:val="000000"/>
          <w:sz w:val="32"/>
          <w:szCs w:val="32"/>
          <w:lang w:val="en-US" w:eastAsia="zh-CN"/>
        </w:rPr>
        <w:t>9</w:t>
      </w:r>
      <w:r>
        <w:rPr>
          <w:rFonts w:hint="eastAsia" w:ascii="仿宋_GB2312" w:hAnsi="微软雅黑" w:eastAsia="仿宋_GB2312" w:cs="宋体"/>
          <w:color w:val="000000"/>
          <w:sz w:val="32"/>
          <w:szCs w:val="32"/>
        </w:rPr>
        <w:t>日</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rsids>
    <w:rsidRoot w:val="00D31D50"/>
    <w:rsid w:val="00002A13"/>
    <w:rsid w:val="00014D89"/>
    <w:rsid w:val="0002233E"/>
    <w:rsid w:val="00025736"/>
    <w:rsid w:val="00030E86"/>
    <w:rsid w:val="00036368"/>
    <w:rsid w:val="0003731F"/>
    <w:rsid w:val="000430CA"/>
    <w:rsid w:val="00050465"/>
    <w:rsid w:val="000547BB"/>
    <w:rsid w:val="000618D3"/>
    <w:rsid w:val="0006322B"/>
    <w:rsid w:val="0006327A"/>
    <w:rsid w:val="000729EB"/>
    <w:rsid w:val="00074AD2"/>
    <w:rsid w:val="000812F4"/>
    <w:rsid w:val="000910E1"/>
    <w:rsid w:val="000936F7"/>
    <w:rsid w:val="00095294"/>
    <w:rsid w:val="000957AC"/>
    <w:rsid w:val="000A5028"/>
    <w:rsid w:val="000A7695"/>
    <w:rsid w:val="000B5C2A"/>
    <w:rsid w:val="000D30E3"/>
    <w:rsid w:val="000D3348"/>
    <w:rsid w:val="000E18A2"/>
    <w:rsid w:val="000E1FA9"/>
    <w:rsid w:val="000E7543"/>
    <w:rsid w:val="000F4049"/>
    <w:rsid w:val="0010440D"/>
    <w:rsid w:val="00110B5C"/>
    <w:rsid w:val="0011188B"/>
    <w:rsid w:val="00113224"/>
    <w:rsid w:val="001157D7"/>
    <w:rsid w:val="001225F8"/>
    <w:rsid w:val="00134BE7"/>
    <w:rsid w:val="0014766F"/>
    <w:rsid w:val="00152D94"/>
    <w:rsid w:val="00156217"/>
    <w:rsid w:val="00157799"/>
    <w:rsid w:val="0016069B"/>
    <w:rsid w:val="00160908"/>
    <w:rsid w:val="00170032"/>
    <w:rsid w:val="00174CF3"/>
    <w:rsid w:val="00174FC8"/>
    <w:rsid w:val="001810F6"/>
    <w:rsid w:val="00182785"/>
    <w:rsid w:val="001834DB"/>
    <w:rsid w:val="00190048"/>
    <w:rsid w:val="00194C32"/>
    <w:rsid w:val="00196E1B"/>
    <w:rsid w:val="001A32AD"/>
    <w:rsid w:val="001A556D"/>
    <w:rsid w:val="001B2273"/>
    <w:rsid w:val="001B26D8"/>
    <w:rsid w:val="001D3092"/>
    <w:rsid w:val="001D40A6"/>
    <w:rsid w:val="001F3153"/>
    <w:rsid w:val="001F72B5"/>
    <w:rsid w:val="00201E20"/>
    <w:rsid w:val="00206F8F"/>
    <w:rsid w:val="00207F97"/>
    <w:rsid w:val="00214CF7"/>
    <w:rsid w:val="00216E71"/>
    <w:rsid w:val="002235BC"/>
    <w:rsid w:val="00233CED"/>
    <w:rsid w:val="00236FDA"/>
    <w:rsid w:val="00244EE2"/>
    <w:rsid w:val="002463C9"/>
    <w:rsid w:val="002513BD"/>
    <w:rsid w:val="00257856"/>
    <w:rsid w:val="00277323"/>
    <w:rsid w:val="002777A1"/>
    <w:rsid w:val="00283408"/>
    <w:rsid w:val="0028525D"/>
    <w:rsid w:val="002866F6"/>
    <w:rsid w:val="0029028F"/>
    <w:rsid w:val="002A2C83"/>
    <w:rsid w:val="002A3E43"/>
    <w:rsid w:val="002B1948"/>
    <w:rsid w:val="002B6618"/>
    <w:rsid w:val="002C122F"/>
    <w:rsid w:val="002C248B"/>
    <w:rsid w:val="002C70E5"/>
    <w:rsid w:val="002D757D"/>
    <w:rsid w:val="002D7671"/>
    <w:rsid w:val="002E2A41"/>
    <w:rsid w:val="002E3ECB"/>
    <w:rsid w:val="002E7145"/>
    <w:rsid w:val="002F00B3"/>
    <w:rsid w:val="002F02FE"/>
    <w:rsid w:val="002F07C0"/>
    <w:rsid w:val="003059D5"/>
    <w:rsid w:val="00307AFA"/>
    <w:rsid w:val="00320D56"/>
    <w:rsid w:val="00322F4C"/>
    <w:rsid w:val="00323B43"/>
    <w:rsid w:val="00335FBE"/>
    <w:rsid w:val="003447B3"/>
    <w:rsid w:val="00347193"/>
    <w:rsid w:val="003476A4"/>
    <w:rsid w:val="00353BA9"/>
    <w:rsid w:val="00355E21"/>
    <w:rsid w:val="00357EB7"/>
    <w:rsid w:val="00361A72"/>
    <w:rsid w:val="00363805"/>
    <w:rsid w:val="00374AE2"/>
    <w:rsid w:val="00386CE1"/>
    <w:rsid w:val="00393219"/>
    <w:rsid w:val="003936A4"/>
    <w:rsid w:val="003936B9"/>
    <w:rsid w:val="003A15E6"/>
    <w:rsid w:val="003C0D6B"/>
    <w:rsid w:val="003C1D41"/>
    <w:rsid w:val="003C2C03"/>
    <w:rsid w:val="003D37D8"/>
    <w:rsid w:val="003D4715"/>
    <w:rsid w:val="003D710A"/>
    <w:rsid w:val="003E2BFC"/>
    <w:rsid w:val="003E5A9F"/>
    <w:rsid w:val="003F70AB"/>
    <w:rsid w:val="00410A33"/>
    <w:rsid w:val="00422AD1"/>
    <w:rsid w:val="00424A38"/>
    <w:rsid w:val="00426133"/>
    <w:rsid w:val="004349C0"/>
    <w:rsid w:val="004358AB"/>
    <w:rsid w:val="00443E90"/>
    <w:rsid w:val="00450005"/>
    <w:rsid w:val="00450C77"/>
    <w:rsid w:val="0045680A"/>
    <w:rsid w:val="00463028"/>
    <w:rsid w:val="00471A3B"/>
    <w:rsid w:val="004749F0"/>
    <w:rsid w:val="00476C3B"/>
    <w:rsid w:val="0047785F"/>
    <w:rsid w:val="0049140E"/>
    <w:rsid w:val="00496E4F"/>
    <w:rsid w:val="004B4CFA"/>
    <w:rsid w:val="004C175A"/>
    <w:rsid w:val="004C7CF2"/>
    <w:rsid w:val="004F0CCD"/>
    <w:rsid w:val="00510995"/>
    <w:rsid w:val="005168C5"/>
    <w:rsid w:val="005218F6"/>
    <w:rsid w:val="00523BDD"/>
    <w:rsid w:val="0052515C"/>
    <w:rsid w:val="00530F2D"/>
    <w:rsid w:val="0053663D"/>
    <w:rsid w:val="00536DF2"/>
    <w:rsid w:val="00537BF8"/>
    <w:rsid w:val="00540DC7"/>
    <w:rsid w:val="00543584"/>
    <w:rsid w:val="00543782"/>
    <w:rsid w:val="0055369F"/>
    <w:rsid w:val="0055709E"/>
    <w:rsid w:val="00566993"/>
    <w:rsid w:val="00566C07"/>
    <w:rsid w:val="00570005"/>
    <w:rsid w:val="005873AF"/>
    <w:rsid w:val="005A6CFB"/>
    <w:rsid w:val="005A7A21"/>
    <w:rsid w:val="005B1774"/>
    <w:rsid w:val="005B45CF"/>
    <w:rsid w:val="005B496B"/>
    <w:rsid w:val="005C0D21"/>
    <w:rsid w:val="005C155D"/>
    <w:rsid w:val="005C31E9"/>
    <w:rsid w:val="005C4206"/>
    <w:rsid w:val="005C5781"/>
    <w:rsid w:val="005D072F"/>
    <w:rsid w:val="005D0DEE"/>
    <w:rsid w:val="005F2B78"/>
    <w:rsid w:val="00606205"/>
    <w:rsid w:val="00607358"/>
    <w:rsid w:val="00607EC0"/>
    <w:rsid w:val="00610019"/>
    <w:rsid w:val="006110FC"/>
    <w:rsid w:val="00611544"/>
    <w:rsid w:val="006128D5"/>
    <w:rsid w:val="006148C9"/>
    <w:rsid w:val="0061606F"/>
    <w:rsid w:val="00620A17"/>
    <w:rsid w:val="006214F4"/>
    <w:rsid w:val="006648D9"/>
    <w:rsid w:val="00677D5A"/>
    <w:rsid w:val="006919F0"/>
    <w:rsid w:val="006A1D72"/>
    <w:rsid w:val="006A48A0"/>
    <w:rsid w:val="006C44CC"/>
    <w:rsid w:val="006E08D8"/>
    <w:rsid w:val="006F04BE"/>
    <w:rsid w:val="006F7856"/>
    <w:rsid w:val="00701C74"/>
    <w:rsid w:val="0070239F"/>
    <w:rsid w:val="00702508"/>
    <w:rsid w:val="007121C4"/>
    <w:rsid w:val="00714B02"/>
    <w:rsid w:val="007248B8"/>
    <w:rsid w:val="00727337"/>
    <w:rsid w:val="0073205A"/>
    <w:rsid w:val="00732B85"/>
    <w:rsid w:val="00740E8C"/>
    <w:rsid w:val="00741563"/>
    <w:rsid w:val="007471D4"/>
    <w:rsid w:val="00747E0A"/>
    <w:rsid w:val="00750298"/>
    <w:rsid w:val="00761130"/>
    <w:rsid w:val="007673F5"/>
    <w:rsid w:val="007675CD"/>
    <w:rsid w:val="007745AD"/>
    <w:rsid w:val="00776067"/>
    <w:rsid w:val="00783419"/>
    <w:rsid w:val="00785657"/>
    <w:rsid w:val="007865C9"/>
    <w:rsid w:val="007873F2"/>
    <w:rsid w:val="00793A91"/>
    <w:rsid w:val="00796629"/>
    <w:rsid w:val="007A6260"/>
    <w:rsid w:val="007C416B"/>
    <w:rsid w:val="007C44C4"/>
    <w:rsid w:val="007D0528"/>
    <w:rsid w:val="007D35F2"/>
    <w:rsid w:val="007D3BB9"/>
    <w:rsid w:val="007D6855"/>
    <w:rsid w:val="00817F98"/>
    <w:rsid w:val="008201C5"/>
    <w:rsid w:val="00827FB9"/>
    <w:rsid w:val="008445DB"/>
    <w:rsid w:val="008450A8"/>
    <w:rsid w:val="008507C0"/>
    <w:rsid w:val="0085497C"/>
    <w:rsid w:val="00854BCB"/>
    <w:rsid w:val="0086092D"/>
    <w:rsid w:val="00862981"/>
    <w:rsid w:val="00867E9B"/>
    <w:rsid w:val="00884835"/>
    <w:rsid w:val="008930CD"/>
    <w:rsid w:val="00893277"/>
    <w:rsid w:val="00894AA0"/>
    <w:rsid w:val="00895EEF"/>
    <w:rsid w:val="00896D1C"/>
    <w:rsid w:val="008972C8"/>
    <w:rsid w:val="00897920"/>
    <w:rsid w:val="008A6AC1"/>
    <w:rsid w:val="008B008A"/>
    <w:rsid w:val="008B4334"/>
    <w:rsid w:val="008B450C"/>
    <w:rsid w:val="008B4E39"/>
    <w:rsid w:val="008B6523"/>
    <w:rsid w:val="008B7726"/>
    <w:rsid w:val="008C49E6"/>
    <w:rsid w:val="008D4402"/>
    <w:rsid w:val="008F2B7A"/>
    <w:rsid w:val="008F3B9E"/>
    <w:rsid w:val="008F7CA5"/>
    <w:rsid w:val="00903E35"/>
    <w:rsid w:val="00906053"/>
    <w:rsid w:val="00911DE1"/>
    <w:rsid w:val="00916AFD"/>
    <w:rsid w:val="0094064E"/>
    <w:rsid w:val="00951BFC"/>
    <w:rsid w:val="00953E58"/>
    <w:rsid w:val="00954AA4"/>
    <w:rsid w:val="0096633A"/>
    <w:rsid w:val="0096677C"/>
    <w:rsid w:val="00971266"/>
    <w:rsid w:val="00975280"/>
    <w:rsid w:val="00986A17"/>
    <w:rsid w:val="00986ED0"/>
    <w:rsid w:val="00996AC4"/>
    <w:rsid w:val="009A057A"/>
    <w:rsid w:val="009A5FF7"/>
    <w:rsid w:val="009A6871"/>
    <w:rsid w:val="009B21F1"/>
    <w:rsid w:val="009B2786"/>
    <w:rsid w:val="009B2C38"/>
    <w:rsid w:val="009D1D85"/>
    <w:rsid w:val="009D5A75"/>
    <w:rsid w:val="009E16F2"/>
    <w:rsid w:val="009E18E4"/>
    <w:rsid w:val="009F7C7A"/>
    <w:rsid w:val="00A01DF4"/>
    <w:rsid w:val="00A215C9"/>
    <w:rsid w:val="00A30CF8"/>
    <w:rsid w:val="00A4169B"/>
    <w:rsid w:val="00A54155"/>
    <w:rsid w:val="00A65280"/>
    <w:rsid w:val="00A6775F"/>
    <w:rsid w:val="00A7707D"/>
    <w:rsid w:val="00A838DC"/>
    <w:rsid w:val="00A84AE0"/>
    <w:rsid w:val="00A90D0C"/>
    <w:rsid w:val="00A9135E"/>
    <w:rsid w:val="00A9294C"/>
    <w:rsid w:val="00AA23FA"/>
    <w:rsid w:val="00AB14BA"/>
    <w:rsid w:val="00AB4B2F"/>
    <w:rsid w:val="00AB6BA4"/>
    <w:rsid w:val="00AC33B2"/>
    <w:rsid w:val="00AC6774"/>
    <w:rsid w:val="00AD4C9C"/>
    <w:rsid w:val="00AE0AF2"/>
    <w:rsid w:val="00AE42D4"/>
    <w:rsid w:val="00AE6487"/>
    <w:rsid w:val="00B01B88"/>
    <w:rsid w:val="00B02F94"/>
    <w:rsid w:val="00B126A7"/>
    <w:rsid w:val="00B13B8C"/>
    <w:rsid w:val="00B17CEE"/>
    <w:rsid w:val="00B20784"/>
    <w:rsid w:val="00B21220"/>
    <w:rsid w:val="00B22801"/>
    <w:rsid w:val="00B24A4C"/>
    <w:rsid w:val="00B252B4"/>
    <w:rsid w:val="00B27E33"/>
    <w:rsid w:val="00B305FC"/>
    <w:rsid w:val="00B33E38"/>
    <w:rsid w:val="00B4326E"/>
    <w:rsid w:val="00B73A10"/>
    <w:rsid w:val="00B86723"/>
    <w:rsid w:val="00B941A3"/>
    <w:rsid w:val="00B941AB"/>
    <w:rsid w:val="00B974A9"/>
    <w:rsid w:val="00BA2412"/>
    <w:rsid w:val="00BA7C4A"/>
    <w:rsid w:val="00BB0278"/>
    <w:rsid w:val="00BB554B"/>
    <w:rsid w:val="00BF73F3"/>
    <w:rsid w:val="00C00041"/>
    <w:rsid w:val="00C0423C"/>
    <w:rsid w:val="00C07A9F"/>
    <w:rsid w:val="00C15704"/>
    <w:rsid w:val="00C17395"/>
    <w:rsid w:val="00C23A87"/>
    <w:rsid w:val="00C344A1"/>
    <w:rsid w:val="00C468C3"/>
    <w:rsid w:val="00C50931"/>
    <w:rsid w:val="00C60359"/>
    <w:rsid w:val="00C61324"/>
    <w:rsid w:val="00C63EDB"/>
    <w:rsid w:val="00C66A8C"/>
    <w:rsid w:val="00C71423"/>
    <w:rsid w:val="00C77D66"/>
    <w:rsid w:val="00C849D4"/>
    <w:rsid w:val="00C858B2"/>
    <w:rsid w:val="00CA5843"/>
    <w:rsid w:val="00CA70DD"/>
    <w:rsid w:val="00CB16FF"/>
    <w:rsid w:val="00CB29BA"/>
    <w:rsid w:val="00CB2A01"/>
    <w:rsid w:val="00CB39C9"/>
    <w:rsid w:val="00CD21BA"/>
    <w:rsid w:val="00CD328F"/>
    <w:rsid w:val="00CD4295"/>
    <w:rsid w:val="00CD4F0F"/>
    <w:rsid w:val="00CD5295"/>
    <w:rsid w:val="00CD74BD"/>
    <w:rsid w:val="00CE0BFB"/>
    <w:rsid w:val="00CE0C36"/>
    <w:rsid w:val="00CE2CE5"/>
    <w:rsid w:val="00CF5224"/>
    <w:rsid w:val="00D0319E"/>
    <w:rsid w:val="00D10241"/>
    <w:rsid w:val="00D11BD4"/>
    <w:rsid w:val="00D30D95"/>
    <w:rsid w:val="00D31D50"/>
    <w:rsid w:val="00D33751"/>
    <w:rsid w:val="00D34922"/>
    <w:rsid w:val="00D35072"/>
    <w:rsid w:val="00D3536D"/>
    <w:rsid w:val="00D37D23"/>
    <w:rsid w:val="00D42DFD"/>
    <w:rsid w:val="00D4593C"/>
    <w:rsid w:val="00D476F9"/>
    <w:rsid w:val="00D51249"/>
    <w:rsid w:val="00D5218E"/>
    <w:rsid w:val="00D5491D"/>
    <w:rsid w:val="00D54FDC"/>
    <w:rsid w:val="00D57471"/>
    <w:rsid w:val="00D65F61"/>
    <w:rsid w:val="00D67754"/>
    <w:rsid w:val="00D7627A"/>
    <w:rsid w:val="00D763B7"/>
    <w:rsid w:val="00D8428B"/>
    <w:rsid w:val="00D92419"/>
    <w:rsid w:val="00DA20C2"/>
    <w:rsid w:val="00DA521E"/>
    <w:rsid w:val="00DA6344"/>
    <w:rsid w:val="00DB1998"/>
    <w:rsid w:val="00DB267C"/>
    <w:rsid w:val="00DC08E6"/>
    <w:rsid w:val="00DC09A0"/>
    <w:rsid w:val="00DC1A5A"/>
    <w:rsid w:val="00DC23CA"/>
    <w:rsid w:val="00DD1E41"/>
    <w:rsid w:val="00DD52AA"/>
    <w:rsid w:val="00DE103B"/>
    <w:rsid w:val="00DE145A"/>
    <w:rsid w:val="00DE39B7"/>
    <w:rsid w:val="00DF1569"/>
    <w:rsid w:val="00DF6EDD"/>
    <w:rsid w:val="00DF7361"/>
    <w:rsid w:val="00DF7E82"/>
    <w:rsid w:val="00E05633"/>
    <w:rsid w:val="00E210A0"/>
    <w:rsid w:val="00E328E5"/>
    <w:rsid w:val="00E342C9"/>
    <w:rsid w:val="00E37B32"/>
    <w:rsid w:val="00E42E54"/>
    <w:rsid w:val="00E4437E"/>
    <w:rsid w:val="00E51943"/>
    <w:rsid w:val="00E52C1A"/>
    <w:rsid w:val="00E545D0"/>
    <w:rsid w:val="00E65FB9"/>
    <w:rsid w:val="00E73BDD"/>
    <w:rsid w:val="00E74D03"/>
    <w:rsid w:val="00E773E2"/>
    <w:rsid w:val="00E774C6"/>
    <w:rsid w:val="00E775F8"/>
    <w:rsid w:val="00E807D3"/>
    <w:rsid w:val="00E85118"/>
    <w:rsid w:val="00E85459"/>
    <w:rsid w:val="00E86AD3"/>
    <w:rsid w:val="00EA1489"/>
    <w:rsid w:val="00EA2655"/>
    <w:rsid w:val="00EB3586"/>
    <w:rsid w:val="00EC780B"/>
    <w:rsid w:val="00ED576C"/>
    <w:rsid w:val="00EE0CF8"/>
    <w:rsid w:val="00EE3A96"/>
    <w:rsid w:val="00EE50F7"/>
    <w:rsid w:val="00EF297D"/>
    <w:rsid w:val="00EF76FE"/>
    <w:rsid w:val="00F04234"/>
    <w:rsid w:val="00F047DC"/>
    <w:rsid w:val="00F070F5"/>
    <w:rsid w:val="00F11CB2"/>
    <w:rsid w:val="00F20187"/>
    <w:rsid w:val="00F21AAA"/>
    <w:rsid w:val="00F21F5B"/>
    <w:rsid w:val="00F234C6"/>
    <w:rsid w:val="00F24E77"/>
    <w:rsid w:val="00F24FA8"/>
    <w:rsid w:val="00F34A59"/>
    <w:rsid w:val="00F474DE"/>
    <w:rsid w:val="00F634A7"/>
    <w:rsid w:val="00F7443F"/>
    <w:rsid w:val="00F805F0"/>
    <w:rsid w:val="00F825A1"/>
    <w:rsid w:val="00F9041B"/>
    <w:rsid w:val="00F94E57"/>
    <w:rsid w:val="00F957A8"/>
    <w:rsid w:val="00F96EC9"/>
    <w:rsid w:val="00FA233C"/>
    <w:rsid w:val="00FA5448"/>
    <w:rsid w:val="00FA792A"/>
    <w:rsid w:val="00FB04F3"/>
    <w:rsid w:val="00FB07AF"/>
    <w:rsid w:val="00FB39AB"/>
    <w:rsid w:val="00FC1CBF"/>
    <w:rsid w:val="00FC73A4"/>
    <w:rsid w:val="00FD35EB"/>
    <w:rsid w:val="00FE0475"/>
    <w:rsid w:val="00FF00D9"/>
    <w:rsid w:val="00FF24E9"/>
    <w:rsid w:val="01467425"/>
    <w:rsid w:val="02C17743"/>
    <w:rsid w:val="03AC2408"/>
    <w:rsid w:val="09777728"/>
    <w:rsid w:val="09FF56E8"/>
    <w:rsid w:val="0D061CD4"/>
    <w:rsid w:val="0D0F7A88"/>
    <w:rsid w:val="0D637775"/>
    <w:rsid w:val="0DAB0DF4"/>
    <w:rsid w:val="11E470A0"/>
    <w:rsid w:val="1302330E"/>
    <w:rsid w:val="15092D84"/>
    <w:rsid w:val="157E2393"/>
    <w:rsid w:val="18024DC4"/>
    <w:rsid w:val="19211303"/>
    <w:rsid w:val="1C4E296B"/>
    <w:rsid w:val="1CC77981"/>
    <w:rsid w:val="1CD01DD6"/>
    <w:rsid w:val="1CD15F5D"/>
    <w:rsid w:val="1FF27F0A"/>
    <w:rsid w:val="22BD0682"/>
    <w:rsid w:val="259C3DDF"/>
    <w:rsid w:val="281D2B92"/>
    <w:rsid w:val="285B7244"/>
    <w:rsid w:val="2F505EBA"/>
    <w:rsid w:val="346D37AA"/>
    <w:rsid w:val="360B4A64"/>
    <w:rsid w:val="37D92952"/>
    <w:rsid w:val="37EF655D"/>
    <w:rsid w:val="37F162BF"/>
    <w:rsid w:val="389A0168"/>
    <w:rsid w:val="3A7137AE"/>
    <w:rsid w:val="3C145106"/>
    <w:rsid w:val="3E7440B0"/>
    <w:rsid w:val="437A0EFD"/>
    <w:rsid w:val="471B4F9C"/>
    <w:rsid w:val="4727670F"/>
    <w:rsid w:val="48410F19"/>
    <w:rsid w:val="488B669C"/>
    <w:rsid w:val="498D2846"/>
    <w:rsid w:val="4DC360A2"/>
    <w:rsid w:val="52C1180B"/>
    <w:rsid w:val="53A7561E"/>
    <w:rsid w:val="569A1942"/>
    <w:rsid w:val="573E6F54"/>
    <w:rsid w:val="59526AAF"/>
    <w:rsid w:val="596646BA"/>
    <w:rsid w:val="599469F4"/>
    <w:rsid w:val="5CB409EC"/>
    <w:rsid w:val="5D6B5C61"/>
    <w:rsid w:val="5F763953"/>
    <w:rsid w:val="64680F4A"/>
    <w:rsid w:val="657753C8"/>
    <w:rsid w:val="65ED6841"/>
    <w:rsid w:val="6F753C32"/>
    <w:rsid w:val="707F71F1"/>
    <w:rsid w:val="73053858"/>
    <w:rsid w:val="730E7BA1"/>
    <w:rsid w:val="788F055B"/>
    <w:rsid w:val="78CD7418"/>
    <w:rsid w:val="7CD75C71"/>
    <w:rsid w:val="7DD325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kern w:val="0"/>
      <w:sz w:val="20"/>
      <w:szCs w:val="21"/>
    </w:rPr>
  </w:style>
  <w:style w:type="paragraph" w:styleId="3">
    <w:name w:val="Balloon Text"/>
    <w:basedOn w:val="1"/>
    <w:link w:val="14"/>
    <w:semiHidden/>
    <w:unhideWhenUsed/>
    <w:qFormat/>
    <w:uiPriority w:val="99"/>
    <w:pPr>
      <w:spacing w:after="0"/>
    </w:pPr>
    <w:rPr>
      <w:sz w:val="18"/>
      <w:szCs w:val="18"/>
    </w:rPr>
  </w:style>
  <w:style w:type="paragraph" w:styleId="4">
    <w:name w:val="footer"/>
    <w:basedOn w:val="1"/>
    <w:link w:val="12"/>
    <w:unhideWhenUsed/>
    <w:qFormat/>
    <w:uiPriority w:val="99"/>
    <w:pPr>
      <w:tabs>
        <w:tab w:val="center" w:pos="4153"/>
        <w:tab w:val="right" w:pos="8306"/>
      </w:tabs>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9">
    <w:name w:val="Strong"/>
    <w:basedOn w:val="8"/>
    <w:qFormat/>
    <w:uiPriority w:val="22"/>
    <w:rPr>
      <w:b/>
      <w:bCs/>
    </w:rPr>
  </w:style>
  <w:style w:type="character" w:styleId="10">
    <w:name w:val="Hyperlink"/>
    <w:basedOn w:val="8"/>
    <w:semiHidden/>
    <w:unhideWhenUsed/>
    <w:qFormat/>
    <w:uiPriority w:val="99"/>
    <w:rPr>
      <w:color w:val="0000FF"/>
      <w:u w:val="single"/>
    </w:rPr>
  </w:style>
  <w:style w:type="character" w:customStyle="1" w:styleId="11">
    <w:name w:val="页眉 Char"/>
    <w:basedOn w:val="8"/>
    <w:link w:val="5"/>
    <w:qFormat/>
    <w:uiPriority w:val="99"/>
    <w:rPr>
      <w:rFonts w:ascii="Tahoma" w:hAnsi="Tahoma"/>
      <w:sz w:val="18"/>
      <w:szCs w:val="18"/>
    </w:rPr>
  </w:style>
  <w:style w:type="character" w:customStyle="1" w:styleId="12">
    <w:name w:val="页脚 Char"/>
    <w:basedOn w:val="8"/>
    <w:link w:val="4"/>
    <w:qFormat/>
    <w:uiPriority w:val="99"/>
    <w:rPr>
      <w:rFonts w:ascii="Tahoma" w:hAnsi="Tahoma"/>
      <w:sz w:val="18"/>
      <w:szCs w:val="18"/>
    </w:rPr>
  </w:style>
  <w:style w:type="character" w:customStyle="1" w:styleId="13">
    <w:name w:val="apple-converted-space"/>
    <w:basedOn w:val="8"/>
    <w:qFormat/>
    <w:uiPriority w:val="0"/>
  </w:style>
  <w:style w:type="character" w:customStyle="1" w:styleId="14">
    <w:name w:val="批注框文本 Char"/>
    <w:basedOn w:val="8"/>
    <w:link w:val="3"/>
    <w:semiHidden/>
    <w:qFormat/>
    <w:uiPriority w:val="99"/>
    <w:rPr>
      <w:rFonts w:ascii="Tahoma" w:hAnsi="Tahoma"/>
      <w:sz w:val="18"/>
      <w:szCs w:val="18"/>
    </w:rPr>
  </w:style>
  <w:style w:type="paragraph" w:customStyle="1" w:styleId="15">
    <w:name w:val="Table Paragraph"/>
    <w:basedOn w:val="1"/>
    <w:qFormat/>
    <w:uiPriority w:val="1"/>
    <w:pPr>
      <w:widowControl w:val="0"/>
      <w:autoSpaceDE w:val="0"/>
      <w:autoSpaceDN w:val="0"/>
      <w:snapToGrid/>
      <w:spacing w:after="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555</Words>
  <Characters>3170</Characters>
  <Lines>26</Lines>
  <Paragraphs>7</Paragraphs>
  <TotalTime>0</TotalTime>
  <ScaleCrop>false</ScaleCrop>
  <LinksUpToDate>false</LinksUpToDate>
  <CharactersWithSpaces>3718</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user</cp:lastModifiedBy>
  <cp:lastPrinted>2021-06-03T04:20:00Z</cp:lastPrinted>
  <dcterms:modified xsi:type="dcterms:W3CDTF">2025-09-09T08:17:23Z</dcterms:modified>
  <cp:revision>397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048AEE60E7C840B2AF11B73D7D5F2800</vt:lpwstr>
  </property>
</Properties>
</file>