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ascii="宋体" w:hAnsi="宋体" w:eastAsia="宋体" w:cs="宋体"/>
          <w:sz w:val="24"/>
          <w:szCs w:val="24"/>
        </w:rPr>
      </w:pPr>
      <w:r>
        <w:rPr>
          <w:rFonts w:hint="eastAsia" w:ascii="宋体" w:hAnsi="宋体" w:eastAsia="宋体" w:cs="宋体"/>
          <w:b/>
          <w:bCs/>
          <w:sz w:val="36"/>
        </w:rPr>
        <w:t>关于代销</w:t>
      </w:r>
      <w:r>
        <w:rPr>
          <w:rFonts w:hint="eastAsia" w:ascii="宋体" w:hAnsi="宋体" w:eastAsia="宋体" w:cs="宋体"/>
          <w:b/>
          <w:bCs/>
          <w:sz w:val="36"/>
          <w:lang w:eastAsia="zh-CN"/>
        </w:rPr>
        <w:t>苏银理财恒源鑫安最短持有180天</w:t>
      </w:r>
      <w:r>
        <w:rPr>
          <w:rFonts w:hint="eastAsia" w:ascii="宋体" w:hAnsi="宋体" w:eastAsia="宋体" w:cs="宋体"/>
          <w:b/>
          <w:bCs/>
          <w:sz w:val="36"/>
        </w:rPr>
        <w:t>的通知</w:t>
      </w:r>
    </w:p>
    <w:p>
      <w:pPr>
        <w:adjustRightInd/>
        <w:snapToGrid/>
        <w:spacing w:after="0" w:line="555" w:lineRule="atLeast"/>
        <w:rPr>
          <w:rFonts w:ascii="微软雅黑" w:hAnsi="微软雅黑" w:cs="宋体"/>
          <w:color w:val="000000"/>
          <w:sz w:val="30"/>
          <w:szCs w:val="30"/>
        </w:rPr>
      </w:pPr>
      <w:r>
        <w:rPr>
          <w:rFonts w:hint="eastAsia" w:ascii="仿宋_GB2312" w:hAnsi="微软雅黑" w:eastAsia="仿宋_GB2312" w:cs="宋体"/>
          <w:color w:val="000000"/>
          <w:sz w:val="32"/>
          <w:szCs w:val="32"/>
        </w:rPr>
        <w:t>各分(支)行、总行营业部：</w:t>
      </w:r>
    </w:p>
    <w:p>
      <w:pPr>
        <w:adjustRightInd/>
        <w:snapToGrid/>
        <w:spacing w:after="0"/>
        <w:ind w:firstLine="63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我行代销</w:t>
      </w:r>
      <w:r>
        <w:rPr>
          <w:rFonts w:hint="eastAsia" w:ascii="仿宋_GB2312" w:hAnsi="微软雅黑" w:eastAsia="仿宋_GB2312" w:cs="宋体"/>
          <w:color w:val="FF0000"/>
          <w:sz w:val="32"/>
          <w:szCs w:val="32"/>
        </w:rPr>
        <w:t>苏银理财有限责任公司</w:t>
      </w:r>
      <w:r>
        <w:rPr>
          <w:rFonts w:hint="eastAsia" w:ascii="仿宋_GB2312" w:hAnsi="微软雅黑" w:eastAsia="仿宋_GB2312" w:cs="宋体"/>
          <w:color w:val="000000"/>
          <w:sz w:val="32"/>
          <w:szCs w:val="32"/>
        </w:rPr>
        <w:t>发行的</w:t>
      </w:r>
      <w:r>
        <w:rPr>
          <w:rFonts w:hint="eastAsia" w:ascii="仿宋_GB2312" w:hAnsi="微软雅黑" w:eastAsia="仿宋_GB2312" w:cs="宋体"/>
          <w:color w:val="000000"/>
          <w:sz w:val="32"/>
          <w:szCs w:val="32"/>
          <w:lang w:eastAsia="zh-CN"/>
        </w:rPr>
        <w:t>苏银理财恒源鑫安最短持有180天</w:t>
      </w:r>
      <w:r>
        <w:rPr>
          <w:rFonts w:hint="eastAsia" w:ascii="仿宋_GB2312" w:hAnsi="微软雅黑" w:eastAsia="仿宋_GB2312" w:cs="宋体"/>
          <w:color w:val="000000"/>
          <w:sz w:val="32"/>
          <w:szCs w:val="32"/>
        </w:rPr>
        <w:t>将</w:t>
      </w:r>
      <w:r>
        <w:rPr>
          <w:rFonts w:hint="eastAsia" w:ascii="仿宋_GB2312" w:hAnsi="微软雅黑" w:eastAsia="仿宋_GB2312" w:cs="宋体"/>
          <w:sz w:val="32"/>
          <w:szCs w:val="32"/>
        </w:rPr>
        <w:t>于</w:t>
      </w:r>
      <w:r>
        <w:rPr>
          <w:rFonts w:hint="eastAsia" w:ascii="仿宋_GB2312" w:hAnsi="微软雅黑" w:eastAsia="仿宋_GB2312" w:cs="宋体"/>
          <w:color w:val="FF0000"/>
          <w:sz w:val="32"/>
          <w:szCs w:val="32"/>
        </w:rPr>
        <w:t>2025年</w:t>
      </w:r>
      <w:r>
        <w:rPr>
          <w:rFonts w:hint="eastAsia" w:ascii="仿宋_GB2312" w:hAnsi="微软雅黑" w:eastAsia="仿宋_GB2312" w:cs="宋体"/>
          <w:color w:val="FF0000"/>
          <w:sz w:val="32"/>
          <w:szCs w:val="32"/>
          <w:lang w:val="en-US" w:eastAsia="zh-CN"/>
        </w:rPr>
        <w:t>9</w:t>
      </w:r>
      <w:r>
        <w:rPr>
          <w:rFonts w:hint="eastAsia" w:ascii="仿宋_GB2312" w:hAnsi="微软雅黑" w:eastAsia="仿宋_GB2312" w:cs="宋体"/>
          <w:color w:val="FF0000"/>
          <w:sz w:val="32"/>
          <w:szCs w:val="32"/>
        </w:rPr>
        <w:t>月</w:t>
      </w:r>
      <w:r>
        <w:rPr>
          <w:rFonts w:hint="eastAsia" w:ascii="仿宋_GB2312" w:hAnsi="微软雅黑" w:eastAsia="仿宋_GB2312" w:cs="宋体"/>
          <w:color w:val="FF0000"/>
          <w:sz w:val="32"/>
          <w:szCs w:val="32"/>
          <w:lang w:val="en-US" w:eastAsia="zh-CN"/>
        </w:rPr>
        <w:t>12</w:t>
      </w:r>
      <w:r>
        <w:rPr>
          <w:rFonts w:hint="eastAsia" w:ascii="仿宋_GB2312" w:hAnsi="微软雅黑" w:eastAsia="仿宋_GB2312" w:cs="宋体"/>
          <w:color w:val="FF0000"/>
          <w:sz w:val="32"/>
          <w:szCs w:val="32"/>
        </w:rPr>
        <w:t>日起</w:t>
      </w:r>
      <w:r>
        <w:rPr>
          <w:rFonts w:hint="eastAsia" w:ascii="仿宋_GB2312" w:hAnsi="微软雅黑" w:eastAsia="仿宋_GB2312" w:cs="宋体"/>
          <w:sz w:val="32"/>
          <w:szCs w:val="32"/>
        </w:rPr>
        <w:t>销售，</w:t>
      </w:r>
      <w:r>
        <w:rPr>
          <w:rFonts w:hint="eastAsia" w:ascii="仿宋_GB2312" w:hAnsi="微软雅黑" w:eastAsia="仿宋_GB2312" w:cs="宋体"/>
          <w:color w:val="000000"/>
          <w:sz w:val="32"/>
          <w:szCs w:val="32"/>
        </w:rPr>
        <w:t>目前在</w:t>
      </w:r>
      <w:r>
        <w:rPr>
          <w:rFonts w:hint="eastAsia" w:ascii="仿宋_GB2312" w:hAnsi="微软雅黑" w:eastAsia="仿宋_GB2312" w:cs="宋体"/>
          <w:color w:val="FF0000"/>
          <w:sz w:val="32"/>
          <w:szCs w:val="32"/>
        </w:rPr>
        <w:t>柜面</w:t>
      </w:r>
      <w:r>
        <w:rPr>
          <w:rFonts w:hint="eastAsia" w:ascii="仿宋_GB2312" w:hAnsi="微软雅黑" w:eastAsia="仿宋_GB2312" w:cs="宋体"/>
          <w:color w:val="000000"/>
          <w:sz w:val="32"/>
          <w:szCs w:val="32"/>
        </w:rPr>
        <w:t>和</w:t>
      </w:r>
      <w:r>
        <w:rPr>
          <w:rFonts w:hint="eastAsia" w:ascii="仿宋_GB2312" w:hAnsi="微软雅黑" w:eastAsia="仿宋_GB2312" w:cs="宋体"/>
          <w:color w:val="FF0000"/>
          <w:sz w:val="32"/>
          <w:szCs w:val="32"/>
        </w:rPr>
        <w:t>手机银行</w:t>
      </w:r>
      <w:r>
        <w:rPr>
          <w:rFonts w:hint="eastAsia" w:ascii="仿宋_GB2312" w:hAnsi="微软雅黑" w:eastAsia="仿宋_GB2312" w:cs="宋体"/>
          <w:color w:val="000000" w:themeColor="text1"/>
          <w:sz w:val="32"/>
          <w:szCs w:val="32"/>
        </w:rPr>
        <w:t>等</w:t>
      </w:r>
      <w:r>
        <w:rPr>
          <w:rFonts w:hint="eastAsia" w:ascii="仿宋_GB2312" w:hAnsi="微软雅黑" w:eastAsia="仿宋_GB2312" w:cs="宋体"/>
          <w:color w:val="000000"/>
          <w:sz w:val="32"/>
          <w:szCs w:val="32"/>
        </w:rPr>
        <w:t>销售。销售服务费率为0.</w:t>
      </w:r>
      <w:r>
        <w:rPr>
          <w:rFonts w:hint="eastAsia" w:ascii="仿宋_GB2312" w:hAnsi="微软雅黑" w:eastAsia="仿宋_GB2312" w:cs="宋体"/>
          <w:color w:val="000000"/>
          <w:sz w:val="32"/>
          <w:szCs w:val="32"/>
          <w:lang w:val="en-US" w:eastAsia="zh-CN"/>
        </w:rPr>
        <w:t>3</w:t>
      </w:r>
      <w:r>
        <w:rPr>
          <w:rFonts w:hint="eastAsia" w:ascii="仿宋_GB2312" w:hAnsi="微软雅黑" w:eastAsia="仿宋_GB2312" w:cs="宋体"/>
          <w:color w:val="000000"/>
          <w:sz w:val="32"/>
          <w:szCs w:val="32"/>
        </w:rPr>
        <w:t>%/年。部分要素如下：</w:t>
      </w:r>
    </w:p>
    <w:tbl>
      <w:tblPr>
        <w:tblStyle w:val="7"/>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spacing w:line="240" w:lineRule="auto"/>
              <w:ind w:left="22" w:leftChars="10" w:right="22"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苏银理财恒源鑫安最短持有180天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spacing w:line="240" w:lineRule="auto"/>
              <w:ind w:left="22" w:leftChars="10" w:right="22"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Z7003124000155，投资者可依据该编码在中国理财网www.chinawealth.com.cn查询产品信息。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spacing w:line="240" w:lineRule="auto"/>
              <w:ind w:left="22" w:leftChars="10" w:right="22"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w:t>
            </w:r>
            <w:r>
              <w:rPr>
                <w:rFonts w:hint="default" w:ascii="楷体" w:hAnsi="楷体" w:eastAsia="楷体" w:cs="宋体"/>
                <w:spacing w:val="-2"/>
                <w:sz w:val="18"/>
                <w:szCs w:val="18"/>
                <w:highlight w:val="none"/>
                <w:lang w:val="en-US" w:eastAsia="zh-CN"/>
              </w:rPr>
              <w:t>份额：苏银理财恒源鑫安最短持有180天</w:t>
            </w:r>
            <w:r>
              <w:rPr>
                <w:rFonts w:hint="eastAsia" w:ascii="楷体" w:hAnsi="楷体" w:eastAsia="楷体" w:cs="宋体"/>
                <w:spacing w:val="-2"/>
                <w:sz w:val="18"/>
                <w:szCs w:val="18"/>
                <w:highlight w:val="none"/>
                <w:lang w:val="en-US" w:eastAsia="zh-CN"/>
              </w:rPr>
              <w:t>A</w:t>
            </w:r>
            <w:r>
              <w:rPr>
                <w:rFonts w:hint="default" w:ascii="楷体" w:hAnsi="楷体" w:eastAsia="楷体" w:cs="宋体"/>
                <w:spacing w:val="-2"/>
                <w:sz w:val="18"/>
                <w:szCs w:val="18"/>
                <w:highlight w:val="none"/>
                <w:lang w:val="en-US" w:eastAsia="zh-CN"/>
              </w:rPr>
              <w:t>/J03578</w:t>
            </w:r>
          </w:p>
          <w:p>
            <w:pPr>
              <w:pStyle w:val="15"/>
              <w:keepNext w:val="0"/>
              <w:keepLines w:val="0"/>
              <w:pageBreakBefore w:val="0"/>
              <w:widowControl w:val="0"/>
              <w:kinsoku w:val="0"/>
              <w:wordWrap/>
              <w:overflowPunct w:val="0"/>
              <w:topLinePunct w:val="0"/>
              <w:autoSpaceDE w:val="0"/>
              <w:autoSpaceDN w:val="0"/>
              <w:bidi w:val="0"/>
              <w:adjustRightInd w:val="0"/>
              <w:snapToGrid w:val="0"/>
              <w:spacing w:line="240" w:lineRule="auto"/>
              <w:ind w:left="22" w:leftChars="10" w:right="22"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w:t>
            </w:r>
            <w:r>
              <w:rPr>
                <w:rFonts w:hint="default" w:ascii="楷体" w:hAnsi="楷体" w:eastAsia="楷体" w:cs="宋体"/>
                <w:spacing w:val="-2"/>
                <w:sz w:val="18"/>
                <w:szCs w:val="18"/>
                <w:highlight w:val="none"/>
                <w:lang w:val="en-US" w:eastAsia="zh-CN"/>
              </w:rPr>
              <w:t>份额：苏银理财恒源鑫安最短持有180天</w:t>
            </w:r>
            <w:r>
              <w:rPr>
                <w:rFonts w:hint="eastAsia" w:ascii="楷体" w:hAnsi="楷体" w:eastAsia="楷体" w:cs="宋体"/>
                <w:spacing w:val="-2"/>
                <w:sz w:val="18"/>
                <w:szCs w:val="18"/>
                <w:highlight w:val="none"/>
                <w:lang w:val="en-US" w:eastAsia="zh-CN"/>
              </w:rPr>
              <w:t>B</w:t>
            </w:r>
            <w:r>
              <w:rPr>
                <w:rFonts w:hint="default" w:ascii="楷体" w:hAnsi="楷体" w:eastAsia="楷体" w:cs="宋体"/>
                <w:spacing w:val="-2"/>
                <w:sz w:val="18"/>
                <w:szCs w:val="18"/>
                <w:highlight w:val="none"/>
                <w:lang w:val="en-US" w:eastAsia="zh-CN"/>
              </w:rPr>
              <w:t>/J03857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2" w:leftChars="10" w:right="22"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7"/>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bidi w:val="0"/>
              <w:snapToGrid w:val="0"/>
              <w:spacing w:line="240" w:lineRule="auto"/>
              <w:ind w:left="22" w:leftChars="10" w:right="22"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p>
            <w:pPr>
              <w:rPr>
                <w:rFonts w:hint="eastAsia" w:ascii="楷体" w:hAnsi="楷体" w:eastAsia="楷体"/>
                <w:color w:val="auto"/>
                <w:sz w:val="18"/>
                <w:szCs w:val="18"/>
                <w:highlight w:val="none"/>
              </w:rPr>
            </w:pPr>
            <w:r>
              <w:rPr>
                <w:rFonts w:hint="eastAsia" w:ascii="仿宋" w:hAnsi="仿宋" w:eastAsia="仿宋"/>
                <w:b/>
                <w:color w:val="FF0000"/>
                <w:lang w:val="en-US" w:eastAsia="zh-CN"/>
              </w:rPr>
              <w:t>4、</w:t>
            </w:r>
            <w:r>
              <w:rPr>
                <w:rFonts w:hint="eastAsia" w:ascii="仿宋" w:hAnsi="仿宋" w:eastAsia="仿宋"/>
                <w:b/>
                <w:color w:val="FF0000"/>
              </w:rPr>
              <w:t>紫金农商银行对本产品的风险评级为中</w:t>
            </w:r>
            <w:r>
              <w:rPr>
                <w:rFonts w:hint="eastAsia" w:ascii="仿宋" w:hAnsi="仿宋" w:eastAsia="仿宋"/>
                <w:b/>
                <w:color w:val="FF0000"/>
                <w:lang w:eastAsia="zh-CN"/>
              </w:rPr>
              <w:t>等</w:t>
            </w:r>
            <w:bookmarkStart w:id="0" w:name="_GoBack"/>
            <w:bookmarkEnd w:id="0"/>
            <w:r>
              <w:rPr>
                <w:rFonts w:hint="eastAsia" w:ascii="仿宋" w:hAnsi="仿宋" w:eastAsia="仿宋"/>
                <w:b/>
                <w:color w:val="FF0000"/>
              </w:rPr>
              <w:t>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本产品计划发行规模为100亿元，管理人有权根据实际需要调整计划发行规模。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募集期及资金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A</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2024年10月31日至2024年11月7日。</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2024年11月8日。</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2034年12月29日。</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w:t>
            </w:r>
            <w:r>
              <w:rPr>
                <w:rFonts w:hint="eastAsia" w:ascii="楷体" w:hAnsi="楷体" w:eastAsia="楷体" w:cs="宋体"/>
                <w:spacing w:val="-2"/>
                <w:sz w:val="18"/>
                <w:szCs w:val="18"/>
                <w:highlight w:val="none"/>
                <w:lang w:eastAsia="zh-CN"/>
              </w:rPr>
              <w:t>产品说明书</w:t>
            </w:r>
            <w:r>
              <w:rPr>
                <w:rFonts w:hint="eastAsia" w:ascii="楷体" w:hAnsi="楷体" w:eastAsia="楷体" w:cs="宋体"/>
                <w:spacing w:val="-2"/>
                <w:sz w:val="18"/>
                <w:szCs w:val="18"/>
                <w:highlight w:val="none"/>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2024年11月8日-2024年12月8日，封闭运作期内不可申购/赎回。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期为180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180天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r>
              <w:rPr>
                <w:rFonts w:hint="eastAsia" w:ascii="楷体" w:hAnsi="楷体" w:eastAsia="楷体" w:cs="宋体"/>
                <w:b/>
                <w:spacing w:val="-2"/>
                <w:sz w:val="18"/>
                <w:szCs w:val="18"/>
                <w:highlight w:val="none"/>
                <w:u w:val="single"/>
                <w:lang w:val="en-US" w:eastAsia="zh-CN"/>
              </w:rPr>
              <w:t>封闭运作期除外）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15"/>
              <w:keepNext w:val="0"/>
              <w:keepLines w:val="0"/>
              <w:pageBreakBefore w:val="0"/>
              <w:widowControl w:val="0"/>
              <w:kinsoku w:val="0"/>
              <w:wordWrap/>
              <w:overflowPunct w:val="0"/>
              <w:topLinePunct w:val="0"/>
              <w:autoSpaceDE w:val="0"/>
              <w:autoSpaceDN w:val="0"/>
              <w:bidi w:val="0"/>
              <w:adjustRightInd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本产品封闭运作期结束后，自2024年12月9日起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2" w:leftChars="10" w:right="22"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2" w:leftChars="10" w:right="22"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w:t>
            </w:r>
            <w:r>
              <w:rPr>
                <w:rFonts w:hint="eastAsia" w:ascii="楷体" w:hAnsi="楷体" w:eastAsia="楷体" w:cs="宋体"/>
                <w:b/>
                <w:spacing w:val="-2"/>
                <w:sz w:val="18"/>
                <w:szCs w:val="18"/>
                <w:highlight w:val="none"/>
                <w:u w:val="single"/>
              </w:rPr>
              <w:t>苏银理财参考过往投资经验，依据近期货币市场工具、债券、股票</w:t>
            </w:r>
            <w:r>
              <w:rPr>
                <w:rFonts w:hint="eastAsia" w:ascii="楷体" w:hAnsi="楷体" w:eastAsia="楷体" w:cs="宋体"/>
                <w:b/>
                <w:spacing w:val="-2"/>
                <w:sz w:val="18"/>
                <w:szCs w:val="18"/>
                <w:highlight w:val="none"/>
                <w:u w:val="single"/>
                <w:lang w:val="en-US" w:eastAsia="zh-CN"/>
              </w:rPr>
              <w:t>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份额：2.</w:t>
            </w:r>
            <w:r>
              <w:rPr>
                <w:rFonts w:hint="eastAsia" w:ascii="楷体" w:hAnsi="楷体" w:eastAsia="楷体" w:cs="宋体"/>
                <w:spacing w:val="-2"/>
                <w:sz w:val="18"/>
                <w:szCs w:val="18"/>
                <w:highlight w:val="none"/>
                <w:lang w:val="en-US" w:eastAsia="zh-CN"/>
              </w:rPr>
              <w:t>0</w:t>
            </w:r>
            <w:r>
              <w:rPr>
                <w:rFonts w:hint="eastAsia" w:ascii="楷体" w:hAnsi="楷体" w:eastAsia="楷体" w:cs="宋体"/>
                <w:spacing w:val="-2"/>
                <w:sz w:val="18"/>
                <w:szCs w:val="18"/>
                <w:highlight w:val="none"/>
              </w:rPr>
              <w:t>0%-</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.50%</w:t>
            </w:r>
            <w:r>
              <w:rPr>
                <w:rFonts w:hint="eastAsia" w:ascii="楷体" w:hAnsi="楷体" w:eastAsia="楷体" w:cs="宋体"/>
                <w:spacing w:val="-2"/>
                <w:sz w:val="18"/>
                <w:szCs w:val="18"/>
                <w:highlight w:val="none"/>
                <w:lang w:eastAsia="zh-CN"/>
              </w:rPr>
              <w:t>。</w:t>
            </w:r>
          </w:p>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0.04</w:t>
            </w:r>
            <w:r>
              <w:rPr>
                <w:rFonts w:hint="eastAsia" w:ascii="楷体" w:hAnsi="楷体" w:eastAsia="楷体" w:cs="宋体"/>
                <w:spacing w:val="-2"/>
                <w:sz w:val="18"/>
                <w:szCs w:val="18"/>
                <w:highlight w:val="none"/>
              </w:rPr>
              <w:t>%。</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0.30</w:t>
            </w:r>
            <w:r>
              <w:rPr>
                <w:rFonts w:hint="eastAsia" w:ascii="楷体" w:hAnsi="楷体" w:eastAsia="楷体" w:cs="宋体"/>
                <w:spacing w:val="-2"/>
                <w:sz w:val="18"/>
                <w:szCs w:val="18"/>
                <w:highlight w:val="none"/>
              </w:rPr>
              <w:t>%。</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0.60</w:t>
            </w:r>
            <w:r>
              <w:rPr>
                <w:rFonts w:hint="eastAsia" w:ascii="楷体" w:hAnsi="楷体" w:eastAsia="楷体" w:cs="宋体"/>
                <w:spacing w:val="-2"/>
                <w:sz w:val="18"/>
                <w:szCs w:val="18"/>
                <w:highlight w:val="none"/>
              </w:rPr>
              <w:t>%。</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：客户份额持有期间实际投资收益在扣除托管费、销售服务费、投资管理费等费用后，超过业绩比较基准上限的部分，收取</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0%超额业绩报酬</w:t>
            </w:r>
            <w:r>
              <w:rPr>
                <w:rFonts w:hint="eastAsia" w:ascii="楷体" w:hAnsi="楷体" w:eastAsia="楷体" w:cs="宋体"/>
                <w:spacing w:val="-2"/>
                <w:sz w:val="18"/>
                <w:szCs w:val="18"/>
                <w:highlight w:val="none"/>
                <w:lang w:val="en-US" w:eastAsia="zh-CN"/>
              </w:rPr>
              <w:t>。</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15"/>
              <w:keepNext w:val="0"/>
              <w:keepLines w:val="0"/>
              <w:pageBreakBefore w:val="0"/>
              <w:widowControl w:val="0"/>
              <w:kinsoku w:val="0"/>
              <w:wordWrap/>
              <w:overflowPunct w:val="0"/>
              <w:topLinePunct w:val="0"/>
              <w:bidi w:val="0"/>
              <w:snapToGrid w:val="0"/>
              <w:spacing w:line="240" w:lineRule="auto"/>
              <w:ind w:left="22" w:leftChars="10" w:right="22"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val="0"/>
              <w:autoSpaceDN w:val="0"/>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adjustRightInd/>
        <w:snapToGrid/>
        <w:spacing w:after="0"/>
        <w:ind w:firstLine="630"/>
        <w:jc w:val="center"/>
        <w:rPr>
          <w:rFonts w:ascii="仿宋_GB2312" w:hAnsi="微软雅黑" w:eastAsia="仿宋_GB2312" w:cs="宋体"/>
          <w:color w:val="FF0000"/>
          <w:sz w:val="32"/>
          <w:szCs w:val="32"/>
        </w:rPr>
      </w:pPr>
      <w:r>
        <w:rPr>
          <w:rFonts w:hint="eastAsia" w:ascii="仿宋_GB2312" w:hAnsi="微软雅黑" w:eastAsia="仿宋_GB2312" w:cs="宋体"/>
          <w:color w:val="FF0000"/>
          <w:sz w:val="32"/>
          <w:szCs w:val="32"/>
        </w:rPr>
        <w:t>（更多具体要素请详阅产品说明书）</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注意事项：</w:t>
      </w:r>
    </w:p>
    <w:p>
      <w:pPr>
        <w:adjustRightInd/>
        <w:snapToGrid/>
        <w:spacing w:after="0"/>
        <w:ind w:firstLine="640" w:firstLineChars="200"/>
        <w:rPr>
          <w:rFonts w:ascii="微软雅黑" w:hAnsi="微软雅黑" w:cs="宋体"/>
          <w:color w:val="000000"/>
          <w:sz w:val="30"/>
          <w:szCs w:val="30"/>
        </w:rPr>
      </w:pPr>
      <w:r>
        <w:rPr>
          <w:rFonts w:hint="eastAsia" w:ascii="仿宋_GB2312" w:hAnsi="微软雅黑" w:eastAsia="仿宋_GB2312" w:cs="宋体"/>
          <w:color w:val="000000"/>
          <w:sz w:val="32"/>
          <w:szCs w:val="32"/>
        </w:rPr>
        <w:t>1.该产品销售要求参照我行理财销售相关规定执行。</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2.相关产品销售文件见附件。</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3.如有其他未尽事宜以私人银行部解释为准。</w:t>
      </w:r>
    </w:p>
    <w:p>
      <w:pPr>
        <w:adjustRightInd/>
        <w:snapToGrid/>
        <w:spacing w:after="0"/>
        <w:rPr>
          <w:rFonts w:ascii="微软雅黑" w:hAnsi="微软雅黑" w:cs="宋体"/>
          <w:color w:val="000000"/>
          <w:sz w:val="30"/>
          <w:szCs w:val="30"/>
        </w:rPr>
      </w:pP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附件：1.“</w:t>
      </w:r>
      <w:r>
        <w:rPr>
          <w:rFonts w:hint="eastAsia" w:ascii="仿宋_GB2312" w:hAnsi="微软雅黑" w:eastAsia="仿宋_GB2312" w:cs="宋体"/>
          <w:color w:val="000000"/>
          <w:sz w:val="32"/>
          <w:szCs w:val="32"/>
          <w:lang w:eastAsia="zh-CN"/>
        </w:rPr>
        <w:t>苏银理财恒源鑫安最短持有180天</w:t>
      </w:r>
      <w:r>
        <w:rPr>
          <w:rFonts w:hint="eastAsia" w:ascii="仿宋_GB2312" w:hAnsi="微软雅黑" w:eastAsia="仿宋_GB2312" w:cs="宋体"/>
          <w:color w:val="000000"/>
          <w:sz w:val="32"/>
          <w:szCs w:val="32"/>
        </w:rPr>
        <w:t>”理财产品说明书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 理财产品(代理)销售协议书、苏银理财有限责任公司理财产品投资协议书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w:t>
      </w:r>
      <w:r>
        <w:rPr>
          <w:rFonts w:hint="eastAsia" w:ascii="仿宋_GB2312" w:hAnsi="微软雅黑" w:eastAsia="仿宋_GB2312" w:cs="宋体"/>
          <w:color w:val="000000"/>
          <w:sz w:val="32"/>
          <w:szCs w:val="32"/>
          <w:lang w:eastAsia="zh-CN"/>
        </w:rPr>
        <w:t>苏银理财恒源鑫安最短持有180天</w:t>
      </w:r>
      <w:r>
        <w:rPr>
          <w:rFonts w:hint="eastAsia" w:ascii="仿宋_GB2312" w:hAnsi="微软雅黑" w:eastAsia="仿宋_GB2312" w:cs="宋体"/>
          <w:color w:val="000000"/>
          <w:sz w:val="32"/>
          <w:szCs w:val="32"/>
        </w:rPr>
        <w:t>”理财产品风险揭示书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4.苏银理财有限责任公司投资者权益须知</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5. 个人客户风险承受能力评估表</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6. 机构客户风险承受能力评估表</w:t>
      </w:r>
    </w:p>
    <w:p>
      <w:pPr>
        <w:adjustRightInd/>
        <w:snapToGrid/>
        <w:spacing w:after="0"/>
        <w:ind w:firstLine="645"/>
        <w:rPr>
          <w:rFonts w:ascii="微软雅黑" w:hAnsi="微软雅黑" w:cs="宋体"/>
          <w:color w:val="000000"/>
          <w:sz w:val="30"/>
          <w:szCs w:val="30"/>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微软雅黑" w:hAnsi="微软雅黑" w:cs="宋体"/>
          <w:color w:val="000000"/>
          <w:sz w:val="30"/>
          <w:szCs w:val="30"/>
        </w:rPr>
      </w:pPr>
      <w:r>
        <w:rPr>
          <w:rFonts w:hint="eastAsia" w:ascii="仿宋_GB2312" w:hAnsi="微软雅黑" w:eastAsia="仿宋_GB2312" w:cs="宋体"/>
          <w:color w:val="000000"/>
          <w:sz w:val="32"/>
          <w:szCs w:val="32"/>
        </w:rPr>
        <w:t>私人银行部</w:t>
      </w:r>
    </w:p>
    <w:p>
      <w:pPr>
        <w:adjustRightInd/>
        <w:snapToGrid/>
        <w:spacing w:after="0"/>
        <w:ind w:firstLine="5445"/>
      </w:pPr>
      <w:r>
        <w:rPr>
          <w:rFonts w:hint="eastAsia" w:ascii="仿宋_GB2312" w:hAnsi="微软雅黑" w:eastAsia="仿宋_GB2312" w:cs="宋体"/>
          <w:color w:val="000000"/>
          <w:sz w:val="32"/>
          <w:szCs w:val="32"/>
        </w:rPr>
        <w:t>2025年</w:t>
      </w:r>
      <w:r>
        <w:rPr>
          <w:rFonts w:hint="eastAsia" w:ascii="仿宋_GB2312" w:hAnsi="微软雅黑" w:eastAsia="仿宋_GB2312" w:cs="宋体"/>
          <w:color w:val="000000"/>
          <w:sz w:val="32"/>
          <w:szCs w:val="32"/>
          <w:lang w:val="en-US" w:eastAsia="zh-CN"/>
        </w:rPr>
        <w:t>9</w:t>
      </w:r>
      <w:r>
        <w:rPr>
          <w:rFonts w:hint="eastAsia" w:ascii="仿宋_GB2312" w:hAnsi="微软雅黑" w:eastAsia="仿宋_GB2312" w:cs="宋体"/>
          <w:color w:val="000000"/>
          <w:sz w:val="32"/>
          <w:szCs w:val="32"/>
        </w:rPr>
        <w:t>月</w:t>
      </w:r>
      <w:r>
        <w:rPr>
          <w:rFonts w:hint="eastAsia" w:ascii="仿宋_GB2312" w:hAnsi="微软雅黑" w:eastAsia="仿宋_GB2312" w:cs="宋体"/>
          <w:color w:val="000000"/>
          <w:sz w:val="32"/>
          <w:szCs w:val="32"/>
          <w:lang w:val="en-US" w:eastAsia="zh-CN"/>
        </w:rPr>
        <w:t>9</w:t>
      </w:r>
      <w:r>
        <w:rPr>
          <w:rFonts w:hint="eastAsia" w:ascii="仿宋_GB2312" w:hAnsi="微软雅黑" w:eastAsia="仿宋_GB2312" w:cs="宋体"/>
          <w:color w:val="000000"/>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2A13"/>
    <w:rsid w:val="00014D89"/>
    <w:rsid w:val="0002233E"/>
    <w:rsid w:val="00025736"/>
    <w:rsid w:val="00030E86"/>
    <w:rsid w:val="00036368"/>
    <w:rsid w:val="0003731F"/>
    <w:rsid w:val="000430CA"/>
    <w:rsid w:val="00050465"/>
    <w:rsid w:val="000547BB"/>
    <w:rsid w:val="000618D3"/>
    <w:rsid w:val="0006322B"/>
    <w:rsid w:val="0006327A"/>
    <w:rsid w:val="000729EB"/>
    <w:rsid w:val="00074AD2"/>
    <w:rsid w:val="000812F4"/>
    <w:rsid w:val="000910E1"/>
    <w:rsid w:val="000936F7"/>
    <w:rsid w:val="00095294"/>
    <w:rsid w:val="000957AC"/>
    <w:rsid w:val="000A5028"/>
    <w:rsid w:val="000A7695"/>
    <w:rsid w:val="000B5C2A"/>
    <w:rsid w:val="000D30E3"/>
    <w:rsid w:val="000D3348"/>
    <w:rsid w:val="000E18A2"/>
    <w:rsid w:val="000E1FA9"/>
    <w:rsid w:val="000E7543"/>
    <w:rsid w:val="000F4049"/>
    <w:rsid w:val="0010440D"/>
    <w:rsid w:val="00110B5C"/>
    <w:rsid w:val="0011188B"/>
    <w:rsid w:val="00113224"/>
    <w:rsid w:val="001157D7"/>
    <w:rsid w:val="001225F8"/>
    <w:rsid w:val="00134BE7"/>
    <w:rsid w:val="0014766F"/>
    <w:rsid w:val="00152D94"/>
    <w:rsid w:val="00156217"/>
    <w:rsid w:val="00157799"/>
    <w:rsid w:val="0016069B"/>
    <w:rsid w:val="00160908"/>
    <w:rsid w:val="00170032"/>
    <w:rsid w:val="00174CF3"/>
    <w:rsid w:val="00174FC8"/>
    <w:rsid w:val="001810F6"/>
    <w:rsid w:val="00182785"/>
    <w:rsid w:val="001834DB"/>
    <w:rsid w:val="00190048"/>
    <w:rsid w:val="00194C32"/>
    <w:rsid w:val="00196E1B"/>
    <w:rsid w:val="001A32AD"/>
    <w:rsid w:val="001A556D"/>
    <w:rsid w:val="001B2273"/>
    <w:rsid w:val="001B26D8"/>
    <w:rsid w:val="001D3092"/>
    <w:rsid w:val="001D40A6"/>
    <w:rsid w:val="001F3153"/>
    <w:rsid w:val="001F72B5"/>
    <w:rsid w:val="00201E20"/>
    <w:rsid w:val="00206F8F"/>
    <w:rsid w:val="00207F97"/>
    <w:rsid w:val="00214CF7"/>
    <w:rsid w:val="00216E71"/>
    <w:rsid w:val="002235BC"/>
    <w:rsid w:val="00233CED"/>
    <w:rsid w:val="00236FDA"/>
    <w:rsid w:val="00244EE2"/>
    <w:rsid w:val="002463C9"/>
    <w:rsid w:val="002513BD"/>
    <w:rsid w:val="00257856"/>
    <w:rsid w:val="00277323"/>
    <w:rsid w:val="002777A1"/>
    <w:rsid w:val="00283408"/>
    <w:rsid w:val="0028525D"/>
    <w:rsid w:val="002866F6"/>
    <w:rsid w:val="0029028F"/>
    <w:rsid w:val="002A2C83"/>
    <w:rsid w:val="002A3E43"/>
    <w:rsid w:val="002B1948"/>
    <w:rsid w:val="002B6618"/>
    <w:rsid w:val="002C122F"/>
    <w:rsid w:val="002C248B"/>
    <w:rsid w:val="002C70E5"/>
    <w:rsid w:val="002D757D"/>
    <w:rsid w:val="002D7671"/>
    <w:rsid w:val="002E2A41"/>
    <w:rsid w:val="002E3ECB"/>
    <w:rsid w:val="002E7145"/>
    <w:rsid w:val="002F00B3"/>
    <w:rsid w:val="002F02FE"/>
    <w:rsid w:val="002F07C0"/>
    <w:rsid w:val="003059D5"/>
    <w:rsid w:val="00307AFA"/>
    <w:rsid w:val="00320D56"/>
    <w:rsid w:val="00322F4C"/>
    <w:rsid w:val="00323B43"/>
    <w:rsid w:val="00335FBE"/>
    <w:rsid w:val="003447B3"/>
    <w:rsid w:val="00347193"/>
    <w:rsid w:val="003476A4"/>
    <w:rsid w:val="00353BA9"/>
    <w:rsid w:val="00355E21"/>
    <w:rsid w:val="00357EB7"/>
    <w:rsid w:val="00361A72"/>
    <w:rsid w:val="00363805"/>
    <w:rsid w:val="00374AE2"/>
    <w:rsid w:val="00386CE1"/>
    <w:rsid w:val="00393219"/>
    <w:rsid w:val="003936A4"/>
    <w:rsid w:val="003936B9"/>
    <w:rsid w:val="003A15E6"/>
    <w:rsid w:val="003C0D6B"/>
    <w:rsid w:val="003C1D41"/>
    <w:rsid w:val="003C2C03"/>
    <w:rsid w:val="003D37D8"/>
    <w:rsid w:val="003D4715"/>
    <w:rsid w:val="003D710A"/>
    <w:rsid w:val="003E2BFC"/>
    <w:rsid w:val="003E5A9F"/>
    <w:rsid w:val="003F70AB"/>
    <w:rsid w:val="00410A33"/>
    <w:rsid w:val="00422AD1"/>
    <w:rsid w:val="00424A38"/>
    <w:rsid w:val="00426133"/>
    <w:rsid w:val="004349C0"/>
    <w:rsid w:val="004358AB"/>
    <w:rsid w:val="00443E90"/>
    <w:rsid w:val="00450005"/>
    <w:rsid w:val="00450C77"/>
    <w:rsid w:val="0045680A"/>
    <w:rsid w:val="00463028"/>
    <w:rsid w:val="00471A3B"/>
    <w:rsid w:val="004749F0"/>
    <w:rsid w:val="00476C3B"/>
    <w:rsid w:val="0047785F"/>
    <w:rsid w:val="0049140E"/>
    <w:rsid w:val="00496E4F"/>
    <w:rsid w:val="004B4CFA"/>
    <w:rsid w:val="004C175A"/>
    <w:rsid w:val="004C7CF2"/>
    <w:rsid w:val="004F0CCD"/>
    <w:rsid w:val="00510995"/>
    <w:rsid w:val="005168C5"/>
    <w:rsid w:val="005218F6"/>
    <w:rsid w:val="00523BDD"/>
    <w:rsid w:val="0052515C"/>
    <w:rsid w:val="00530F2D"/>
    <w:rsid w:val="0053663D"/>
    <w:rsid w:val="00536DF2"/>
    <w:rsid w:val="00537BF8"/>
    <w:rsid w:val="00540DC7"/>
    <w:rsid w:val="00543584"/>
    <w:rsid w:val="00543782"/>
    <w:rsid w:val="0055369F"/>
    <w:rsid w:val="0055709E"/>
    <w:rsid w:val="00566993"/>
    <w:rsid w:val="00566C07"/>
    <w:rsid w:val="00570005"/>
    <w:rsid w:val="005873AF"/>
    <w:rsid w:val="005A6CFB"/>
    <w:rsid w:val="005A7A21"/>
    <w:rsid w:val="005B1774"/>
    <w:rsid w:val="005B45CF"/>
    <w:rsid w:val="005B496B"/>
    <w:rsid w:val="005C0D21"/>
    <w:rsid w:val="005C155D"/>
    <w:rsid w:val="005C31E9"/>
    <w:rsid w:val="005C4206"/>
    <w:rsid w:val="005C5781"/>
    <w:rsid w:val="005D072F"/>
    <w:rsid w:val="005D0DEE"/>
    <w:rsid w:val="005F2B78"/>
    <w:rsid w:val="00606205"/>
    <w:rsid w:val="00607358"/>
    <w:rsid w:val="00607EC0"/>
    <w:rsid w:val="00610019"/>
    <w:rsid w:val="006110FC"/>
    <w:rsid w:val="00611544"/>
    <w:rsid w:val="006128D5"/>
    <w:rsid w:val="006148C9"/>
    <w:rsid w:val="0061606F"/>
    <w:rsid w:val="00620A17"/>
    <w:rsid w:val="006214F4"/>
    <w:rsid w:val="006648D9"/>
    <w:rsid w:val="00677D5A"/>
    <w:rsid w:val="006919F0"/>
    <w:rsid w:val="006A1D72"/>
    <w:rsid w:val="006A48A0"/>
    <w:rsid w:val="006C44CC"/>
    <w:rsid w:val="006E08D8"/>
    <w:rsid w:val="006F04BE"/>
    <w:rsid w:val="006F7856"/>
    <w:rsid w:val="00701C74"/>
    <w:rsid w:val="0070239F"/>
    <w:rsid w:val="00702508"/>
    <w:rsid w:val="007121C4"/>
    <w:rsid w:val="00714B02"/>
    <w:rsid w:val="007248B8"/>
    <w:rsid w:val="00727337"/>
    <w:rsid w:val="0073205A"/>
    <w:rsid w:val="00732B85"/>
    <w:rsid w:val="00740E8C"/>
    <w:rsid w:val="00741563"/>
    <w:rsid w:val="007471D4"/>
    <w:rsid w:val="00747E0A"/>
    <w:rsid w:val="00750298"/>
    <w:rsid w:val="00761130"/>
    <w:rsid w:val="007673F5"/>
    <w:rsid w:val="007675CD"/>
    <w:rsid w:val="007745AD"/>
    <w:rsid w:val="00776067"/>
    <w:rsid w:val="00783419"/>
    <w:rsid w:val="00785657"/>
    <w:rsid w:val="007865C9"/>
    <w:rsid w:val="007873F2"/>
    <w:rsid w:val="00793A91"/>
    <w:rsid w:val="00796629"/>
    <w:rsid w:val="007A6260"/>
    <w:rsid w:val="007C416B"/>
    <w:rsid w:val="007C44C4"/>
    <w:rsid w:val="007D0528"/>
    <w:rsid w:val="007D35F2"/>
    <w:rsid w:val="007D3BB9"/>
    <w:rsid w:val="007D6855"/>
    <w:rsid w:val="00817F98"/>
    <w:rsid w:val="008201C5"/>
    <w:rsid w:val="00827FB9"/>
    <w:rsid w:val="008445DB"/>
    <w:rsid w:val="008450A8"/>
    <w:rsid w:val="008507C0"/>
    <w:rsid w:val="0085497C"/>
    <w:rsid w:val="00854BCB"/>
    <w:rsid w:val="0086092D"/>
    <w:rsid w:val="00862981"/>
    <w:rsid w:val="00867E9B"/>
    <w:rsid w:val="00884835"/>
    <w:rsid w:val="008930CD"/>
    <w:rsid w:val="00893277"/>
    <w:rsid w:val="00894AA0"/>
    <w:rsid w:val="00895EEF"/>
    <w:rsid w:val="00896D1C"/>
    <w:rsid w:val="008972C8"/>
    <w:rsid w:val="00897920"/>
    <w:rsid w:val="008A6AC1"/>
    <w:rsid w:val="008B008A"/>
    <w:rsid w:val="008B4334"/>
    <w:rsid w:val="008B450C"/>
    <w:rsid w:val="008B4E39"/>
    <w:rsid w:val="008B6523"/>
    <w:rsid w:val="008B7726"/>
    <w:rsid w:val="008C49E6"/>
    <w:rsid w:val="008D4402"/>
    <w:rsid w:val="008F2B7A"/>
    <w:rsid w:val="008F3B9E"/>
    <w:rsid w:val="008F7CA5"/>
    <w:rsid w:val="00903E35"/>
    <w:rsid w:val="00906053"/>
    <w:rsid w:val="00911DE1"/>
    <w:rsid w:val="00916AFD"/>
    <w:rsid w:val="0094064E"/>
    <w:rsid w:val="00951BFC"/>
    <w:rsid w:val="00953E58"/>
    <w:rsid w:val="00954AA4"/>
    <w:rsid w:val="0096633A"/>
    <w:rsid w:val="0096677C"/>
    <w:rsid w:val="00971266"/>
    <w:rsid w:val="00975280"/>
    <w:rsid w:val="00986A17"/>
    <w:rsid w:val="00986ED0"/>
    <w:rsid w:val="00996AC4"/>
    <w:rsid w:val="009A057A"/>
    <w:rsid w:val="009A5FF7"/>
    <w:rsid w:val="009A6871"/>
    <w:rsid w:val="009B21F1"/>
    <w:rsid w:val="009B2786"/>
    <w:rsid w:val="009B2C38"/>
    <w:rsid w:val="009D1D85"/>
    <w:rsid w:val="009D5A75"/>
    <w:rsid w:val="009E16F2"/>
    <w:rsid w:val="009E18E4"/>
    <w:rsid w:val="009F7C7A"/>
    <w:rsid w:val="00A01DF4"/>
    <w:rsid w:val="00A215C9"/>
    <w:rsid w:val="00A30CF8"/>
    <w:rsid w:val="00A4169B"/>
    <w:rsid w:val="00A54155"/>
    <w:rsid w:val="00A65280"/>
    <w:rsid w:val="00A6775F"/>
    <w:rsid w:val="00A7707D"/>
    <w:rsid w:val="00A838DC"/>
    <w:rsid w:val="00A84AE0"/>
    <w:rsid w:val="00A90D0C"/>
    <w:rsid w:val="00A9135E"/>
    <w:rsid w:val="00A9294C"/>
    <w:rsid w:val="00AA23FA"/>
    <w:rsid w:val="00AB14BA"/>
    <w:rsid w:val="00AB4B2F"/>
    <w:rsid w:val="00AB6BA4"/>
    <w:rsid w:val="00AC33B2"/>
    <w:rsid w:val="00AC6774"/>
    <w:rsid w:val="00AD4C9C"/>
    <w:rsid w:val="00AE0AF2"/>
    <w:rsid w:val="00AE42D4"/>
    <w:rsid w:val="00AE6487"/>
    <w:rsid w:val="00B01B88"/>
    <w:rsid w:val="00B02F94"/>
    <w:rsid w:val="00B126A7"/>
    <w:rsid w:val="00B13B8C"/>
    <w:rsid w:val="00B17CEE"/>
    <w:rsid w:val="00B20784"/>
    <w:rsid w:val="00B21220"/>
    <w:rsid w:val="00B22801"/>
    <w:rsid w:val="00B24A4C"/>
    <w:rsid w:val="00B252B4"/>
    <w:rsid w:val="00B27E33"/>
    <w:rsid w:val="00B305FC"/>
    <w:rsid w:val="00B33E38"/>
    <w:rsid w:val="00B4326E"/>
    <w:rsid w:val="00B73A10"/>
    <w:rsid w:val="00B86723"/>
    <w:rsid w:val="00B941A3"/>
    <w:rsid w:val="00B941AB"/>
    <w:rsid w:val="00B974A9"/>
    <w:rsid w:val="00BA2412"/>
    <w:rsid w:val="00BA7C4A"/>
    <w:rsid w:val="00BB0278"/>
    <w:rsid w:val="00BB554B"/>
    <w:rsid w:val="00BF73F3"/>
    <w:rsid w:val="00C00041"/>
    <w:rsid w:val="00C0423C"/>
    <w:rsid w:val="00C07A9F"/>
    <w:rsid w:val="00C15704"/>
    <w:rsid w:val="00C17395"/>
    <w:rsid w:val="00C23A87"/>
    <w:rsid w:val="00C344A1"/>
    <w:rsid w:val="00C468C3"/>
    <w:rsid w:val="00C50931"/>
    <w:rsid w:val="00C60359"/>
    <w:rsid w:val="00C61324"/>
    <w:rsid w:val="00C63EDB"/>
    <w:rsid w:val="00C66A8C"/>
    <w:rsid w:val="00C71423"/>
    <w:rsid w:val="00C77D66"/>
    <w:rsid w:val="00C849D4"/>
    <w:rsid w:val="00C858B2"/>
    <w:rsid w:val="00CA5843"/>
    <w:rsid w:val="00CA70DD"/>
    <w:rsid w:val="00CB16FF"/>
    <w:rsid w:val="00CB29BA"/>
    <w:rsid w:val="00CB2A01"/>
    <w:rsid w:val="00CB39C9"/>
    <w:rsid w:val="00CD21BA"/>
    <w:rsid w:val="00CD328F"/>
    <w:rsid w:val="00CD4295"/>
    <w:rsid w:val="00CD4F0F"/>
    <w:rsid w:val="00CD5295"/>
    <w:rsid w:val="00CD74BD"/>
    <w:rsid w:val="00CE0BFB"/>
    <w:rsid w:val="00CE0C36"/>
    <w:rsid w:val="00CE2CE5"/>
    <w:rsid w:val="00CF5224"/>
    <w:rsid w:val="00D0319E"/>
    <w:rsid w:val="00D10241"/>
    <w:rsid w:val="00D11BD4"/>
    <w:rsid w:val="00D30D95"/>
    <w:rsid w:val="00D31D50"/>
    <w:rsid w:val="00D33751"/>
    <w:rsid w:val="00D34922"/>
    <w:rsid w:val="00D35072"/>
    <w:rsid w:val="00D3536D"/>
    <w:rsid w:val="00D37D23"/>
    <w:rsid w:val="00D42DFD"/>
    <w:rsid w:val="00D4593C"/>
    <w:rsid w:val="00D476F9"/>
    <w:rsid w:val="00D51249"/>
    <w:rsid w:val="00D5218E"/>
    <w:rsid w:val="00D5491D"/>
    <w:rsid w:val="00D54FDC"/>
    <w:rsid w:val="00D57471"/>
    <w:rsid w:val="00D65F61"/>
    <w:rsid w:val="00D67754"/>
    <w:rsid w:val="00D7627A"/>
    <w:rsid w:val="00D763B7"/>
    <w:rsid w:val="00D8428B"/>
    <w:rsid w:val="00D92419"/>
    <w:rsid w:val="00DA20C2"/>
    <w:rsid w:val="00DA521E"/>
    <w:rsid w:val="00DA6344"/>
    <w:rsid w:val="00DB1998"/>
    <w:rsid w:val="00DB267C"/>
    <w:rsid w:val="00DC08E6"/>
    <w:rsid w:val="00DC09A0"/>
    <w:rsid w:val="00DC1A5A"/>
    <w:rsid w:val="00DC23CA"/>
    <w:rsid w:val="00DD1E41"/>
    <w:rsid w:val="00DD52AA"/>
    <w:rsid w:val="00DE103B"/>
    <w:rsid w:val="00DE145A"/>
    <w:rsid w:val="00DE39B7"/>
    <w:rsid w:val="00DF1569"/>
    <w:rsid w:val="00DF6EDD"/>
    <w:rsid w:val="00DF7361"/>
    <w:rsid w:val="00DF7E82"/>
    <w:rsid w:val="00E05633"/>
    <w:rsid w:val="00E210A0"/>
    <w:rsid w:val="00E328E5"/>
    <w:rsid w:val="00E342C9"/>
    <w:rsid w:val="00E37B32"/>
    <w:rsid w:val="00E42E54"/>
    <w:rsid w:val="00E4437E"/>
    <w:rsid w:val="00E51943"/>
    <w:rsid w:val="00E52C1A"/>
    <w:rsid w:val="00E545D0"/>
    <w:rsid w:val="00E65FB9"/>
    <w:rsid w:val="00E73BDD"/>
    <w:rsid w:val="00E74D03"/>
    <w:rsid w:val="00E773E2"/>
    <w:rsid w:val="00E774C6"/>
    <w:rsid w:val="00E775F8"/>
    <w:rsid w:val="00E807D3"/>
    <w:rsid w:val="00E85118"/>
    <w:rsid w:val="00E85459"/>
    <w:rsid w:val="00E86AD3"/>
    <w:rsid w:val="00EA1489"/>
    <w:rsid w:val="00EA2655"/>
    <w:rsid w:val="00EB3586"/>
    <w:rsid w:val="00EC780B"/>
    <w:rsid w:val="00ED576C"/>
    <w:rsid w:val="00EE0CF8"/>
    <w:rsid w:val="00EE3A96"/>
    <w:rsid w:val="00EE50F7"/>
    <w:rsid w:val="00EF297D"/>
    <w:rsid w:val="00EF76FE"/>
    <w:rsid w:val="00F04234"/>
    <w:rsid w:val="00F047DC"/>
    <w:rsid w:val="00F070F5"/>
    <w:rsid w:val="00F11CB2"/>
    <w:rsid w:val="00F20187"/>
    <w:rsid w:val="00F21AAA"/>
    <w:rsid w:val="00F21F5B"/>
    <w:rsid w:val="00F234C6"/>
    <w:rsid w:val="00F24E77"/>
    <w:rsid w:val="00F24FA8"/>
    <w:rsid w:val="00F34A59"/>
    <w:rsid w:val="00F474DE"/>
    <w:rsid w:val="00F634A7"/>
    <w:rsid w:val="00F7443F"/>
    <w:rsid w:val="00F805F0"/>
    <w:rsid w:val="00F825A1"/>
    <w:rsid w:val="00F9041B"/>
    <w:rsid w:val="00F94E57"/>
    <w:rsid w:val="00F957A8"/>
    <w:rsid w:val="00F96EC9"/>
    <w:rsid w:val="00FA233C"/>
    <w:rsid w:val="00FA5448"/>
    <w:rsid w:val="00FA792A"/>
    <w:rsid w:val="00FB04F3"/>
    <w:rsid w:val="00FB07AF"/>
    <w:rsid w:val="00FB39AB"/>
    <w:rsid w:val="00FC1CBF"/>
    <w:rsid w:val="00FC73A4"/>
    <w:rsid w:val="00FD35EB"/>
    <w:rsid w:val="00FE0475"/>
    <w:rsid w:val="00FF00D9"/>
    <w:rsid w:val="00FF24E9"/>
    <w:rsid w:val="01467425"/>
    <w:rsid w:val="02C17743"/>
    <w:rsid w:val="03AC2408"/>
    <w:rsid w:val="09777728"/>
    <w:rsid w:val="09FF56E8"/>
    <w:rsid w:val="0D061CD4"/>
    <w:rsid w:val="0D0F7A88"/>
    <w:rsid w:val="0D637775"/>
    <w:rsid w:val="0DAB0DF4"/>
    <w:rsid w:val="11E470A0"/>
    <w:rsid w:val="1302330E"/>
    <w:rsid w:val="15092D84"/>
    <w:rsid w:val="18024DC4"/>
    <w:rsid w:val="19211303"/>
    <w:rsid w:val="1C4E296B"/>
    <w:rsid w:val="1CC77981"/>
    <w:rsid w:val="1CD01DD6"/>
    <w:rsid w:val="1FF27F0A"/>
    <w:rsid w:val="22BD0682"/>
    <w:rsid w:val="259C3DDF"/>
    <w:rsid w:val="281D2B92"/>
    <w:rsid w:val="285B7244"/>
    <w:rsid w:val="2F505EBA"/>
    <w:rsid w:val="346D37AA"/>
    <w:rsid w:val="360B4A64"/>
    <w:rsid w:val="37D92952"/>
    <w:rsid w:val="37EF655D"/>
    <w:rsid w:val="37F162BF"/>
    <w:rsid w:val="389A0168"/>
    <w:rsid w:val="3A7137AE"/>
    <w:rsid w:val="3C145106"/>
    <w:rsid w:val="3E7440B0"/>
    <w:rsid w:val="437A0EFD"/>
    <w:rsid w:val="471B4F9C"/>
    <w:rsid w:val="4727670F"/>
    <w:rsid w:val="48410F19"/>
    <w:rsid w:val="488B669C"/>
    <w:rsid w:val="498D2846"/>
    <w:rsid w:val="4DC360A2"/>
    <w:rsid w:val="52C1180B"/>
    <w:rsid w:val="53A7561E"/>
    <w:rsid w:val="569A1942"/>
    <w:rsid w:val="573E6F54"/>
    <w:rsid w:val="59526AAF"/>
    <w:rsid w:val="596646BA"/>
    <w:rsid w:val="599469F4"/>
    <w:rsid w:val="5CB409EC"/>
    <w:rsid w:val="5D6B5C61"/>
    <w:rsid w:val="5F763953"/>
    <w:rsid w:val="64680F4A"/>
    <w:rsid w:val="657753C8"/>
    <w:rsid w:val="65ED6841"/>
    <w:rsid w:val="6F753C32"/>
    <w:rsid w:val="707F71F1"/>
    <w:rsid w:val="73053858"/>
    <w:rsid w:val="730E7BA1"/>
    <w:rsid w:val="78CD7418"/>
    <w:rsid w:val="7CD75C71"/>
    <w:rsid w:val="7DD325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kern w:val="0"/>
      <w:sz w:val="20"/>
      <w:szCs w:val="21"/>
    </w:r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2"/>
    <w:unhideWhenUsed/>
    <w:qFormat/>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99"/>
    <w:rPr>
      <w:rFonts w:ascii="Tahoma" w:hAnsi="Tahoma"/>
      <w:sz w:val="18"/>
      <w:szCs w:val="18"/>
    </w:rPr>
  </w:style>
  <w:style w:type="character" w:customStyle="1" w:styleId="12">
    <w:name w:val="页脚 Char"/>
    <w:basedOn w:val="8"/>
    <w:link w:val="4"/>
    <w:qFormat/>
    <w:uiPriority w:val="99"/>
    <w:rPr>
      <w:rFonts w:ascii="Tahoma" w:hAnsi="Tahoma"/>
      <w:sz w:val="18"/>
      <w:szCs w:val="18"/>
    </w:rPr>
  </w:style>
  <w:style w:type="character" w:customStyle="1" w:styleId="13">
    <w:name w:val="apple-converted-space"/>
    <w:basedOn w:val="8"/>
    <w:qFormat/>
    <w:uiPriority w:val="0"/>
  </w:style>
  <w:style w:type="character" w:customStyle="1" w:styleId="14">
    <w:name w:val="批注框文本 Char"/>
    <w:basedOn w:val="8"/>
    <w:link w:val="3"/>
    <w:semiHidden/>
    <w:qFormat/>
    <w:uiPriority w:val="99"/>
    <w:rPr>
      <w:rFonts w:ascii="Tahoma" w:hAnsi="Tahoma"/>
      <w:sz w:val="18"/>
      <w:szCs w:val="18"/>
    </w:rPr>
  </w:style>
  <w:style w:type="paragraph" w:customStyle="1" w:styleId="15">
    <w:name w:val="Table Paragraph"/>
    <w:basedOn w:val="1"/>
    <w:qFormat/>
    <w:uiPriority w:val="1"/>
    <w:pPr>
      <w:widowControl w:val="0"/>
      <w:autoSpaceDE w:val="0"/>
      <w:autoSpaceDN w:val="0"/>
      <w:snapToGrid/>
      <w:spacing w:after="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555</Words>
  <Characters>3170</Characters>
  <Lines>26</Lines>
  <Paragraphs>7</Paragraphs>
  <TotalTime>2</TotalTime>
  <ScaleCrop>false</ScaleCrop>
  <LinksUpToDate>false</LinksUpToDate>
  <CharactersWithSpaces>3718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user</cp:lastModifiedBy>
  <cp:lastPrinted>2021-06-03T04:20:00Z</cp:lastPrinted>
  <dcterms:modified xsi:type="dcterms:W3CDTF">2025-09-09T02:31:16Z</dcterms:modified>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048AEE60E7C840B2AF11B73D7D5F2800</vt:lpwstr>
  </property>
</Properties>
</file>