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苏银理财恒源封闭债权221期优选2年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苏银理财恒源封闭债权221期优选2年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21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  <w:bookmarkStart w:id="0" w:name="_GoBack"/>
      <w:bookmarkEnd w:id="0"/>
    </w:p>
    <w:tbl>
      <w:tblPr>
        <w:tblStyle w:val="7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01"/>
        <w:gridCol w:w="7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产品名称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苏银理财恒源封闭债权221期优选2年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理财产品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登记编码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Z7003125000216，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投资者可依据该编码在中国理财网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instrText xml:space="preserve"> HYPERLINK "http://www.chinawealth.com.cn/" </w:instrTex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separate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t>www.chinawealth.com.cn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end"/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查询产品信息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销售简称/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销售代码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JS份额：苏银理财恒源封闭债权221期优选2年JS鑫福款/J06905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产品类型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产品内部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风险评级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本理财产品经苏银理财内部风险评级为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</w:rPr>
              <w:t>★★二级，适合中低风险型投资者，适合投资策略为稳健发展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  <w:lang w:val="en-US" w:eastAsia="zh-CN"/>
              </w:rPr>
              <w:t>的投资者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。本评级为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内部评级，由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根据理财产品的投资组合、同类产品过往业绩和风险状况等因素，对理财产品进行评级，仅供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参考。</w:t>
            </w:r>
          </w:p>
          <w:tbl>
            <w:tblPr>
              <w:tblStyle w:val="7"/>
              <w:tblW w:w="429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04"/>
              <w:gridCol w:w="1489"/>
              <w:gridCol w:w="2030"/>
              <w:gridCol w:w="167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风险星级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风险级别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适合的投资者类别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适合投资策略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tcBorders>
                    <w:bottom w:val="single" w:color="auto" w:sz="4" w:space="0"/>
                  </w:tcBorders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</w:t>
                  </w:r>
                </w:p>
              </w:tc>
              <w:tc>
                <w:tcPr>
                  <w:tcW w:w="1095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一级（PR1）</w:t>
                  </w:r>
                </w:p>
              </w:tc>
              <w:tc>
                <w:tcPr>
                  <w:tcW w:w="1493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低风险型</w:t>
                  </w:r>
                </w:p>
              </w:tc>
              <w:tc>
                <w:tcPr>
                  <w:tcW w:w="1229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风险控制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二级（PR2）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中低风险型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稳健发展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三级（PR3）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均衡发展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四级（PR4）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积极成长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五级（PR5）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风险承受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ascii="楷体" w:hAnsi="楷体" w:eastAsia="楷体"/>
                <w:b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  <w:r>
              <w:rPr>
                <w:rFonts w:hint="eastAsia" w:ascii="楷体" w:hAnsi="楷体" w:eastAsia="楷体"/>
                <w:b/>
                <w:bCs/>
                <w:sz w:val="18"/>
                <w:szCs w:val="18"/>
                <w:highlight w:val="none"/>
                <w:u w:val="single"/>
              </w:rPr>
              <w:t>如本产品通过代理销售机构渠道销售，</w:t>
            </w:r>
            <w:r>
              <w:rPr>
                <w:rFonts w:hint="eastAsia" w:ascii="楷体" w:hAnsi="楷体" w:eastAsia="楷体"/>
                <w:b/>
                <w:sz w:val="18"/>
                <w:szCs w:val="18"/>
                <w:highlight w:val="none"/>
                <w:u w:val="single"/>
              </w:rPr>
              <w:t>理财产品评级以代理销售机构最终披露的评级结果为准。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57" w:leftChars="0" w:right="57" w:rightChars="0" w:firstLine="0" w:firstLineChars="0"/>
              <w:jc w:val="both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销售机构负责完成投资者风险承受能力评估，并在遵循投资者适当性原则的前提下进行本理财产品的销售活动。</w:t>
            </w:r>
          </w:p>
          <w:p>
            <w:pPr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销售对象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面向个人和机构投资者销售。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募集币种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份额面值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计划发行规模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 w:val="0"/>
                <w:color w:val="auto"/>
                <w:spacing w:val="-2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本产品计划发行规模为20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最低发行规模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本产品最低发行规模为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3000万元，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  <w:t>管理人有权根据实际需要调整最低发行规模。若产品认购规模未达到最低发行规模，或新的法律、法规或监管政策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购买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起点</w:t>
            </w:r>
            <w:r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追加金额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JS份额购买起点金额为1元，追加金额为1元的整数倍；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苏银理财有权对上述起点金额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和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追加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金额进行</w:t>
            </w:r>
            <w:r>
              <w:rPr>
                <w:rFonts w:hint="eastAsia" w:ascii="楷体" w:hAnsi="楷体" w:eastAsia="楷体"/>
                <w:sz w:val="18"/>
                <w:szCs w:val="18"/>
              </w:rPr>
              <w:t>调整，并在调整前进行公告。</w:t>
            </w:r>
            <w:r>
              <w:rPr>
                <w:rFonts w:hint="eastAsia" w:ascii="楷体" w:hAnsi="楷体" w:eastAsia="楷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18"/>
                <w:szCs w:val="18"/>
              </w:rPr>
              <w:t>具体以销售机构设置为准</w:t>
            </w:r>
            <w:r>
              <w:rPr>
                <w:rFonts w:hint="eastAsia" w:ascii="楷体" w:hAnsi="楷体" w:eastAsia="楷体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21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日至202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  <w:t>投资者可于募集期结束日交易闭市前撤销认购申请，该时点后不得撤销，募集期结束日交易闭市时间具体以销售机构设置为准。管理人在法律允许的范围内保留延长募集期或缩短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产品成立日/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份额登记日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2025年8月28日，如管理人调整募集期，则产品成立日/份额登记日将相应调整，以管理人公告为准。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终止日/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到期日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如遇节假日，顺延至下一工作日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在符合产品说明书约定的条件下，管理人有权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调整产品到期日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，产品到期日受制于提前终止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延期终止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条款。详见下文“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、产品终止”。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产品存续期限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747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天（以理财产品实际存续天数为准）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  <w:lang w:eastAsia="zh-CN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单个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持有份额上限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单一投资者持有份额不得超过总份额50%。非因主观因素导致突破前款规定比例限制的，在单一投资者持有份额占理财产品总份额比例降至50%以下之前，不再接受该单一投资者对理财产品的认购申请。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业绩比较基准（年化）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收益水平，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在产品说明书约定的投资范围和投资比例内，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</w:rPr>
              <w:t>综合考虑各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</w:rPr>
              <w:t>份额收取的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销售服务费和投资管理费等费用情况，模拟测算得出业绩比较基准。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2.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本产品各类份额可能因收取的销售服务费和投资管理费存在差异，业绩比较基准设置有所不同。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</w:rPr>
              <w:t>各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</w:rPr>
              <w:t>份额业绩比较基准如下：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JS份额：2.80%-3.10%。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3.本产品为净值型产品，业绩表现将随市场波动，具有不确定性。业绩比较基准是管理人基于产品性质、投资策略、过往经验等因素对产品设定的投资目标。业绩比较基准不是预期收益率，不代表产品的未来表现和实际收益，不构成对产品收益的承诺。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4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产品费用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1.托管费率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：0.02%/年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2.销售服务费率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：JS份额：0.20%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，采用每日计提模式。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3.投资管理费率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：JS份额：0.15%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4.超额业绩报酬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如有）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：若产品各份额实际投资收益在扣除托管费、销售服务费、投资管理费等费用后超过各份额业绩比较基准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下限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管理人将按照超出部分的50%收取超额业绩报酬。产品存续期内理财产品将每日暂估超额业绩报酬，仅用于理财产品会计核算，并将扣除“暂估超额业绩报酬”后的理财产品份额净值按照说明书约定向投资者进行披露。理财产品实际收取的超额业绩报酬以到期日计提核算的数值为准。计算超额业绩报酬时，1年按365日计算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本产品设置有多个份额，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各份额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实际收取的销售服务费率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投资管理费率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和超额业绩报酬（如有）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可能存在差异，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投资者应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根据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各份额收费情况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自主选择购买。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若法律法规、国家监管政策或市场情况发生变化，管理人有权对已约定的收费项目、条件、标准和方式进行调整。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产品存续期内管理人有权根据产品运行情况制定费率优惠措施，优惠后实际执行的费率以管理人公告为准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收益分配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9" w:leftChars="0" w:right="77" w:rightChars="35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本产品无分红机制，投资运作情况体现为产品净值变化。产品投资运作到期，投资收益扣除相关费用后，全部分配给投资者。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税收规定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snapToGrid w:val="0"/>
              <w:spacing w:line="240" w:lineRule="auto"/>
              <w:ind w:left="44" w:leftChars="20" w:right="44" w:rightChars="20"/>
              <w:textAlignment w:val="auto"/>
              <w:rPr>
                <w:rFonts w:hint="eastAsia" w:ascii="楷体" w:hAnsi="楷体" w:eastAsia="楷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根据中国增值税等税收相关法律法规、税收政策等要求，产品应缴纳的增值税及附加税费（包括但不限于城市维护建设税、教育费附加及地方教育附加等）由管理人从理财产品财产中支付，由此可能会使理财产品净值或实际收益降低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</w:rPr>
              <w:t>投资者从理财产品取得的收益应缴纳的税款，由投资者自行申报及缴纳。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苏银理财恒源封闭债权221期优选2年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苏银理财恒源封闭债权221期优选2年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16F45FB"/>
    <w:rsid w:val="017003AA"/>
    <w:rsid w:val="01CC0983"/>
    <w:rsid w:val="02716889"/>
    <w:rsid w:val="02C17743"/>
    <w:rsid w:val="039E030D"/>
    <w:rsid w:val="03AC2408"/>
    <w:rsid w:val="06B70A90"/>
    <w:rsid w:val="09777728"/>
    <w:rsid w:val="09FF56E8"/>
    <w:rsid w:val="0B911F88"/>
    <w:rsid w:val="0BDC2C86"/>
    <w:rsid w:val="0D061CD4"/>
    <w:rsid w:val="0D0F7A88"/>
    <w:rsid w:val="0D637775"/>
    <w:rsid w:val="0E2941CB"/>
    <w:rsid w:val="0E5F095A"/>
    <w:rsid w:val="0EB7539D"/>
    <w:rsid w:val="11E470A0"/>
    <w:rsid w:val="1302330E"/>
    <w:rsid w:val="1304263C"/>
    <w:rsid w:val="143940BA"/>
    <w:rsid w:val="15092D84"/>
    <w:rsid w:val="18024DC4"/>
    <w:rsid w:val="19211303"/>
    <w:rsid w:val="1A1928E2"/>
    <w:rsid w:val="1C392E2B"/>
    <w:rsid w:val="1C4E296B"/>
    <w:rsid w:val="1CC77981"/>
    <w:rsid w:val="1CD01DD6"/>
    <w:rsid w:val="1F554D78"/>
    <w:rsid w:val="1FF27F0A"/>
    <w:rsid w:val="221564E3"/>
    <w:rsid w:val="22BD0682"/>
    <w:rsid w:val="23C70A3F"/>
    <w:rsid w:val="259C3DDF"/>
    <w:rsid w:val="26480ADD"/>
    <w:rsid w:val="281D2B92"/>
    <w:rsid w:val="29382A8A"/>
    <w:rsid w:val="29637A76"/>
    <w:rsid w:val="2BC93191"/>
    <w:rsid w:val="2D032EEB"/>
    <w:rsid w:val="2E1F2395"/>
    <w:rsid w:val="2EAC37A0"/>
    <w:rsid w:val="2F505EBA"/>
    <w:rsid w:val="30CE7037"/>
    <w:rsid w:val="32242253"/>
    <w:rsid w:val="330A6248"/>
    <w:rsid w:val="33701575"/>
    <w:rsid w:val="346D37AA"/>
    <w:rsid w:val="360B4A64"/>
    <w:rsid w:val="37D92952"/>
    <w:rsid w:val="39E61224"/>
    <w:rsid w:val="3A4F73C8"/>
    <w:rsid w:val="3A7137AE"/>
    <w:rsid w:val="3E7440B0"/>
    <w:rsid w:val="3E9C5C6C"/>
    <w:rsid w:val="3F5E6C02"/>
    <w:rsid w:val="42532033"/>
    <w:rsid w:val="437A0EFD"/>
    <w:rsid w:val="457468D3"/>
    <w:rsid w:val="471B4F9C"/>
    <w:rsid w:val="4727670F"/>
    <w:rsid w:val="488B669C"/>
    <w:rsid w:val="498D2846"/>
    <w:rsid w:val="4BC55E91"/>
    <w:rsid w:val="4DC360A2"/>
    <w:rsid w:val="4ED430B4"/>
    <w:rsid w:val="4F1F46B7"/>
    <w:rsid w:val="4FAB39C4"/>
    <w:rsid w:val="52C1180B"/>
    <w:rsid w:val="532B0103"/>
    <w:rsid w:val="53A7561E"/>
    <w:rsid w:val="549B2CC3"/>
    <w:rsid w:val="54F476EE"/>
    <w:rsid w:val="55301A66"/>
    <w:rsid w:val="569A1942"/>
    <w:rsid w:val="573E6F54"/>
    <w:rsid w:val="57962938"/>
    <w:rsid w:val="58A96CFC"/>
    <w:rsid w:val="59526AAF"/>
    <w:rsid w:val="599469F4"/>
    <w:rsid w:val="5A2D214F"/>
    <w:rsid w:val="5D645228"/>
    <w:rsid w:val="5D6B5C61"/>
    <w:rsid w:val="5DD0768E"/>
    <w:rsid w:val="5E0B78D6"/>
    <w:rsid w:val="5F763953"/>
    <w:rsid w:val="65ED6841"/>
    <w:rsid w:val="6CE678C6"/>
    <w:rsid w:val="6DE74F9B"/>
    <w:rsid w:val="6F753C32"/>
    <w:rsid w:val="707F71F1"/>
    <w:rsid w:val="73053858"/>
    <w:rsid w:val="730E7BA1"/>
    <w:rsid w:val="7409326A"/>
    <w:rsid w:val="7617396F"/>
    <w:rsid w:val="7CD75C71"/>
    <w:rsid w:val="7DD325A0"/>
    <w:rsid w:val="7E2C223A"/>
    <w:rsid w:val="7FCD57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5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2025-08-15T03:07:29Z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