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932C60">
        <w:rPr>
          <w:rFonts w:ascii="宋体" w:eastAsia="宋体" w:hAnsi="宋体" w:cs="宋体" w:hint="eastAsia"/>
          <w:b/>
          <w:bCs/>
          <w:sz w:val="36"/>
        </w:rPr>
        <w:t>恒源</w:t>
      </w:r>
      <w:r w:rsidR="0038199F">
        <w:rPr>
          <w:rFonts w:ascii="宋体" w:eastAsia="宋体" w:hAnsi="宋体" w:cs="宋体" w:hint="eastAsia"/>
          <w:b/>
          <w:bCs/>
          <w:sz w:val="36"/>
        </w:rPr>
        <w:t>6月定开24期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366ABE" w:rsidRDefault="0068015B" w:rsidP="00366ABE">
      <w:pPr>
        <w:spacing w:after="0"/>
        <w:ind w:firstLineChars="200" w:firstLine="640"/>
        <w:jc w:val="both"/>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932C60">
        <w:rPr>
          <w:rFonts w:ascii="仿宋_GB2312" w:eastAsia="仿宋_GB2312" w:hAnsi="微软雅黑" w:cs="宋体" w:hint="eastAsia"/>
          <w:color w:val="000000"/>
          <w:sz w:val="32"/>
          <w:szCs w:val="32"/>
        </w:rPr>
        <w:t>恒源</w:t>
      </w:r>
      <w:r w:rsidR="0038199F">
        <w:rPr>
          <w:rFonts w:ascii="仿宋_GB2312" w:eastAsia="仿宋_GB2312" w:hAnsi="微软雅黑" w:cs="宋体" w:hint="eastAsia"/>
          <w:color w:val="000000"/>
          <w:sz w:val="32"/>
          <w:szCs w:val="32"/>
        </w:rPr>
        <w:t>6月定开24期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0E5A32">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38199F">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月</w:t>
      </w:r>
      <w:r w:rsidR="0038199F">
        <w:rPr>
          <w:rFonts w:ascii="仿宋_GB2312" w:eastAsia="仿宋_GB2312" w:hAnsi="微软雅黑" w:cs="宋体" w:hint="eastAsia"/>
          <w:color w:val="FF0000"/>
          <w:sz w:val="32"/>
          <w:szCs w:val="32"/>
        </w:rPr>
        <w:t>12</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0E5A32">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bookmarkStart w:id="0" w:name="_GoBack"/>
      <w:bookmarkEnd w:id="0"/>
      <w:r w:rsidR="00350191">
        <w:rPr>
          <w:rFonts w:ascii="仿宋_GB2312" w:eastAsia="仿宋_GB2312" w:hAnsi="微软雅黑" w:cs="宋体" w:hint="eastAsia"/>
          <w:color w:val="FF0000"/>
          <w:sz w:val="32"/>
          <w:szCs w:val="32"/>
        </w:rPr>
        <w:t>4</w:t>
      </w:r>
      <w:r w:rsidR="00932C60">
        <w:rPr>
          <w:rFonts w:ascii="仿宋_GB2312" w:eastAsia="仿宋_GB2312" w:hAnsi="微软雅黑" w:cs="宋体" w:hint="eastAsia"/>
          <w:color w:val="FF0000"/>
          <w:sz w:val="32"/>
          <w:szCs w:val="32"/>
        </w:rPr>
        <w:t>月</w:t>
      </w:r>
      <w:r w:rsidR="0038199F">
        <w:rPr>
          <w:rFonts w:ascii="仿宋_GB2312" w:eastAsia="仿宋_GB2312" w:hAnsi="微软雅黑" w:cs="宋体" w:hint="eastAsia"/>
          <w:color w:val="FF0000"/>
          <w:sz w:val="32"/>
          <w:szCs w:val="32"/>
        </w:rPr>
        <w:t>18</w:t>
      </w:r>
      <w:r w:rsidR="007647EB">
        <w:rPr>
          <w:rFonts w:ascii="仿宋_GB2312" w:eastAsia="仿宋_GB2312" w:hAnsi="微软雅黑" w:cs="宋体" w:hint="eastAsia"/>
          <w:color w:val="FF0000"/>
          <w:sz w:val="32"/>
          <w:szCs w:val="32"/>
        </w:rPr>
        <w:t>日</w:t>
      </w:r>
      <w:r>
        <w:rPr>
          <w:rFonts w:ascii="仿宋_GB2312" w:eastAsia="仿宋_GB2312" w:hAnsi="微软雅黑" w:cs="宋体" w:hint="eastAsia"/>
          <w:color w:val="FF0000"/>
          <w:sz w:val="32"/>
          <w:szCs w:val="32"/>
        </w:rPr>
        <w:t>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366ABE">
        <w:rPr>
          <w:rFonts w:ascii="仿宋_GB2312" w:eastAsia="仿宋_GB2312" w:hAnsi="微软雅黑" w:cs="宋体" w:hint="eastAsia"/>
          <w:b/>
          <w:color w:val="FF0000"/>
          <w:sz w:val="32"/>
          <w:szCs w:val="32"/>
        </w:rPr>
        <w:t>和柜面</w:t>
      </w:r>
      <w:r w:rsidR="00C07D62" w:rsidRPr="00A8337B">
        <w:rPr>
          <w:rFonts w:ascii="仿宋_GB2312" w:eastAsia="仿宋_GB2312" w:hAnsi="微软雅黑" w:cs="宋体" w:hint="eastAsia"/>
          <w:color w:val="000000"/>
          <w:sz w:val="32"/>
          <w:szCs w:val="32"/>
        </w:rPr>
        <w:t>等</w:t>
      </w:r>
      <w:r w:rsidR="00366ABE">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366ABE" w:rsidRPr="00366ABE">
        <w:rPr>
          <w:rFonts w:ascii="仿宋_GB2312" w:eastAsia="仿宋_GB2312" w:hAnsi="微软雅黑" w:cs="宋体" w:hint="eastAsia"/>
          <w:color w:val="000000"/>
          <w:sz w:val="32"/>
          <w:szCs w:val="32"/>
        </w:rPr>
        <w:t>销售服务费率：</w:t>
      </w:r>
      <w:r w:rsidR="00086111">
        <w:rPr>
          <w:rFonts w:ascii="仿宋_GB2312" w:eastAsia="仿宋_GB2312" w:hAnsi="微软雅黑" w:cs="宋体" w:hint="eastAsia"/>
          <w:color w:val="000000"/>
          <w:sz w:val="32"/>
          <w:szCs w:val="32"/>
        </w:rPr>
        <w:t>L</w:t>
      </w:r>
      <w:r w:rsidR="00366ABE" w:rsidRPr="00366ABE">
        <w:rPr>
          <w:rFonts w:ascii="仿宋_GB2312" w:eastAsia="仿宋_GB2312" w:hAnsi="微软雅黑" w:cs="宋体" w:hint="eastAsia"/>
          <w:color w:val="000000"/>
          <w:sz w:val="32"/>
          <w:szCs w:val="32"/>
        </w:rPr>
        <w:t>份额0.30%/年。</w:t>
      </w:r>
      <w:r>
        <w:rPr>
          <w:rFonts w:ascii="仿宋_GB2312" w:eastAsia="仿宋_GB2312" w:hAnsi="微软雅黑" w:cs="宋体" w:hint="eastAsia"/>
          <w:color w:val="000000"/>
          <w:sz w:val="32"/>
          <w:szCs w:val="32"/>
        </w:rPr>
        <w:t>部分要素如下：</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8"/>
        <w:gridCol w:w="6614"/>
      </w:tblGrid>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1"/>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产品名称</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3"/>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苏银理财恒源6月定开24期</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40"/>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理财产品登记编码</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Z7003124000048</w:t>
            </w:r>
          </w:p>
          <w:p w:rsidR="0038199F" w:rsidRDefault="0038199F" w:rsidP="0038199F">
            <w:pPr>
              <w:pStyle w:val="TableParagraph"/>
              <w:kinsoku w:val="0"/>
              <w:overflowPunct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（投资者可依据该编码在中国</w:t>
            </w:r>
            <w:proofErr w:type="gramStart"/>
            <w:r>
              <w:rPr>
                <w:rFonts w:ascii="楷体" w:eastAsia="楷体" w:hAnsi="楷体" w:cs="宋体" w:hint="eastAsia"/>
                <w:spacing w:val="-2"/>
                <w:kern w:val="2"/>
                <w:sz w:val="21"/>
                <w:szCs w:val="21"/>
              </w:rPr>
              <w:t>理财网</w:t>
            </w:r>
            <w:proofErr w:type="gramEnd"/>
            <w:r>
              <w:rPr>
                <w:rFonts w:ascii="楷体" w:eastAsia="楷体" w:hAnsi="楷体" w:cs="宋体"/>
                <w:spacing w:val="-2"/>
                <w:kern w:val="2"/>
                <w:sz w:val="21"/>
                <w:szCs w:val="21"/>
              </w:rPr>
              <w:fldChar w:fldCharType="begin"/>
            </w:r>
            <w:r>
              <w:rPr>
                <w:rFonts w:ascii="楷体" w:eastAsia="楷体" w:hAnsi="楷体" w:cs="宋体"/>
                <w:spacing w:val="-2"/>
                <w:kern w:val="2"/>
                <w:sz w:val="21"/>
                <w:szCs w:val="21"/>
              </w:rPr>
              <w:instrText xml:space="preserve"> HYPERLINK "http://www.chinawealth.com.cn/" </w:instrText>
            </w:r>
            <w:r>
              <w:rPr>
                <w:rFonts w:ascii="楷体" w:eastAsia="楷体" w:hAnsi="楷体" w:cs="宋体"/>
                <w:spacing w:val="-2"/>
                <w:kern w:val="2"/>
                <w:sz w:val="21"/>
                <w:szCs w:val="21"/>
              </w:rPr>
              <w:fldChar w:fldCharType="separate"/>
            </w:r>
            <w:r>
              <w:rPr>
                <w:rStyle w:val="a8"/>
                <w:rFonts w:ascii="楷体" w:eastAsia="楷体" w:hAnsi="楷体" w:cs="宋体" w:hint="eastAsia"/>
                <w:spacing w:val="-2"/>
                <w:kern w:val="2"/>
                <w:sz w:val="21"/>
                <w:szCs w:val="21"/>
              </w:rPr>
              <w:t>www.chinawealth.com.cn</w:t>
            </w:r>
            <w:r>
              <w:rPr>
                <w:rFonts w:ascii="楷体" w:eastAsia="楷体" w:hAnsi="楷体" w:cs="宋体"/>
                <w:spacing w:val="-2"/>
                <w:kern w:val="2"/>
                <w:sz w:val="21"/>
                <w:szCs w:val="21"/>
              </w:rPr>
              <w:fldChar w:fldCharType="end"/>
            </w:r>
            <w:r>
              <w:rPr>
                <w:rFonts w:ascii="楷体" w:eastAsia="楷体" w:hAnsi="楷体" w:cs="宋体" w:hint="eastAsia"/>
                <w:spacing w:val="-2"/>
                <w:kern w:val="2"/>
                <w:sz w:val="21"/>
                <w:szCs w:val="21"/>
              </w:rPr>
              <w:t>查询产品信息）</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销售简称/销售代码</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L份额：苏银理财恒源6月定开24期L/J03237</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产品管理人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苏银理财有限责任公司</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产品托管人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江苏银行股份有限公司</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产品内部风险评级</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kinsoku w:val="0"/>
              <w:overflowPunct w:val="0"/>
              <w:autoSpaceDE w:val="0"/>
              <w:autoSpaceDN w:val="0"/>
              <w:spacing w:before="13"/>
              <w:ind w:left="59" w:rightChars="35" w:right="77"/>
              <w:rPr>
                <w:rFonts w:ascii="楷体" w:eastAsia="楷体" w:hAnsi="楷体" w:cs="宋体"/>
                <w:b/>
                <w:spacing w:val="-2"/>
                <w:szCs w:val="21"/>
                <w:u w:val="single"/>
              </w:rPr>
            </w:pPr>
            <w:r>
              <w:rPr>
                <w:rFonts w:ascii="楷体" w:eastAsia="楷体" w:hAnsi="楷体" w:cs="宋体" w:hint="eastAsia"/>
                <w:b/>
                <w:spacing w:val="-2"/>
                <w:szCs w:val="21"/>
                <w:u w:val="single"/>
              </w:rPr>
              <w:t>1、★★二级，</w:t>
            </w:r>
            <w:r>
              <w:rPr>
                <w:rFonts w:ascii="楷体" w:eastAsia="楷体" w:hAnsi="楷体" w:cs="宋体" w:hint="eastAsia"/>
                <w:spacing w:val="-2"/>
                <w:szCs w:val="21"/>
              </w:rPr>
              <w:t>本评级为苏银理财有限责任公司内部评级，由苏银理财根据理财产品的投资组合、同类产品过往业绩和风险状况等因素，对理财产品进行评级，仅供客户参考。</w:t>
            </w:r>
          </w:p>
          <w:p w:rsidR="0038199F" w:rsidRDefault="0038199F" w:rsidP="0038199F">
            <w:pPr>
              <w:pStyle w:val="TableParagraph"/>
              <w:kinsoku w:val="0"/>
              <w:overflowPunct w:val="0"/>
              <w:spacing w:before="13"/>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kern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38199F" w:rsidRDefault="0038199F" w:rsidP="0038199F">
            <w:pPr>
              <w:pStyle w:val="TableParagraph"/>
              <w:kinsoku w:val="0"/>
              <w:overflowPunct w:val="0"/>
              <w:spacing w:before="13"/>
              <w:ind w:left="59" w:rightChars="35" w:right="77"/>
              <w:jc w:val="both"/>
              <w:rPr>
                <w:rFonts w:ascii="楷体" w:eastAsia="楷体" w:hAnsi="楷体" w:cs="宋体" w:hint="eastAsia"/>
                <w:b/>
                <w:spacing w:val="-2"/>
                <w:kern w:val="2"/>
                <w:sz w:val="21"/>
                <w:szCs w:val="21"/>
                <w:u w:val="single"/>
              </w:rPr>
            </w:pPr>
            <w:r>
              <w:rPr>
                <w:rFonts w:ascii="楷体" w:eastAsia="楷体" w:hAnsi="楷体" w:cs="宋体" w:hint="eastAsia"/>
                <w:b/>
                <w:spacing w:val="-2"/>
                <w:kern w:val="2"/>
                <w:sz w:val="21"/>
                <w:szCs w:val="21"/>
                <w:u w:val="single"/>
              </w:rPr>
              <w:t>3、如本产品通过代理销售机构渠道销售，理财产品评级以代理销售机构最终披露的评级结果为准。</w:t>
            </w:r>
          </w:p>
          <w:p w:rsidR="0038199F" w:rsidRPr="00A30666" w:rsidRDefault="00A30666" w:rsidP="00A30666">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净值型（非保本浮动收益）</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2"/>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kern w:val="2"/>
                <w:sz w:val="21"/>
                <w:szCs w:val="21"/>
                <w:u w:val="single"/>
              </w:rPr>
              <w:t>固定收益类、公募、开放式</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销售对象</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L份额面向个人和机构投资者销售。</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募集币种</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人民币</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投资周期</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4"/>
              <w:ind w:left="59" w:rightChars="35" w:right="77"/>
              <w:jc w:val="both"/>
              <w:rPr>
                <w:rFonts w:ascii="楷体" w:eastAsia="楷体" w:hAnsi="楷体" w:cs="宋体"/>
                <w:b/>
                <w:spacing w:val="-2"/>
                <w:kern w:val="2"/>
                <w:sz w:val="21"/>
                <w:szCs w:val="21"/>
              </w:rPr>
            </w:pPr>
            <w:r>
              <w:rPr>
                <w:rFonts w:ascii="楷体" w:eastAsia="楷体" w:hAnsi="楷体" w:cs="宋体" w:hint="eastAsia"/>
                <w:spacing w:val="-2"/>
                <w:kern w:val="2"/>
                <w:sz w:val="21"/>
                <w:szCs w:val="21"/>
              </w:rPr>
              <w:t>6个月</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计划发行规模</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首个投资周期计划发行规模10亿元，募集过程中管理人有权根据产品的募集情况调整计划发行规模。后续开放期内管理人将根据客户申购/赎回情况调整产品发行规模。</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认购起点/追加金额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ind w:left="59" w:rightChars="35" w:right="77"/>
              <w:rPr>
                <w:rFonts w:ascii="楷体" w:eastAsia="楷体" w:hAnsi="楷体" w:hint="eastAsia"/>
                <w:szCs w:val="21"/>
              </w:rPr>
            </w:pPr>
            <w:r>
              <w:rPr>
                <w:rFonts w:ascii="楷体" w:eastAsia="楷体" w:hAnsi="楷体" w:hint="eastAsia"/>
                <w:szCs w:val="21"/>
              </w:rPr>
              <w:t>L份额</w:t>
            </w:r>
            <w:r>
              <w:rPr>
                <w:rFonts w:ascii="楷体" w:eastAsia="楷体" w:hAnsi="楷体" w:cs="宋体" w:hint="eastAsia"/>
                <w:spacing w:val="-2"/>
                <w:szCs w:val="21"/>
              </w:rPr>
              <w:t>认购起点1元，</w:t>
            </w:r>
            <w:r>
              <w:rPr>
                <w:rFonts w:ascii="楷体" w:eastAsia="楷体" w:hAnsi="楷体" w:hint="eastAsia"/>
                <w:szCs w:val="21"/>
              </w:rPr>
              <w:t>追加金额为</w:t>
            </w:r>
            <w:r>
              <w:rPr>
                <w:rFonts w:ascii="楷体" w:eastAsia="楷体" w:hAnsi="楷体" w:cs="宋体" w:hint="eastAsia"/>
                <w:spacing w:val="-2"/>
                <w:szCs w:val="21"/>
              </w:rPr>
              <w:t>1</w:t>
            </w:r>
            <w:r>
              <w:rPr>
                <w:rFonts w:ascii="楷体" w:eastAsia="楷体" w:hAnsi="楷体" w:hint="eastAsia"/>
                <w:szCs w:val="21"/>
              </w:rPr>
              <w:t>元的整数</w:t>
            </w:r>
            <w:proofErr w:type="gramStart"/>
            <w:r>
              <w:rPr>
                <w:rFonts w:ascii="楷体" w:eastAsia="楷体" w:hAnsi="楷体" w:hint="eastAsia"/>
                <w:szCs w:val="21"/>
              </w:rPr>
              <w:t>倍</w:t>
            </w:r>
            <w:proofErr w:type="gramEnd"/>
            <w:r>
              <w:rPr>
                <w:rFonts w:ascii="楷体" w:eastAsia="楷体" w:hAnsi="楷体" w:hint="eastAsia"/>
                <w:szCs w:val="21"/>
              </w:rPr>
              <w:t>。</w:t>
            </w:r>
          </w:p>
          <w:p w:rsidR="0038199F" w:rsidRDefault="0038199F" w:rsidP="0038199F">
            <w:pPr>
              <w:widowControl w:val="0"/>
              <w:ind w:left="59" w:rightChars="35" w:right="77"/>
              <w:jc w:val="both"/>
              <w:rPr>
                <w:rFonts w:ascii="楷体" w:eastAsia="楷体" w:hAnsi="楷体" w:cs="宋体"/>
                <w:spacing w:val="-2"/>
                <w:kern w:val="2"/>
                <w:sz w:val="21"/>
                <w:szCs w:val="21"/>
              </w:rPr>
            </w:pPr>
            <w:r>
              <w:rPr>
                <w:rFonts w:ascii="楷体" w:eastAsia="楷体" w:hAnsi="楷体" w:hint="eastAsia"/>
                <w:szCs w:val="21"/>
              </w:rPr>
              <w:t>认购起点/追加金额具体以销售机构设置为准。认购资金的清算和认购份额的计算详见</w:t>
            </w:r>
            <w:r w:rsidR="00A30666">
              <w:rPr>
                <w:rFonts w:ascii="楷体" w:eastAsia="楷体" w:hAnsi="楷体" w:hint="eastAsia"/>
                <w:szCs w:val="21"/>
              </w:rPr>
              <w:t>产品说明书</w:t>
            </w:r>
            <w:r>
              <w:rPr>
                <w:rFonts w:ascii="楷体" w:eastAsia="楷体" w:hAnsi="楷体" w:hint="eastAsia"/>
                <w:szCs w:val="21"/>
              </w:rPr>
              <w:t>“八、产品认购”。</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份额面值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2"/>
              <w:ind w:left="59" w:rightChars="35" w:right="77"/>
              <w:jc w:val="both"/>
              <w:rPr>
                <w:rFonts w:ascii="楷体" w:eastAsia="楷体" w:hAnsi="楷体" w:cs="宋体"/>
                <w:spacing w:val="-2"/>
                <w:kern w:val="2"/>
                <w:szCs w:val="21"/>
              </w:rPr>
            </w:pPr>
            <w:r>
              <w:rPr>
                <w:rFonts w:ascii="楷体" w:eastAsia="楷体" w:hAnsi="楷体" w:cs="宋体" w:hint="eastAsia"/>
                <w:spacing w:val="-2"/>
                <w:kern w:val="2"/>
                <w:sz w:val="21"/>
                <w:szCs w:val="21"/>
              </w:rPr>
              <w:t>1元/份</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3"/>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募集期</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2024年4月12日9:00至2024年4月18日17:00</w:t>
            </w:r>
          </w:p>
          <w:p w:rsidR="0038199F" w:rsidRDefault="0038199F" w:rsidP="0038199F">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管理人在法律允许的范围内保留延长或提前终止产品募集期的权利。如有变动，实际产品募集期以管理人公告或各销售机构设置的募集时间为准。</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产品成立日/份额登记日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2024年4月19日</w:t>
            </w:r>
          </w:p>
          <w:p w:rsidR="0038199F" w:rsidRDefault="0038199F" w:rsidP="0038199F">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若产品认购份额未达到最低发行总规模3000万元，或新的法律、法规导致本产品无法合法合</w:t>
            </w:r>
            <w:proofErr w:type="gramStart"/>
            <w:r>
              <w:rPr>
                <w:rFonts w:ascii="楷体" w:eastAsia="楷体" w:hAnsi="楷体" w:cs="宋体" w:hint="eastAsia"/>
                <w:spacing w:val="-2"/>
                <w:kern w:val="2"/>
                <w:sz w:val="21"/>
                <w:szCs w:val="21"/>
              </w:rPr>
              <w:t>规</w:t>
            </w:r>
            <w:proofErr w:type="gramEnd"/>
            <w:r>
              <w:rPr>
                <w:rFonts w:ascii="楷体" w:eastAsia="楷体" w:hAnsi="楷体" w:cs="宋体" w:hint="eastAsia"/>
                <w:spacing w:val="-2"/>
                <w:kern w:val="2"/>
                <w:sz w:val="21"/>
                <w:szCs w:val="21"/>
              </w:rPr>
              <w:t>运行，或出现其他导致影响产品成立的不可抗力因素，产品管理人有权利但无义务宣布产品不成立，并于产品募集期结束后5个工作日内将投资者认购资金返还至投资者资金账户，募集期及资金在途期间投资者投资本金不计息。</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产品到期日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2034年4月25日（如遇节假日，顺延至下一工作日）</w:t>
            </w:r>
          </w:p>
          <w:p w:rsidR="0038199F" w:rsidRDefault="0038199F" w:rsidP="0038199F">
            <w:pPr>
              <w:pStyle w:val="TableParagraph"/>
              <w:kinsoku w:val="0"/>
              <w:overflowPunct w:val="0"/>
              <w:spacing w:before="12"/>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在符合本理财产品说明书约定的条件下，管理人有权提前终止该产品，产品到期日受制于提前终止条款。详见</w:t>
            </w:r>
            <w:r w:rsidR="00A30666">
              <w:rPr>
                <w:rFonts w:ascii="楷体" w:eastAsia="楷体" w:hAnsi="楷体" w:cs="宋体" w:hint="eastAsia"/>
                <w:spacing w:val="-2"/>
                <w:kern w:val="2"/>
                <w:sz w:val="21"/>
                <w:szCs w:val="21"/>
              </w:rPr>
              <w:t>产品说明书</w:t>
            </w:r>
            <w:r>
              <w:rPr>
                <w:rFonts w:ascii="楷体" w:eastAsia="楷体" w:hAnsi="楷体" w:cs="宋体" w:hint="eastAsia"/>
                <w:spacing w:val="-2"/>
                <w:kern w:val="2"/>
                <w:sz w:val="21"/>
                <w:szCs w:val="21"/>
              </w:rPr>
              <w:t>“十二、产品的终止与清算”。</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开放计划</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本产品按投资周期开放申购与赎回，每6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p w:rsidR="0038199F" w:rsidRDefault="0038199F" w:rsidP="0038199F">
            <w:pPr>
              <w:pStyle w:val="TableParagraph"/>
              <w:kinsoku w:val="0"/>
              <w:overflowPunct w:val="0"/>
              <w:spacing w:before="14"/>
              <w:ind w:left="59" w:rightChars="35" w:right="77"/>
              <w:jc w:val="both"/>
              <w:rPr>
                <w:rFonts w:ascii="楷体" w:eastAsia="楷体" w:hAnsi="楷体" w:cs="宋体"/>
                <w:spacing w:val="-2"/>
                <w:kern w:val="2"/>
                <w:sz w:val="21"/>
                <w:szCs w:val="21"/>
              </w:rPr>
            </w:pPr>
            <w:r>
              <w:rPr>
                <w:rFonts w:ascii="楷体" w:eastAsia="楷体" w:hAnsi="楷体" w:cs="宋体" w:hint="eastAsia"/>
                <w:spacing w:val="-2"/>
                <w:kern w:val="2"/>
                <w:sz w:val="21"/>
                <w:szCs w:val="21"/>
              </w:rPr>
              <w:t>管理人有权根据资产运作情况、节假日安排调整开放计划，并在调整前进行公告。详见</w:t>
            </w:r>
            <w:r w:rsidR="00A30666">
              <w:rPr>
                <w:rFonts w:ascii="楷体" w:eastAsia="楷体" w:hAnsi="楷体" w:cs="宋体" w:hint="eastAsia"/>
                <w:spacing w:val="-2"/>
                <w:kern w:val="2"/>
                <w:sz w:val="21"/>
                <w:szCs w:val="21"/>
              </w:rPr>
              <w:t>产品说明书</w:t>
            </w:r>
            <w:r>
              <w:rPr>
                <w:rFonts w:ascii="楷体" w:eastAsia="楷体" w:hAnsi="楷体" w:cs="宋体" w:hint="eastAsia"/>
                <w:spacing w:val="-2"/>
                <w:kern w:val="2"/>
                <w:sz w:val="21"/>
                <w:szCs w:val="21"/>
              </w:rPr>
              <w:t>“十、产品申购、赎回”。</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单个客户单日认/申购限额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单个客户持有份额上限</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单个客户赎回限额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4"/>
              <w:ind w:left="59" w:rightChars="35" w:right="77"/>
              <w:jc w:val="both"/>
              <w:rPr>
                <w:rFonts w:ascii="楷体" w:eastAsia="楷体" w:hAnsi="楷体" w:cs="宋体"/>
                <w:b/>
                <w:spacing w:val="-2"/>
                <w:kern w:val="2"/>
                <w:szCs w:val="21"/>
                <w:u w:val="single"/>
              </w:rPr>
            </w:pPr>
            <w:r>
              <w:rPr>
                <w:rFonts w:ascii="楷体" w:eastAsia="楷体" w:hAnsi="楷体" w:cs="宋体" w:hint="eastAsia"/>
                <w:spacing w:val="-2"/>
                <w:kern w:val="2"/>
                <w:sz w:val="21"/>
                <w:szCs w:val="21"/>
              </w:rPr>
              <w:t>1亿份。超过单个客户赎回限额时，管理人有权拒绝投资者的赎回申请。</w:t>
            </w:r>
            <w:r>
              <w:rPr>
                <w:rFonts w:ascii="楷体" w:eastAsia="楷体" w:hAnsi="楷体" w:cs="宋体" w:hint="eastAsia"/>
                <w:b/>
                <w:bCs/>
                <w:spacing w:val="-2"/>
                <w:kern w:val="2"/>
                <w:sz w:val="21"/>
                <w:szCs w:val="21"/>
                <w:u w:val="single"/>
              </w:rPr>
              <w:t>对于单个投资者单个开放日申请赎回理财份额超过上一交易日日终理财产品总份额的10%的部分，管理人有权暂停接受其赎回申请。</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4"/>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巨额申购</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14"/>
              <w:ind w:left="59" w:rightChars="35" w:right="77"/>
              <w:jc w:val="both"/>
              <w:rPr>
                <w:rFonts w:ascii="楷体" w:eastAsia="楷体" w:hAnsi="楷体" w:cs="宋体"/>
                <w:b/>
                <w:spacing w:val="-2"/>
                <w:kern w:val="2"/>
                <w:szCs w:val="21"/>
                <w:u w:val="single"/>
              </w:rPr>
            </w:pPr>
            <w:r>
              <w:rPr>
                <w:rFonts w:ascii="楷体" w:eastAsia="楷体" w:hAnsi="楷体" w:cs="宋体" w:hint="eastAsia"/>
                <w:spacing w:val="-2"/>
                <w:kern w:val="2"/>
                <w:sz w:val="21"/>
                <w:szCs w:val="21"/>
              </w:rPr>
              <w:t>本产品单个开放日</w:t>
            </w:r>
            <w:r>
              <w:rPr>
                <w:rFonts w:ascii="楷体" w:eastAsia="楷体" w:hAnsi="楷体" w:cs="宋体" w:hint="eastAsia"/>
                <w:spacing w:val="-2"/>
                <w:kern w:val="2"/>
                <w:sz w:val="21"/>
                <w:szCs w:val="18"/>
              </w:rPr>
              <w:t>投资者</w:t>
            </w:r>
            <w:r>
              <w:rPr>
                <w:rFonts w:ascii="楷体" w:eastAsia="楷体" w:hAnsi="楷体" w:cs="宋体" w:hint="eastAsia"/>
                <w:spacing w:val="-2"/>
                <w:kern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kern w:val="2"/>
                <w:sz w:val="21"/>
                <w:szCs w:val="21"/>
                <w:u w:val="single"/>
              </w:rPr>
              <w:t>当出现巨额申购时，产品管理人有权拒绝客户的全部或部分申购申请。</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ind w:rightChars="55" w:right="121"/>
              <w:rPr>
                <w:rFonts w:ascii="楷体" w:eastAsia="楷体" w:hAnsi="楷体" w:cs="宋体"/>
                <w:spacing w:val="-2"/>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38199F" w:rsidRDefault="0038199F">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38199F" w:rsidRDefault="0038199F">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w:t>
            </w:r>
            <w:r>
              <w:rPr>
                <w:rFonts w:ascii="楷体" w:eastAsia="楷体" w:hAnsi="楷体" w:cs="宋体" w:hint="eastAsia"/>
                <w:b/>
                <w:spacing w:val="-2"/>
                <w:szCs w:val="21"/>
                <w:u w:val="single"/>
              </w:rPr>
              <w:lastRenderedPageBreak/>
              <w:t>赎回总份额的比例，确定该份额持有人当日办理的赎回份额。</w:t>
            </w:r>
          </w:p>
          <w:p w:rsidR="0038199F" w:rsidRDefault="0038199F" w:rsidP="0038199F">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连续巨额赎回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widowControl w:val="0"/>
              <w:ind w:rightChars="25" w:right="55"/>
              <w:jc w:val="both"/>
              <w:rPr>
                <w:rFonts w:ascii="楷体" w:eastAsia="楷体" w:hAnsi="楷体" w:cs="宋体"/>
                <w:b/>
                <w:spacing w:val="-2"/>
                <w:kern w:val="2"/>
                <w:sz w:val="21"/>
                <w:szCs w:val="21"/>
                <w:u w:val="single"/>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2"/>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业绩比较基准（年化）</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pStyle w:val="TableParagraph"/>
              <w:kinsoku w:val="0"/>
              <w:overflowPunct w:val="0"/>
              <w:spacing w:before="37"/>
              <w:ind w:rightChars="35" w:right="77"/>
              <w:jc w:val="both"/>
              <w:rPr>
                <w:rFonts w:ascii="楷体" w:eastAsia="楷体" w:hAnsi="楷体" w:cs="宋体"/>
                <w:spacing w:val="-2"/>
                <w:kern w:val="2"/>
                <w:sz w:val="21"/>
                <w:szCs w:val="21"/>
              </w:rPr>
            </w:pPr>
            <w:r>
              <w:rPr>
                <w:rFonts w:ascii="楷体" w:eastAsia="楷体" w:hAnsi="楷体" w:cs="宋体" w:hint="eastAsia"/>
                <w:b/>
                <w:bCs/>
                <w:spacing w:val="-2"/>
                <w:kern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kern w:val="2"/>
                <w:sz w:val="21"/>
                <w:szCs w:val="21"/>
              </w:rPr>
              <w:t>各份额业绩比较基准如下：</w:t>
            </w:r>
          </w:p>
          <w:tbl>
            <w:tblPr>
              <w:tblStyle w:val="a9"/>
              <w:tblW w:w="0" w:type="auto"/>
              <w:jc w:val="center"/>
              <w:tblLayout w:type="fixed"/>
              <w:tblLook w:val="04A0"/>
            </w:tblPr>
            <w:tblGrid>
              <w:gridCol w:w="737"/>
              <w:gridCol w:w="1757"/>
              <w:gridCol w:w="1757"/>
              <w:gridCol w:w="2041"/>
            </w:tblGrid>
            <w:tr w:rsidR="0038199F">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w:t>
                  </w:r>
                </w:p>
                <w:p w:rsidR="0038199F" w:rsidRDefault="0038199F">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周期</w:t>
                  </w:r>
                </w:p>
              </w:tc>
              <w:tc>
                <w:tcPr>
                  <w:tcW w:w="1757"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投资周期起始日</w:t>
                  </w:r>
                </w:p>
              </w:tc>
              <w:tc>
                <w:tcPr>
                  <w:tcW w:w="1757"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投资周期终止日</w:t>
                  </w:r>
                </w:p>
              </w:tc>
              <w:tc>
                <w:tcPr>
                  <w:tcW w:w="2041"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业绩比较基准</w:t>
                  </w:r>
                </w:p>
                <w:p w:rsidR="0038199F" w:rsidRDefault="0038199F">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（年化）</w:t>
                  </w:r>
                </w:p>
              </w:tc>
            </w:tr>
            <w:tr w:rsidR="0038199F">
              <w:trPr>
                <w:jc w:val="center"/>
              </w:trPr>
              <w:tc>
                <w:tcPr>
                  <w:tcW w:w="737"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1</w:t>
                  </w:r>
                </w:p>
              </w:tc>
              <w:tc>
                <w:tcPr>
                  <w:tcW w:w="1757"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2024年4月19日</w:t>
                  </w:r>
                </w:p>
              </w:tc>
              <w:tc>
                <w:tcPr>
                  <w:tcW w:w="1757"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2024年10月23日</w:t>
                  </w:r>
                </w:p>
              </w:tc>
              <w:tc>
                <w:tcPr>
                  <w:tcW w:w="2041"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line="0" w:lineRule="atLeast"/>
                    <w:jc w:val="center"/>
                    <w:rPr>
                      <w:rFonts w:ascii="楷体" w:eastAsia="楷体" w:hAnsi="楷体" w:cs="宋体"/>
                      <w:spacing w:val="-2"/>
                      <w:sz w:val="21"/>
                      <w:szCs w:val="21"/>
                    </w:rPr>
                  </w:pPr>
                  <w:r>
                    <w:rPr>
                      <w:rFonts w:ascii="楷体" w:eastAsia="楷体" w:hAnsi="楷体" w:cs="宋体" w:hint="eastAsia"/>
                      <w:spacing w:val="-2"/>
                      <w:sz w:val="21"/>
                      <w:szCs w:val="21"/>
                    </w:rPr>
                    <w:t>L份额 2.90%-3.70%</w:t>
                  </w:r>
                </w:p>
              </w:tc>
            </w:tr>
          </w:tbl>
          <w:p w:rsidR="0038199F" w:rsidRDefault="0038199F" w:rsidP="0038199F">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8"/>
              <w:ind w:left="55"/>
              <w:jc w:val="both"/>
              <w:rPr>
                <w:rFonts w:ascii="楷体" w:eastAsia="楷体" w:hAnsi="楷体" w:cs="宋体"/>
                <w:spacing w:val="-2"/>
                <w:kern w:val="2"/>
                <w:sz w:val="21"/>
                <w:szCs w:val="21"/>
              </w:rPr>
            </w:pPr>
            <w:r>
              <w:rPr>
                <w:rFonts w:ascii="楷体" w:eastAsia="楷体" w:hAnsi="楷体" w:cs="宋体" w:hint="eastAsia"/>
                <w:b/>
                <w:spacing w:val="-2"/>
                <w:kern w:val="2"/>
                <w:sz w:val="21"/>
                <w:szCs w:val="21"/>
              </w:rPr>
              <w:t>产品费用</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ind w:left="59" w:rightChars="35" w:right="77"/>
              <w:rPr>
                <w:rFonts w:ascii="楷体" w:eastAsia="楷体" w:hAnsi="楷体" w:cs="宋体"/>
                <w:spacing w:val="-2"/>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38199F" w:rsidRDefault="0038199F" w:rsidP="0038199F">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1.托管费率：0.02%/年。</w:t>
            </w:r>
          </w:p>
          <w:p w:rsidR="0038199F" w:rsidRDefault="0038199F" w:rsidP="0038199F">
            <w:pPr>
              <w:ind w:left="59" w:rightChars="35" w:right="77"/>
              <w:rPr>
                <w:rFonts w:ascii="楷体" w:eastAsia="楷体" w:hAnsi="楷体" w:cs="宋体" w:hint="eastAsia"/>
                <w:spacing w:val="-2"/>
                <w:szCs w:val="21"/>
              </w:rPr>
            </w:pPr>
            <w:r>
              <w:rPr>
                <w:rFonts w:ascii="楷体" w:eastAsia="楷体" w:hAnsi="楷体" w:cs="宋体" w:hint="eastAsia"/>
                <w:spacing w:val="-2"/>
                <w:szCs w:val="21"/>
              </w:rPr>
              <w:t>2.销售服务费率：0.50%/年。</w:t>
            </w:r>
          </w:p>
          <w:p w:rsidR="0038199F" w:rsidRDefault="0038199F" w:rsidP="0038199F">
            <w:pPr>
              <w:ind w:left="59" w:rightChars="35" w:right="77"/>
              <w:rPr>
                <w:rFonts w:ascii="楷体" w:eastAsia="楷体" w:hAnsi="楷体" w:cs="宋体" w:hint="eastAsia"/>
                <w:spacing w:val="-2"/>
                <w:szCs w:val="21"/>
              </w:rPr>
            </w:pPr>
            <w:r>
              <w:rPr>
                <w:rFonts w:ascii="楷体" w:eastAsia="楷体" w:hAnsi="楷体" w:cs="宋体" w:hint="eastAsia"/>
                <w:spacing w:val="-2"/>
                <w:szCs w:val="21"/>
              </w:rPr>
              <w:t>3.投资管理费率： L份额0.80%/年。</w:t>
            </w:r>
          </w:p>
          <w:p w:rsidR="0038199F" w:rsidRDefault="0038199F" w:rsidP="0038199F">
            <w:pPr>
              <w:ind w:left="59" w:rightChars="35" w:right="77"/>
              <w:rPr>
                <w:rFonts w:ascii="宋体" w:eastAsia="宋体" w:hAnsi="宋体" w:cs="宋体" w:hint="eastAsia"/>
                <w:sz w:val="24"/>
                <w:szCs w:val="24"/>
              </w:rPr>
            </w:pPr>
            <w:r>
              <w:rPr>
                <w:rFonts w:ascii="楷体" w:eastAsia="楷体" w:hAnsi="楷体" w:cs="宋体" w:hint="eastAsia"/>
                <w:spacing w:val="-2"/>
                <w:szCs w:val="21"/>
              </w:rPr>
              <w:t>4.超额业绩报酬：管理人按投资周期收取超额业绩报酬。假设单一投资周期的各份额实际</w:t>
            </w:r>
            <w:proofErr w:type="gramStart"/>
            <w:r>
              <w:rPr>
                <w:rFonts w:ascii="楷体" w:eastAsia="楷体" w:hAnsi="楷体" w:cs="宋体" w:hint="eastAsia"/>
                <w:spacing w:val="-2"/>
                <w:szCs w:val="21"/>
              </w:rPr>
              <w:t>年化投资</w:t>
            </w:r>
            <w:proofErr w:type="gramEnd"/>
            <w:r>
              <w:rPr>
                <w:rFonts w:ascii="楷体" w:eastAsia="楷体" w:hAnsi="楷体" w:cs="宋体" w:hint="eastAsia"/>
                <w:spacing w:val="-2"/>
                <w:szCs w:val="21"/>
              </w:rPr>
              <w:t>收益在扣除托管费、销售服务费、投资管理费以及运作产品所必须缴纳的税费后为R：</w:t>
            </w:r>
          </w:p>
          <w:p w:rsidR="0038199F" w:rsidRDefault="0038199F" w:rsidP="0038199F">
            <w:pPr>
              <w:ind w:left="59" w:rightChars="35" w:right="77"/>
              <w:rPr>
                <w:rFonts w:ascii="楷体" w:eastAsia="楷体" w:hAnsi="楷体" w:cs="宋体" w:hint="eastAsia"/>
                <w:spacing w:val="-2"/>
                <w:sz w:val="21"/>
                <w:szCs w:val="21"/>
              </w:rPr>
            </w:pPr>
            <w:r>
              <w:rPr>
                <w:rFonts w:ascii="楷体" w:eastAsia="楷体" w:hAnsi="楷体" w:cs="宋体" w:hint="eastAsia"/>
                <w:spacing w:val="-2"/>
                <w:szCs w:val="21"/>
              </w:rPr>
              <w:t>若R&lt;业绩比较基准下限，管理人无超额业绩报酬；</w:t>
            </w:r>
          </w:p>
          <w:p w:rsidR="0038199F" w:rsidRDefault="0038199F" w:rsidP="0038199F">
            <w:pPr>
              <w:ind w:left="59" w:rightChars="35" w:right="77"/>
              <w:rPr>
                <w:rFonts w:ascii="楷体" w:eastAsia="楷体" w:hAnsi="楷体" w:cs="宋体" w:hint="eastAsia"/>
                <w:spacing w:val="-2"/>
                <w:szCs w:val="21"/>
              </w:rPr>
            </w:pPr>
            <w:proofErr w:type="gramStart"/>
            <w:r>
              <w:rPr>
                <w:rFonts w:ascii="楷体" w:eastAsia="楷体" w:hAnsi="楷体" w:cs="宋体" w:hint="eastAsia"/>
                <w:spacing w:val="-2"/>
                <w:szCs w:val="21"/>
              </w:rPr>
              <w:t>若业绩</w:t>
            </w:r>
            <w:proofErr w:type="gramEnd"/>
            <w:r>
              <w:rPr>
                <w:rFonts w:ascii="楷体" w:eastAsia="楷体" w:hAnsi="楷体" w:cs="宋体" w:hint="eastAsia"/>
                <w:spacing w:val="-2"/>
                <w:szCs w:val="21"/>
              </w:rPr>
              <w:t>比较基准下限≤R&lt;业绩比较基准上限，管理人对超出业绩比较基准下限的部分，收取40%的超额业绩报酬；</w:t>
            </w:r>
          </w:p>
          <w:p w:rsidR="0038199F" w:rsidRDefault="0038199F" w:rsidP="0038199F">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若R≥业绩比较基准上限，管理人对业绩比较基准上限与业绩比较基准下限之间的部分，收取40%的超额业绩报酬；对超出业绩比较基准上限的部分，收取60%的超额业绩报酬。</w:t>
            </w:r>
          </w:p>
          <w:p w:rsidR="0038199F" w:rsidRDefault="0038199F" w:rsidP="0038199F">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w:t>
            </w:r>
            <w:proofErr w:type="gramStart"/>
            <w:r>
              <w:rPr>
                <w:rFonts w:ascii="楷体" w:eastAsia="楷体" w:hAnsi="楷体" w:cs="宋体" w:hint="eastAsia"/>
                <w:spacing w:val="-2"/>
                <w:szCs w:val="21"/>
              </w:rPr>
              <w:t>每日暂估超额</w:t>
            </w:r>
            <w:proofErr w:type="gramEnd"/>
            <w:r>
              <w:rPr>
                <w:rFonts w:ascii="楷体" w:eastAsia="楷体" w:hAnsi="楷体" w:cs="宋体" w:hint="eastAsia"/>
                <w:spacing w:val="-2"/>
                <w:szCs w:val="21"/>
              </w:rPr>
              <w:t>业绩报酬，仅用于理财产品会计核算，并将扣除“暂估超额业绩报酬”后的理财产品份额净值按照说明书约定向投资者进行披露。理财产品实际的超</w:t>
            </w:r>
            <w:r>
              <w:rPr>
                <w:rFonts w:ascii="楷体" w:eastAsia="楷体" w:hAnsi="楷体" w:cs="宋体" w:hint="eastAsia"/>
                <w:spacing w:val="-2"/>
                <w:szCs w:val="21"/>
              </w:rPr>
              <w:lastRenderedPageBreak/>
              <w:t>额业绩报酬以投资周期终止日或产品到期日计提核算的数值为准。计算</w:t>
            </w:r>
            <w:proofErr w:type="gramStart"/>
            <w:r>
              <w:rPr>
                <w:rFonts w:ascii="楷体" w:eastAsia="楷体" w:hAnsi="楷体" w:cs="宋体" w:hint="eastAsia"/>
                <w:spacing w:val="-2"/>
                <w:szCs w:val="21"/>
              </w:rPr>
              <w:t>累计年化收益率</w:t>
            </w:r>
            <w:proofErr w:type="gramEnd"/>
            <w:r>
              <w:rPr>
                <w:rFonts w:ascii="楷体" w:eastAsia="楷体" w:hAnsi="楷体" w:cs="宋体" w:hint="eastAsia"/>
                <w:spacing w:val="-2"/>
                <w:szCs w:val="21"/>
              </w:rPr>
              <w:t>和业绩比较基准时，1年按365日计算。</w:t>
            </w:r>
          </w:p>
          <w:p w:rsidR="0038199F" w:rsidRDefault="0038199F" w:rsidP="0038199F">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lastRenderedPageBreak/>
              <w:t>估值日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w:t>
            </w:r>
            <w:r w:rsidR="00A30666">
              <w:rPr>
                <w:rFonts w:ascii="楷体" w:eastAsia="楷体" w:hAnsi="楷体" w:cs="宋体" w:hint="eastAsia"/>
                <w:spacing w:val="-2"/>
                <w:szCs w:val="21"/>
              </w:rPr>
              <w:t>产品说明书</w:t>
            </w:r>
            <w:r>
              <w:rPr>
                <w:rFonts w:ascii="楷体" w:eastAsia="楷体" w:hAnsi="楷体" w:cs="宋体" w:hint="eastAsia"/>
                <w:spacing w:val="-2"/>
                <w:szCs w:val="21"/>
              </w:rPr>
              <w:t>“十一、产品估值”。</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暂停估值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收益分配</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详见</w:t>
            </w:r>
            <w:r w:rsidR="00A30666">
              <w:rPr>
                <w:rFonts w:ascii="楷体" w:eastAsia="楷体" w:hAnsi="楷体" w:cs="宋体" w:hint="eastAsia"/>
                <w:spacing w:val="-2"/>
                <w:szCs w:val="21"/>
              </w:rPr>
              <w:t>产品说明书</w:t>
            </w:r>
            <w:r>
              <w:rPr>
                <w:rFonts w:ascii="楷体" w:eastAsia="楷体" w:hAnsi="楷体" w:cs="宋体" w:hint="eastAsia"/>
                <w:spacing w:val="-2"/>
                <w:szCs w:val="21"/>
              </w:rPr>
              <w:t>“九、收益分配”。</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信息披露</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w:t>
            </w:r>
            <w:r w:rsidR="00A30666">
              <w:rPr>
                <w:rFonts w:ascii="楷体" w:eastAsia="楷体" w:hAnsi="楷体" w:cs="宋体" w:hint="eastAsia"/>
                <w:spacing w:val="-2"/>
                <w:szCs w:val="21"/>
              </w:rPr>
              <w:t>产品说明书</w:t>
            </w:r>
            <w:r>
              <w:rPr>
                <w:rFonts w:ascii="楷体" w:eastAsia="楷体" w:hAnsi="楷体" w:cs="宋体" w:hint="eastAsia"/>
                <w:spacing w:val="-2"/>
                <w:szCs w:val="21"/>
              </w:rPr>
              <w:t>“十六、信息披露”。</w:t>
            </w:r>
          </w:p>
        </w:tc>
      </w:tr>
      <w:tr w:rsidR="0038199F" w:rsidTr="0038199F">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38199F" w:rsidRDefault="0038199F">
            <w:pPr>
              <w:pStyle w:val="TableParagraph"/>
              <w:kinsoku w:val="0"/>
              <w:overflowPunct w:val="0"/>
              <w:spacing w:before="18"/>
              <w:ind w:left="55"/>
              <w:jc w:val="both"/>
              <w:rPr>
                <w:rFonts w:ascii="楷体" w:eastAsia="楷体" w:hAnsi="楷体" w:cs="宋体"/>
                <w:b/>
                <w:spacing w:val="-2"/>
                <w:kern w:val="2"/>
                <w:sz w:val="21"/>
                <w:szCs w:val="21"/>
              </w:rPr>
            </w:pPr>
            <w:r>
              <w:rPr>
                <w:rFonts w:ascii="楷体" w:eastAsia="楷体" w:hAnsi="楷体" w:cs="宋体" w:hint="eastAsia"/>
                <w:b/>
                <w:spacing w:val="-2"/>
                <w:kern w:val="2"/>
                <w:sz w:val="21"/>
                <w:szCs w:val="21"/>
              </w:rPr>
              <w:t>税款</w:t>
            </w:r>
          </w:p>
        </w:tc>
        <w:tc>
          <w:tcPr>
            <w:tcW w:w="6614" w:type="dxa"/>
            <w:tcBorders>
              <w:top w:val="single" w:sz="4" w:space="0" w:color="auto"/>
              <w:left w:val="single" w:sz="4" w:space="0" w:color="auto"/>
              <w:bottom w:val="single" w:sz="4" w:space="0" w:color="auto"/>
              <w:right w:val="single" w:sz="4" w:space="0" w:color="auto"/>
            </w:tcBorders>
            <w:vAlign w:val="center"/>
            <w:hideMark/>
          </w:tcPr>
          <w:p w:rsidR="0038199F" w:rsidRDefault="0038199F" w:rsidP="0038199F">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w:t>
            </w:r>
            <w:r w:rsidR="00A30666">
              <w:rPr>
                <w:rFonts w:ascii="楷体" w:eastAsia="楷体" w:hAnsi="楷体" w:cs="宋体" w:hint="eastAsia"/>
                <w:spacing w:val="-2"/>
                <w:szCs w:val="21"/>
              </w:rPr>
              <w:t>产品说明书</w:t>
            </w:r>
            <w:r>
              <w:rPr>
                <w:rFonts w:ascii="楷体" w:eastAsia="楷体" w:hAnsi="楷体" w:cs="宋体" w:hint="eastAsia"/>
                <w:spacing w:val="-2"/>
                <w:szCs w:val="21"/>
              </w:rPr>
              <w:t>“十四、税收规定”。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932C60">
        <w:rPr>
          <w:rFonts w:ascii="仿宋_GB2312" w:eastAsia="仿宋_GB2312" w:hAnsi="微软雅黑" w:cs="宋体" w:hint="eastAsia"/>
          <w:color w:val="000000"/>
          <w:sz w:val="32"/>
          <w:szCs w:val="32"/>
        </w:rPr>
        <w:t>恒源</w:t>
      </w:r>
      <w:r w:rsidR="0038199F">
        <w:rPr>
          <w:rFonts w:ascii="仿宋_GB2312" w:eastAsia="仿宋_GB2312" w:hAnsi="微软雅黑" w:cs="宋体" w:hint="eastAsia"/>
          <w:color w:val="000000"/>
          <w:sz w:val="32"/>
          <w:szCs w:val="32"/>
        </w:rPr>
        <w:t>6月定开24期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932C60">
        <w:rPr>
          <w:rFonts w:ascii="仿宋_GB2312" w:eastAsia="仿宋_GB2312" w:hAnsi="微软雅黑" w:cs="宋体" w:hint="eastAsia"/>
          <w:color w:val="000000"/>
          <w:sz w:val="32"/>
          <w:szCs w:val="32"/>
        </w:rPr>
        <w:t>恒源</w:t>
      </w:r>
      <w:r w:rsidR="0038199F">
        <w:rPr>
          <w:rFonts w:ascii="仿宋_GB2312" w:eastAsia="仿宋_GB2312" w:hAnsi="微软雅黑" w:cs="宋体" w:hint="eastAsia"/>
          <w:color w:val="000000"/>
          <w:sz w:val="32"/>
          <w:szCs w:val="32"/>
        </w:rPr>
        <w:t>6月定开24期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4.苏银理财有限责任公司投资者权益须知</w:t>
      </w:r>
    </w:p>
    <w:p w:rsidR="00C934C7" w:rsidRPr="006F29A4" w:rsidRDefault="0068015B" w:rsidP="006F29A4">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212E4C" w:rsidRDefault="00212E4C">
      <w:pPr>
        <w:adjustRightInd/>
        <w:snapToGrid/>
        <w:spacing w:after="0"/>
        <w:ind w:firstLine="5760"/>
        <w:rPr>
          <w:rFonts w:ascii="仿宋_GB2312" w:eastAsia="仿宋_GB2312" w:hAnsi="微软雅黑" w:cs="宋体"/>
          <w:color w:val="000000"/>
          <w:sz w:val="32"/>
          <w:szCs w:val="32"/>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0E5A32">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年</w:t>
      </w:r>
      <w:r w:rsidR="0038199F">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月</w:t>
      </w:r>
      <w:r w:rsidR="0038199F">
        <w:rPr>
          <w:rFonts w:ascii="仿宋_GB2312" w:eastAsia="仿宋_GB2312" w:hAnsi="微软雅黑" w:cs="宋体" w:hint="eastAsia"/>
          <w:color w:val="000000"/>
          <w:sz w:val="32"/>
          <w:szCs w:val="32"/>
        </w:rPr>
        <w:t>7</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2A13"/>
    <w:rsid w:val="00014D89"/>
    <w:rsid w:val="0002233E"/>
    <w:rsid w:val="00025736"/>
    <w:rsid w:val="000430CA"/>
    <w:rsid w:val="00050465"/>
    <w:rsid w:val="000547BB"/>
    <w:rsid w:val="0006322B"/>
    <w:rsid w:val="000729EB"/>
    <w:rsid w:val="000812F4"/>
    <w:rsid w:val="00086111"/>
    <w:rsid w:val="000936F7"/>
    <w:rsid w:val="000957AC"/>
    <w:rsid w:val="000A224C"/>
    <w:rsid w:val="000A5028"/>
    <w:rsid w:val="000D5B92"/>
    <w:rsid w:val="000D7572"/>
    <w:rsid w:val="000E18A2"/>
    <w:rsid w:val="000E1FA9"/>
    <w:rsid w:val="000E5A32"/>
    <w:rsid w:val="000E7543"/>
    <w:rsid w:val="0010440D"/>
    <w:rsid w:val="001044F1"/>
    <w:rsid w:val="00110B5C"/>
    <w:rsid w:val="001225F8"/>
    <w:rsid w:val="00125165"/>
    <w:rsid w:val="001329E6"/>
    <w:rsid w:val="00133CF1"/>
    <w:rsid w:val="00157799"/>
    <w:rsid w:val="00160908"/>
    <w:rsid w:val="00174CF3"/>
    <w:rsid w:val="00174FC8"/>
    <w:rsid w:val="00182785"/>
    <w:rsid w:val="001930D1"/>
    <w:rsid w:val="001A556D"/>
    <w:rsid w:val="001B2273"/>
    <w:rsid w:val="001D40A6"/>
    <w:rsid w:val="001F72B5"/>
    <w:rsid w:val="00201E20"/>
    <w:rsid w:val="00206F8F"/>
    <w:rsid w:val="00207F97"/>
    <w:rsid w:val="00212A04"/>
    <w:rsid w:val="00212E4C"/>
    <w:rsid w:val="00214CF7"/>
    <w:rsid w:val="00216E71"/>
    <w:rsid w:val="002235BC"/>
    <w:rsid w:val="00233CED"/>
    <w:rsid w:val="00236FDA"/>
    <w:rsid w:val="002513BD"/>
    <w:rsid w:val="00257856"/>
    <w:rsid w:val="00277323"/>
    <w:rsid w:val="002777A1"/>
    <w:rsid w:val="002800D0"/>
    <w:rsid w:val="00283408"/>
    <w:rsid w:val="002866F6"/>
    <w:rsid w:val="0029028F"/>
    <w:rsid w:val="002A7A2C"/>
    <w:rsid w:val="002B1948"/>
    <w:rsid w:val="002C248B"/>
    <w:rsid w:val="002D0567"/>
    <w:rsid w:val="002D12C4"/>
    <w:rsid w:val="002D5560"/>
    <w:rsid w:val="002D757D"/>
    <w:rsid w:val="002D7671"/>
    <w:rsid w:val="002E2039"/>
    <w:rsid w:val="002E3ECB"/>
    <w:rsid w:val="002E7145"/>
    <w:rsid w:val="002F07C0"/>
    <w:rsid w:val="003059D5"/>
    <w:rsid w:val="003100BD"/>
    <w:rsid w:val="00320D56"/>
    <w:rsid w:val="00322F4C"/>
    <w:rsid w:val="00323B43"/>
    <w:rsid w:val="00347193"/>
    <w:rsid w:val="00350191"/>
    <w:rsid w:val="00353BA9"/>
    <w:rsid w:val="00355E21"/>
    <w:rsid w:val="00357EB7"/>
    <w:rsid w:val="00360603"/>
    <w:rsid w:val="00361A72"/>
    <w:rsid w:val="00366ABE"/>
    <w:rsid w:val="0038199F"/>
    <w:rsid w:val="00392517"/>
    <w:rsid w:val="00393219"/>
    <w:rsid w:val="003C0D6B"/>
    <w:rsid w:val="003C1D41"/>
    <w:rsid w:val="003D37D8"/>
    <w:rsid w:val="003D4715"/>
    <w:rsid w:val="003E2BFC"/>
    <w:rsid w:val="003F70AB"/>
    <w:rsid w:val="00410A33"/>
    <w:rsid w:val="00422AD1"/>
    <w:rsid w:val="00426133"/>
    <w:rsid w:val="00431C9E"/>
    <w:rsid w:val="004349C0"/>
    <w:rsid w:val="004358AB"/>
    <w:rsid w:val="00443E90"/>
    <w:rsid w:val="00450005"/>
    <w:rsid w:val="00450C77"/>
    <w:rsid w:val="0045680A"/>
    <w:rsid w:val="00471A3B"/>
    <w:rsid w:val="004749F0"/>
    <w:rsid w:val="00476C3B"/>
    <w:rsid w:val="00487357"/>
    <w:rsid w:val="0049140E"/>
    <w:rsid w:val="004950F4"/>
    <w:rsid w:val="00496E4F"/>
    <w:rsid w:val="00497732"/>
    <w:rsid w:val="004A5EF5"/>
    <w:rsid w:val="004B4470"/>
    <w:rsid w:val="004C175A"/>
    <w:rsid w:val="00510995"/>
    <w:rsid w:val="005168C5"/>
    <w:rsid w:val="005218F6"/>
    <w:rsid w:val="00523BDD"/>
    <w:rsid w:val="0052515C"/>
    <w:rsid w:val="00530F2D"/>
    <w:rsid w:val="00536DF2"/>
    <w:rsid w:val="00543584"/>
    <w:rsid w:val="00543782"/>
    <w:rsid w:val="00547A02"/>
    <w:rsid w:val="0055369F"/>
    <w:rsid w:val="00566FD9"/>
    <w:rsid w:val="00567122"/>
    <w:rsid w:val="00577BF0"/>
    <w:rsid w:val="005B0894"/>
    <w:rsid w:val="005B1774"/>
    <w:rsid w:val="005B45CF"/>
    <w:rsid w:val="005C155D"/>
    <w:rsid w:val="005C31E9"/>
    <w:rsid w:val="005D072F"/>
    <w:rsid w:val="005E3000"/>
    <w:rsid w:val="005F2B78"/>
    <w:rsid w:val="00606205"/>
    <w:rsid w:val="00607EC0"/>
    <w:rsid w:val="00610019"/>
    <w:rsid w:val="006110FC"/>
    <w:rsid w:val="00611544"/>
    <w:rsid w:val="006128D5"/>
    <w:rsid w:val="006148C9"/>
    <w:rsid w:val="0061606F"/>
    <w:rsid w:val="006214F4"/>
    <w:rsid w:val="00625CE8"/>
    <w:rsid w:val="00641136"/>
    <w:rsid w:val="00675B70"/>
    <w:rsid w:val="00677D5A"/>
    <w:rsid w:val="0068015B"/>
    <w:rsid w:val="006848CA"/>
    <w:rsid w:val="006B0816"/>
    <w:rsid w:val="006C44CC"/>
    <w:rsid w:val="006C68D5"/>
    <w:rsid w:val="006F29A4"/>
    <w:rsid w:val="006F7856"/>
    <w:rsid w:val="00701C74"/>
    <w:rsid w:val="0070239F"/>
    <w:rsid w:val="00714B02"/>
    <w:rsid w:val="007248B8"/>
    <w:rsid w:val="0073205A"/>
    <w:rsid w:val="0074046E"/>
    <w:rsid w:val="00740E8C"/>
    <w:rsid w:val="00741563"/>
    <w:rsid w:val="00747E0A"/>
    <w:rsid w:val="007647EB"/>
    <w:rsid w:val="007675CD"/>
    <w:rsid w:val="00783419"/>
    <w:rsid w:val="007852C3"/>
    <w:rsid w:val="007865C9"/>
    <w:rsid w:val="00793A91"/>
    <w:rsid w:val="00796629"/>
    <w:rsid w:val="007A6260"/>
    <w:rsid w:val="007C44C4"/>
    <w:rsid w:val="007C65D0"/>
    <w:rsid w:val="007D35F2"/>
    <w:rsid w:val="008201C5"/>
    <w:rsid w:val="00827FB9"/>
    <w:rsid w:val="00833AE0"/>
    <w:rsid w:val="00842A00"/>
    <w:rsid w:val="008445DB"/>
    <w:rsid w:val="008450A8"/>
    <w:rsid w:val="00846546"/>
    <w:rsid w:val="008507C0"/>
    <w:rsid w:val="0085497C"/>
    <w:rsid w:val="00854BCB"/>
    <w:rsid w:val="00867E9B"/>
    <w:rsid w:val="00884835"/>
    <w:rsid w:val="00892D5C"/>
    <w:rsid w:val="008930CD"/>
    <w:rsid w:val="00893277"/>
    <w:rsid w:val="008955C4"/>
    <w:rsid w:val="00895EEF"/>
    <w:rsid w:val="00896D1C"/>
    <w:rsid w:val="00897920"/>
    <w:rsid w:val="008A6AC1"/>
    <w:rsid w:val="008B008A"/>
    <w:rsid w:val="008B4334"/>
    <w:rsid w:val="008B450C"/>
    <w:rsid w:val="008B4E39"/>
    <w:rsid w:val="008B6523"/>
    <w:rsid w:val="008B7726"/>
    <w:rsid w:val="008F2B7A"/>
    <w:rsid w:val="008F5738"/>
    <w:rsid w:val="008F7CA5"/>
    <w:rsid w:val="009024BB"/>
    <w:rsid w:val="00903E35"/>
    <w:rsid w:val="00911DE1"/>
    <w:rsid w:val="00916AFD"/>
    <w:rsid w:val="009236BE"/>
    <w:rsid w:val="00931FF9"/>
    <w:rsid w:val="00932C60"/>
    <w:rsid w:val="00951BFC"/>
    <w:rsid w:val="00953E58"/>
    <w:rsid w:val="0096633A"/>
    <w:rsid w:val="0096677C"/>
    <w:rsid w:val="00971266"/>
    <w:rsid w:val="00984E3A"/>
    <w:rsid w:val="00985586"/>
    <w:rsid w:val="00986A17"/>
    <w:rsid w:val="00996AC4"/>
    <w:rsid w:val="009A5FF7"/>
    <w:rsid w:val="009A6871"/>
    <w:rsid w:val="009B21F1"/>
    <w:rsid w:val="009B2786"/>
    <w:rsid w:val="009B723C"/>
    <w:rsid w:val="009D1D85"/>
    <w:rsid w:val="009E16F2"/>
    <w:rsid w:val="00A01DF4"/>
    <w:rsid w:val="00A215C9"/>
    <w:rsid w:val="00A26300"/>
    <w:rsid w:val="00A30666"/>
    <w:rsid w:val="00A30CF8"/>
    <w:rsid w:val="00A4169B"/>
    <w:rsid w:val="00A54155"/>
    <w:rsid w:val="00A65280"/>
    <w:rsid w:val="00A6775F"/>
    <w:rsid w:val="00A8337B"/>
    <w:rsid w:val="00A838DC"/>
    <w:rsid w:val="00A84AE0"/>
    <w:rsid w:val="00A9135E"/>
    <w:rsid w:val="00A9294C"/>
    <w:rsid w:val="00AA23FA"/>
    <w:rsid w:val="00AB313E"/>
    <w:rsid w:val="00AB6BA4"/>
    <w:rsid w:val="00AC1E97"/>
    <w:rsid w:val="00AC33B2"/>
    <w:rsid w:val="00AC51A3"/>
    <w:rsid w:val="00AC6774"/>
    <w:rsid w:val="00AD32F7"/>
    <w:rsid w:val="00AD4C9C"/>
    <w:rsid w:val="00AE6487"/>
    <w:rsid w:val="00AF3E9A"/>
    <w:rsid w:val="00B01B88"/>
    <w:rsid w:val="00B02F94"/>
    <w:rsid w:val="00B126A7"/>
    <w:rsid w:val="00B126FC"/>
    <w:rsid w:val="00B21220"/>
    <w:rsid w:val="00B22801"/>
    <w:rsid w:val="00B24A4C"/>
    <w:rsid w:val="00B27E33"/>
    <w:rsid w:val="00B36BFC"/>
    <w:rsid w:val="00B4326E"/>
    <w:rsid w:val="00B73A10"/>
    <w:rsid w:val="00B941A3"/>
    <w:rsid w:val="00B941AB"/>
    <w:rsid w:val="00BA2412"/>
    <w:rsid w:val="00BB0E44"/>
    <w:rsid w:val="00BC7E3B"/>
    <w:rsid w:val="00BD0CF5"/>
    <w:rsid w:val="00BE351A"/>
    <w:rsid w:val="00C00041"/>
    <w:rsid w:val="00C03EF2"/>
    <w:rsid w:val="00C07D62"/>
    <w:rsid w:val="00C15704"/>
    <w:rsid w:val="00C17395"/>
    <w:rsid w:val="00C2320E"/>
    <w:rsid w:val="00C23A87"/>
    <w:rsid w:val="00C4554A"/>
    <w:rsid w:val="00C468C3"/>
    <w:rsid w:val="00C50B0B"/>
    <w:rsid w:val="00C53F24"/>
    <w:rsid w:val="00C56D37"/>
    <w:rsid w:val="00C66A8C"/>
    <w:rsid w:val="00C71423"/>
    <w:rsid w:val="00C77D66"/>
    <w:rsid w:val="00C934C7"/>
    <w:rsid w:val="00CA70DD"/>
    <w:rsid w:val="00CB16FF"/>
    <w:rsid w:val="00CB29BA"/>
    <w:rsid w:val="00CB2A01"/>
    <w:rsid w:val="00CC1326"/>
    <w:rsid w:val="00CD21BA"/>
    <w:rsid w:val="00CD328F"/>
    <w:rsid w:val="00CD4295"/>
    <w:rsid w:val="00CD4F0F"/>
    <w:rsid w:val="00CD74BD"/>
    <w:rsid w:val="00CE02AB"/>
    <w:rsid w:val="00CE0BFB"/>
    <w:rsid w:val="00CE0C36"/>
    <w:rsid w:val="00CF5224"/>
    <w:rsid w:val="00D0319E"/>
    <w:rsid w:val="00D051B2"/>
    <w:rsid w:val="00D10241"/>
    <w:rsid w:val="00D20F22"/>
    <w:rsid w:val="00D217E1"/>
    <w:rsid w:val="00D31D50"/>
    <w:rsid w:val="00D42DFD"/>
    <w:rsid w:val="00D476F9"/>
    <w:rsid w:val="00D51249"/>
    <w:rsid w:val="00D5491D"/>
    <w:rsid w:val="00D57726"/>
    <w:rsid w:val="00D67754"/>
    <w:rsid w:val="00D73240"/>
    <w:rsid w:val="00D763B7"/>
    <w:rsid w:val="00D80513"/>
    <w:rsid w:val="00D80BDE"/>
    <w:rsid w:val="00D94EC1"/>
    <w:rsid w:val="00D95126"/>
    <w:rsid w:val="00DA521E"/>
    <w:rsid w:val="00DB1998"/>
    <w:rsid w:val="00DB267C"/>
    <w:rsid w:val="00DC08E6"/>
    <w:rsid w:val="00DC3F54"/>
    <w:rsid w:val="00DD1E41"/>
    <w:rsid w:val="00DD52AA"/>
    <w:rsid w:val="00DE145A"/>
    <w:rsid w:val="00DF18D2"/>
    <w:rsid w:val="00E05633"/>
    <w:rsid w:val="00E210A0"/>
    <w:rsid w:val="00E328E5"/>
    <w:rsid w:val="00E342C9"/>
    <w:rsid w:val="00E44761"/>
    <w:rsid w:val="00E4613A"/>
    <w:rsid w:val="00E51943"/>
    <w:rsid w:val="00E51A44"/>
    <w:rsid w:val="00E65FB9"/>
    <w:rsid w:val="00E773E2"/>
    <w:rsid w:val="00E774C6"/>
    <w:rsid w:val="00E807D3"/>
    <w:rsid w:val="00E86AD3"/>
    <w:rsid w:val="00EA1489"/>
    <w:rsid w:val="00EB3586"/>
    <w:rsid w:val="00EB4842"/>
    <w:rsid w:val="00EC780B"/>
    <w:rsid w:val="00ED04CA"/>
    <w:rsid w:val="00EE0CF8"/>
    <w:rsid w:val="00EE14AF"/>
    <w:rsid w:val="00EE50F7"/>
    <w:rsid w:val="00EF297D"/>
    <w:rsid w:val="00EF76FE"/>
    <w:rsid w:val="00F04234"/>
    <w:rsid w:val="00F06020"/>
    <w:rsid w:val="00F21AAA"/>
    <w:rsid w:val="00F234C6"/>
    <w:rsid w:val="00F24E77"/>
    <w:rsid w:val="00F634A7"/>
    <w:rsid w:val="00F7443F"/>
    <w:rsid w:val="00F805F0"/>
    <w:rsid w:val="00F9261D"/>
    <w:rsid w:val="00F94E57"/>
    <w:rsid w:val="00F957A8"/>
    <w:rsid w:val="00F96EC9"/>
    <w:rsid w:val="00FA233C"/>
    <w:rsid w:val="00FA366A"/>
    <w:rsid w:val="00FA792A"/>
    <w:rsid w:val="00FB39AB"/>
    <w:rsid w:val="00FC1CBF"/>
    <w:rsid w:val="00FC73A4"/>
    <w:rsid w:val="00FD35EB"/>
    <w:rsid w:val="00FE0475"/>
    <w:rsid w:val="00FE1370"/>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table" w:styleId="a9">
    <w:name w:val="Table Grid"/>
    <w:basedOn w:val="a1"/>
    <w:uiPriority w:val="59"/>
    <w:rsid w:val="00C2320E"/>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627809">
      <w:bodyDiv w:val="1"/>
      <w:marLeft w:val="0"/>
      <w:marRight w:val="0"/>
      <w:marTop w:val="0"/>
      <w:marBottom w:val="0"/>
      <w:divBdr>
        <w:top w:val="none" w:sz="0" w:space="0" w:color="auto"/>
        <w:left w:val="none" w:sz="0" w:space="0" w:color="auto"/>
        <w:bottom w:val="none" w:sz="0" w:space="0" w:color="auto"/>
        <w:right w:val="none" w:sz="0" w:space="0" w:color="auto"/>
      </w:divBdr>
    </w:div>
    <w:div w:id="109322488">
      <w:bodyDiv w:val="1"/>
      <w:marLeft w:val="0"/>
      <w:marRight w:val="0"/>
      <w:marTop w:val="0"/>
      <w:marBottom w:val="0"/>
      <w:divBdr>
        <w:top w:val="none" w:sz="0" w:space="0" w:color="auto"/>
        <w:left w:val="none" w:sz="0" w:space="0" w:color="auto"/>
        <w:bottom w:val="none" w:sz="0" w:space="0" w:color="auto"/>
        <w:right w:val="none" w:sz="0" w:space="0" w:color="auto"/>
      </w:divBdr>
    </w:div>
    <w:div w:id="156264294">
      <w:bodyDiv w:val="1"/>
      <w:marLeft w:val="0"/>
      <w:marRight w:val="0"/>
      <w:marTop w:val="0"/>
      <w:marBottom w:val="0"/>
      <w:divBdr>
        <w:top w:val="none" w:sz="0" w:space="0" w:color="auto"/>
        <w:left w:val="none" w:sz="0" w:space="0" w:color="auto"/>
        <w:bottom w:val="none" w:sz="0" w:space="0" w:color="auto"/>
        <w:right w:val="none" w:sz="0" w:space="0" w:color="auto"/>
      </w:divBdr>
    </w:div>
    <w:div w:id="170024125">
      <w:bodyDiv w:val="1"/>
      <w:marLeft w:val="0"/>
      <w:marRight w:val="0"/>
      <w:marTop w:val="0"/>
      <w:marBottom w:val="0"/>
      <w:divBdr>
        <w:top w:val="none" w:sz="0" w:space="0" w:color="auto"/>
        <w:left w:val="none" w:sz="0" w:space="0" w:color="auto"/>
        <w:bottom w:val="none" w:sz="0" w:space="0" w:color="auto"/>
        <w:right w:val="none" w:sz="0" w:space="0" w:color="auto"/>
      </w:divBdr>
    </w:div>
    <w:div w:id="334041869">
      <w:bodyDiv w:val="1"/>
      <w:marLeft w:val="0"/>
      <w:marRight w:val="0"/>
      <w:marTop w:val="0"/>
      <w:marBottom w:val="0"/>
      <w:divBdr>
        <w:top w:val="none" w:sz="0" w:space="0" w:color="auto"/>
        <w:left w:val="none" w:sz="0" w:space="0" w:color="auto"/>
        <w:bottom w:val="none" w:sz="0" w:space="0" w:color="auto"/>
        <w:right w:val="none" w:sz="0" w:space="0" w:color="auto"/>
      </w:divBdr>
    </w:div>
    <w:div w:id="343944324">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397942540">
      <w:bodyDiv w:val="1"/>
      <w:marLeft w:val="0"/>
      <w:marRight w:val="0"/>
      <w:marTop w:val="0"/>
      <w:marBottom w:val="0"/>
      <w:divBdr>
        <w:top w:val="none" w:sz="0" w:space="0" w:color="auto"/>
        <w:left w:val="none" w:sz="0" w:space="0" w:color="auto"/>
        <w:bottom w:val="none" w:sz="0" w:space="0" w:color="auto"/>
        <w:right w:val="none" w:sz="0" w:space="0" w:color="auto"/>
      </w:divBdr>
    </w:div>
    <w:div w:id="399326603">
      <w:bodyDiv w:val="1"/>
      <w:marLeft w:val="0"/>
      <w:marRight w:val="0"/>
      <w:marTop w:val="0"/>
      <w:marBottom w:val="0"/>
      <w:divBdr>
        <w:top w:val="none" w:sz="0" w:space="0" w:color="auto"/>
        <w:left w:val="none" w:sz="0" w:space="0" w:color="auto"/>
        <w:bottom w:val="none" w:sz="0" w:space="0" w:color="auto"/>
        <w:right w:val="none" w:sz="0" w:space="0" w:color="auto"/>
      </w:divBdr>
    </w:div>
    <w:div w:id="428889679">
      <w:bodyDiv w:val="1"/>
      <w:marLeft w:val="0"/>
      <w:marRight w:val="0"/>
      <w:marTop w:val="0"/>
      <w:marBottom w:val="0"/>
      <w:divBdr>
        <w:top w:val="none" w:sz="0" w:space="0" w:color="auto"/>
        <w:left w:val="none" w:sz="0" w:space="0" w:color="auto"/>
        <w:bottom w:val="none" w:sz="0" w:space="0" w:color="auto"/>
        <w:right w:val="none" w:sz="0" w:space="0" w:color="auto"/>
      </w:divBdr>
    </w:div>
    <w:div w:id="451559023">
      <w:bodyDiv w:val="1"/>
      <w:marLeft w:val="0"/>
      <w:marRight w:val="0"/>
      <w:marTop w:val="0"/>
      <w:marBottom w:val="0"/>
      <w:divBdr>
        <w:top w:val="none" w:sz="0" w:space="0" w:color="auto"/>
        <w:left w:val="none" w:sz="0" w:space="0" w:color="auto"/>
        <w:bottom w:val="none" w:sz="0" w:space="0" w:color="auto"/>
        <w:right w:val="none" w:sz="0" w:space="0" w:color="auto"/>
      </w:divBdr>
    </w:div>
    <w:div w:id="490412821">
      <w:bodyDiv w:val="1"/>
      <w:marLeft w:val="0"/>
      <w:marRight w:val="0"/>
      <w:marTop w:val="0"/>
      <w:marBottom w:val="0"/>
      <w:divBdr>
        <w:top w:val="none" w:sz="0" w:space="0" w:color="auto"/>
        <w:left w:val="none" w:sz="0" w:space="0" w:color="auto"/>
        <w:bottom w:val="none" w:sz="0" w:space="0" w:color="auto"/>
        <w:right w:val="none" w:sz="0" w:space="0" w:color="auto"/>
      </w:divBdr>
    </w:div>
    <w:div w:id="516314721">
      <w:bodyDiv w:val="1"/>
      <w:marLeft w:val="0"/>
      <w:marRight w:val="0"/>
      <w:marTop w:val="0"/>
      <w:marBottom w:val="0"/>
      <w:divBdr>
        <w:top w:val="none" w:sz="0" w:space="0" w:color="auto"/>
        <w:left w:val="none" w:sz="0" w:space="0" w:color="auto"/>
        <w:bottom w:val="none" w:sz="0" w:space="0" w:color="auto"/>
        <w:right w:val="none" w:sz="0" w:space="0" w:color="auto"/>
      </w:divBdr>
    </w:div>
    <w:div w:id="533468553">
      <w:bodyDiv w:val="1"/>
      <w:marLeft w:val="0"/>
      <w:marRight w:val="0"/>
      <w:marTop w:val="0"/>
      <w:marBottom w:val="0"/>
      <w:divBdr>
        <w:top w:val="none" w:sz="0" w:space="0" w:color="auto"/>
        <w:left w:val="none" w:sz="0" w:space="0" w:color="auto"/>
        <w:bottom w:val="none" w:sz="0" w:space="0" w:color="auto"/>
        <w:right w:val="none" w:sz="0" w:space="0" w:color="auto"/>
      </w:divBdr>
    </w:div>
    <w:div w:id="542834956">
      <w:bodyDiv w:val="1"/>
      <w:marLeft w:val="0"/>
      <w:marRight w:val="0"/>
      <w:marTop w:val="0"/>
      <w:marBottom w:val="0"/>
      <w:divBdr>
        <w:top w:val="none" w:sz="0" w:space="0" w:color="auto"/>
        <w:left w:val="none" w:sz="0" w:space="0" w:color="auto"/>
        <w:bottom w:val="none" w:sz="0" w:space="0" w:color="auto"/>
        <w:right w:val="none" w:sz="0" w:space="0" w:color="auto"/>
      </w:divBdr>
    </w:div>
    <w:div w:id="669336020">
      <w:bodyDiv w:val="1"/>
      <w:marLeft w:val="0"/>
      <w:marRight w:val="0"/>
      <w:marTop w:val="0"/>
      <w:marBottom w:val="0"/>
      <w:divBdr>
        <w:top w:val="none" w:sz="0" w:space="0" w:color="auto"/>
        <w:left w:val="none" w:sz="0" w:space="0" w:color="auto"/>
        <w:bottom w:val="none" w:sz="0" w:space="0" w:color="auto"/>
        <w:right w:val="none" w:sz="0" w:space="0" w:color="auto"/>
      </w:divBdr>
    </w:div>
    <w:div w:id="760568085">
      <w:bodyDiv w:val="1"/>
      <w:marLeft w:val="0"/>
      <w:marRight w:val="0"/>
      <w:marTop w:val="0"/>
      <w:marBottom w:val="0"/>
      <w:divBdr>
        <w:top w:val="none" w:sz="0" w:space="0" w:color="auto"/>
        <w:left w:val="none" w:sz="0" w:space="0" w:color="auto"/>
        <w:bottom w:val="none" w:sz="0" w:space="0" w:color="auto"/>
        <w:right w:val="none" w:sz="0" w:space="0" w:color="auto"/>
      </w:divBdr>
    </w:div>
    <w:div w:id="768889342">
      <w:bodyDiv w:val="1"/>
      <w:marLeft w:val="0"/>
      <w:marRight w:val="0"/>
      <w:marTop w:val="0"/>
      <w:marBottom w:val="0"/>
      <w:divBdr>
        <w:top w:val="none" w:sz="0" w:space="0" w:color="auto"/>
        <w:left w:val="none" w:sz="0" w:space="0" w:color="auto"/>
        <w:bottom w:val="none" w:sz="0" w:space="0" w:color="auto"/>
        <w:right w:val="none" w:sz="0" w:space="0" w:color="auto"/>
      </w:divBdr>
    </w:div>
    <w:div w:id="838617315">
      <w:bodyDiv w:val="1"/>
      <w:marLeft w:val="0"/>
      <w:marRight w:val="0"/>
      <w:marTop w:val="0"/>
      <w:marBottom w:val="0"/>
      <w:divBdr>
        <w:top w:val="none" w:sz="0" w:space="0" w:color="auto"/>
        <w:left w:val="none" w:sz="0" w:space="0" w:color="auto"/>
        <w:bottom w:val="none" w:sz="0" w:space="0" w:color="auto"/>
        <w:right w:val="none" w:sz="0" w:space="0" w:color="auto"/>
      </w:divBdr>
    </w:div>
    <w:div w:id="857549476">
      <w:bodyDiv w:val="1"/>
      <w:marLeft w:val="0"/>
      <w:marRight w:val="0"/>
      <w:marTop w:val="0"/>
      <w:marBottom w:val="0"/>
      <w:divBdr>
        <w:top w:val="none" w:sz="0" w:space="0" w:color="auto"/>
        <w:left w:val="none" w:sz="0" w:space="0" w:color="auto"/>
        <w:bottom w:val="none" w:sz="0" w:space="0" w:color="auto"/>
        <w:right w:val="none" w:sz="0" w:space="0" w:color="auto"/>
      </w:divBdr>
    </w:div>
    <w:div w:id="873924818">
      <w:bodyDiv w:val="1"/>
      <w:marLeft w:val="0"/>
      <w:marRight w:val="0"/>
      <w:marTop w:val="0"/>
      <w:marBottom w:val="0"/>
      <w:divBdr>
        <w:top w:val="none" w:sz="0" w:space="0" w:color="auto"/>
        <w:left w:val="none" w:sz="0" w:space="0" w:color="auto"/>
        <w:bottom w:val="none" w:sz="0" w:space="0" w:color="auto"/>
        <w:right w:val="none" w:sz="0" w:space="0" w:color="auto"/>
      </w:divBdr>
    </w:div>
    <w:div w:id="893083874">
      <w:bodyDiv w:val="1"/>
      <w:marLeft w:val="0"/>
      <w:marRight w:val="0"/>
      <w:marTop w:val="0"/>
      <w:marBottom w:val="0"/>
      <w:divBdr>
        <w:top w:val="none" w:sz="0" w:space="0" w:color="auto"/>
        <w:left w:val="none" w:sz="0" w:space="0" w:color="auto"/>
        <w:bottom w:val="none" w:sz="0" w:space="0" w:color="auto"/>
        <w:right w:val="none" w:sz="0" w:space="0" w:color="auto"/>
      </w:divBdr>
    </w:div>
    <w:div w:id="929507348">
      <w:bodyDiv w:val="1"/>
      <w:marLeft w:val="0"/>
      <w:marRight w:val="0"/>
      <w:marTop w:val="0"/>
      <w:marBottom w:val="0"/>
      <w:divBdr>
        <w:top w:val="none" w:sz="0" w:space="0" w:color="auto"/>
        <w:left w:val="none" w:sz="0" w:space="0" w:color="auto"/>
        <w:bottom w:val="none" w:sz="0" w:space="0" w:color="auto"/>
        <w:right w:val="none" w:sz="0" w:space="0" w:color="auto"/>
      </w:divBdr>
    </w:div>
    <w:div w:id="929660679">
      <w:bodyDiv w:val="1"/>
      <w:marLeft w:val="0"/>
      <w:marRight w:val="0"/>
      <w:marTop w:val="0"/>
      <w:marBottom w:val="0"/>
      <w:divBdr>
        <w:top w:val="none" w:sz="0" w:space="0" w:color="auto"/>
        <w:left w:val="none" w:sz="0" w:space="0" w:color="auto"/>
        <w:bottom w:val="none" w:sz="0" w:space="0" w:color="auto"/>
        <w:right w:val="none" w:sz="0" w:space="0" w:color="auto"/>
      </w:divBdr>
    </w:div>
    <w:div w:id="958415039">
      <w:bodyDiv w:val="1"/>
      <w:marLeft w:val="0"/>
      <w:marRight w:val="0"/>
      <w:marTop w:val="0"/>
      <w:marBottom w:val="0"/>
      <w:divBdr>
        <w:top w:val="none" w:sz="0" w:space="0" w:color="auto"/>
        <w:left w:val="none" w:sz="0" w:space="0" w:color="auto"/>
        <w:bottom w:val="none" w:sz="0" w:space="0" w:color="auto"/>
        <w:right w:val="none" w:sz="0" w:space="0" w:color="auto"/>
      </w:divBdr>
    </w:div>
    <w:div w:id="1004359344">
      <w:bodyDiv w:val="1"/>
      <w:marLeft w:val="0"/>
      <w:marRight w:val="0"/>
      <w:marTop w:val="0"/>
      <w:marBottom w:val="0"/>
      <w:divBdr>
        <w:top w:val="none" w:sz="0" w:space="0" w:color="auto"/>
        <w:left w:val="none" w:sz="0" w:space="0" w:color="auto"/>
        <w:bottom w:val="none" w:sz="0" w:space="0" w:color="auto"/>
        <w:right w:val="none" w:sz="0" w:space="0" w:color="auto"/>
      </w:divBdr>
    </w:div>
    <w:div w:id="1035735628">
      <w:bodyDiv w:val="1"/>
      <w:marLeft w:val="0"/>
      <w:marRight w:val="0"/>
      <w:marTop w:val="0"/>
      <w:marBottom w:val="0"/>
      <w:divBdr>
        <w:top w:val="none" w:sz="0" w:space="0" w:color="auto"/>
        <w:left w:val="none" w:sz="0" w:space="0" w:color="auto"/>
        <w:bottom w:val="none" w:sz="0" w:space="0" w:color="auto"/>
        <w:right w:val="none" w:sz="0" w:space="0" w:color="auto"/>
      </w:divBdr>
    </w:div>
    <w:div w:id="1115364813">
      <w:bodyDiv w:val="1"/>
      <w:marLeft w:val="0"/>
      <w:marRight w:val="0"/>
      <w:marTop w:val="0"/>
      <w:marBottom w:val="0"/>
      <w:divBdr>
        <w:top w:val="none" w:sz="0" w:space="0" w:color="auto"/>
        <w:left w:val="none" w:sz="0" w:space="0" w:color="auto"/>
        <w:bottom w:val="none" w:sz="0" w:space="0" w:color="auto"/>
        <w:right w:val="none" w:sz="0" w:space="0" w:color="auto"/>
      </w:divBdr>
    </w:div>
    <w:div w:id="1129588100">
      <w:bodyDiv w:val="1"/>
      <w:marLeft w:val="0"/>
      <w:marRight w:val="0"/>
      <w:marTop w:val="0"/>
      <w:marBottom w:val="0"/>
      <w:divBdr>
        <w:top w:val="none" w:sz="0" w:space="0" w:color="auto"/>
        <w:left w:val="none" w:sz="0" w:space="0" w:color="auto"/>
        <w:bottom w:val="none" w:sz="0" w:space="0" w:color="auto"/>
        <w:right w:val="none" w:sz="0" w:space="0" w:color="auto"/>
      </w:divBdr>
    </w:div>
    <w:div w:id="1160583131">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273786237">
      <w:bodyDiv w:val="1"/>
      <w:marLeft w:val="0"/>
      <w:marRight w:val="0"/>
      <w:marTop w:val="0"/>
      <w:marBottom w:val="0"/>
      <w:divBdr>
        <w:top w:val="none" w:sz="0" w:space="0" w:color="auto"/>
        <w:left w:val="none" w:sz="0" w:space="0" w:color="auto"/>
        <w:bottom w:val="none" w:sz="0" w:space="0" w:color="auto"/>
        <w:right w:val="none" w:sz="0" w:space="0" w:color="auto"/>
      </w:divBdr>
    </w:div>
    <w:div w:id="1507596145">
      <w:bodyDiv w:val="1"/>
      <w:marLeft w:val="0"/>
      <w:marRight w:val="0"/>
      <w:marTop w:val="0"/>
      <w:marBottom w:val="0"/>
      <w:divBdr>
        <w:top w:val="none" w:sz="0" w:space="0" w:color="auto"/>
        <w:left w:val="none" w:sz="0" w:space="0" w:color="auto"/>
        <w:bottom w:val="none" w:sz="0" w:space="0" w:color="auto"/>
        <w:right w:val="none" w:sz="0" w:space="0" w:color="auto"/>
      </w:divBdr>
    </w:div>
    <w:div w:id="1512060195">
      <w:bodyDiv w:val="1"/>
      <w:marLeft w:val="0"/>
      <w:marRight w:val="0"/>
      <w:marTop w:val="0"/>
      <w:marBottom w:val="0"/>
      <w:divBdr>
        <w:top w:val="none" w:sz="0" w:space="0" w:color="auto"/>
        <w:left w:val="none" w:sz="0" w:space="0" w:color="auto"/>
        <w:bottom w:val="none" w:sz="0" w:space="0" w:color="auto"/>
        <w:right w:val="none" w:sz="0" w:space="0" w:color="auto"/>
      </w:divBdr>
    </w:div>
    <w:div w:id="1575122343">
      <w:bodyDiv w:val="1"/>
      <w:marLeft w:val="0"/>
      <w:marRight w:val="0"/>
      <w:marTop w:val="0"/>
      <w:marBottom w:val="0"/>
      <w:divBdr>
        <w:top w:val="none" w:sz="0" w:space="0" w:color="auto"/>
        <w:left w:val="none" w:sz="0" w:space="0" w:color="auto"/>
        <w:bottom w:val="none" w:sz="0" w:space="0" w:color="auto"/>
        <w:right w:val="none" w:sz="0" w:space="0" w:color="auto"/>
      </w:divBdr>
    </w:div>
    <w:div w:id="1598057876">
      <w:bodyDiv w:val="1"/>
      <w:marLeft w:val="0"/>
      <w:marRight w:val="0"/>
      <w:marTop w:val="0"/>
      <w:marBottom w:val="0"/>
      <w:divBdr>
        <w:top w:val="none" w:sz="0" w:space="0" w:color="auto"/>
        <w:left w:val="none" w:sz="0" w:space="0" w:color="auto"/>
        <w:bottom w:val="none" w:sz="0" w:space="0" w:color="auto"/>
        <w:right w:val="none" w:sz="0" w:space="0" w:color="auto"/>
      </w:divBdr>
    </w:div>
    <w:div w:id="1738556046">
      <w:bodyDiv w:val="1"/>
      <w:marLeft w:val="0"/>
      <w:marRight w:val="0"/>
      <w:marTop w:val="0"/>
      <w:marBottom w:val="0"/>
      <w:divBdr>
        <w:top w:val="none" w:sz="0" w:space="0" w:color="auto"/>
        <w:left w:val="none" w:sz="0" w:space="0" w:color="auto"/>
        <w:bottom w:val="none" w:sz="0" w:space="0" w:color="auto"/>
        <w:right w:val="none" w:sz="0" w:space="0" w:color="auto"/>
      </w:divBdr>
    </w:div>
    <w:div w:id="1773360245">
      <w:bodyDiv w:val="1"/>
      <w:marLeft w:val="0"/>
      <w:marRight w:val="0"/>
      <w:marTop w:val="0"/>
      <w:marBottom w:val="0"/>
      <w:divBdr>
        <w:top w:val="none" w:sz="0" w:space="0" w:color="auto"/>
        <w:left w:val="none" w:sz="0" w:space="0" w:color="auto"/>
        <w:bottom w:val="none" w:sz="0" w:space="0" w:color="auto"/>
        <w:right w:val="none" w:sz="0" w:space="0" w:color="auto"/>
      </w:divBdr>
    </w:div>
    <w:div w:id="1774202357">
      <w:bodyDiv w:val="1"/>
      <w:marLeft w:val="0"/>
      <w:marRight w:val="0"/>
      <w:marTop w:val="0"/>
      <w:marBottom w:val="0"/>
      <w:divBdr>
        <w:top w:val="none" w:sz="0" w:space="0" w:color="auto"/>
        <w:left w:val="none" w:sz="0" w:space="0" w:color="auto"/>
        <w:bottom w:val="none" w:sz="0" w:space="0" w:color="auto"/>
        <w:right w:val="none" w:sz="0" w:space="0" w:color="auto"/>
      </w:divBdr>
    </w:div>
    <w:div w:id="1786149209">
      <w:bodyDiv w:val="1"/>
      <w:marLeft w:val="0"/>
      <w:marRight w:val="0"/>
      <w:marTop w:val="0"/>
      <w:marBottom w:val="0"/>
      <w:divBdr>
        <w:top w:val="none" w:sz="0" w:space="0" w:color="auto"/>
        <w:left w:val="none" w:sz="0" w:space="0" w:color="auto"/>
        <w:bottom w:val="none" w:sz="0" w:space="0" w:color="auto"/>
        <w:right w:val="none" w:sz="0" w:space="0" w:color="auto"/>
      </w:divBdr>
    </w:div>
    <w:div w:id="1830711296">
      <w:bodyDiv w:val="1"/>
      <w:marLeft w:val="0"/>
      <w:marRight w:val="0"/>
      <w:marTop w:val="0"/>
      <w:marBottom w:val="0"/>
      <w:divBdr>
        <w:top w:val="none" w:sz="0" w:space="0" w:color="auto"/>
        <w:left w:val="none" w:sz="0" w:space="0" w:color="auto"/>
        <w:bottom w:val="none" w:sz="0" w:space="0" w:color="auto"/>
        <w:right w:val="none" w:sz="0" w:space="0" w:color="auto"/>
      </w:divBdr>
    </w:div>
    <w:div w:id="1858889294">
      <w:bodyDiv w:val="1"/>
      <w:marLeft w:val="0"/>
      <w:marRight w:val="0"/>
      <w:marTop w:val="0"/>
      <w:marBottom w:val="0"/>
      <w:divBdr>
        <w:top w:val="none" w:sz="0" w:space="0" w:color="auto"/>
        <w:left w:val="none" w:sz="0" w:space="0" w:color="auto"/>
        <w:bottom w:val="none" w:sz="0" w:space="0" w:color="auto"/>
        <w:right w:val="none" w:sz="0" w:space="0" w:color="auto"/>
      </w:divBdr>
    </w:div>
    <w:div w:id="1870483848">
      <w:bodyDiv w:val="1"/>
      <w:marLeft w:val="0"/>
      <w:marRight w:val="0"/>
      <w:marTop w:val="0"/>
      <w:marBottom w:val="0"/>
      <w:divBdr>
        <w:top w:val="none" w:sz="0" w:space="0" w:color="auto"/>
        <w:left w:val="none" w:sz="0" w:space="0" w:color="auto"/>
        <w:bottom w:val="none" w:sz="0" w:space="0" w:color="auto"/>
        <w:right w:val="none" w:sz="0" w:space="0" w:color="auto"/>
      </w:divBdr>
    </w:div>
    <w:div w:id="1991396423">
      <w:bodyDiv w:val="1"/>
      <w:marLeft w:val="0"/>
      <w:marRight w:val="0"/>
      <w:marTop w:val="0"/>
      <w:marBottom w:val="0"/>
      <w:divBdr>
        <w:top w:val="none" w:sz="0" w:space="0" w:color="auto"/>
        <w:left w:val="none" w:sz="0" w:space="0" w:color="auto"/>
        <w:bottom w:val="none" w:sz="0" w:space="0" w:color="auto"/>
        <w:right w:val="none" w:sz="0" w:space="0" w:color="auto"/>
      </w:divBdr>
    </w:div>
    <w:div w:id="202153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5</Pages>
  <Words>627</Words>
  <Characters>3575</Characters>
  <Application>Microsoft Office Word</Application>
  <DocSecurity>0</DocSecurity>
  <Lines>29</Lines>
  <Paragraphs>8</Paragraphs>
  <ScaleCrop>false</ScaleCrop>
  <Company/>
  <LinksUpToDate>false</LinksUpToDate>
  <CharactersWithSpaces>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396</cp:revision>
  <cp:lastPrinted>2021-06-03T04:20:00Z</cp:lastPrinted>
  <dcterms:created xsi:type="dcterms:W3CDTF">2008-09-11T17:20:00Z</dcterms:created>
  <dcterms:modified xsi:type="dcterms:W3CDTF">2024-04-07T02:48:00Z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