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关于代销苏银理财恒源封闭债权</w:t>
      </w:r>
      <w:r>
        <w:rPr>
          <w:rFonts w:hint="eastAsia" w:ascii="宋体" w:hAnsi="宋体" w:eastAsia="宋体" w:cs="宋体"/>
          <w:b/>
          <w:bCs/>
          <w:sz w:val="36"/>
          <w:lang w:val="en-US" w:eastAsia="zh-CN"/>
        </w:rPr>
        <w:t>142期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142期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11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11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12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6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1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恒源封闭债权142期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ind w:left="57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Z70031240001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51</w:t>
            </w:r>
          </w:p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（投资者可依据该编码在中国理财网</w:t>
            </w:r>
            <w:r>
              <w:fldChar w:fldCharType="begin"/>
            </w:r>
            <w:r>
              <w:instrText xml:space="preserve"> HYPERLINK "http://www.chinawealth.com.cn/" </w:instrText>
            </w:r>
            <w:r>
              <w:fldChar w:fldCharType="separate"/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www.chinawealth.com.cn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fldChar w:fldCharType="end"/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B份额：苏银理财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恒源封闭债权142期（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B/J035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1、★★二级，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销售评级与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产品评级结果不一致的，代理销售机构应当采用对应较高风险等级的评级结果并予以披露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3、如本产品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通过代理销售机构渠道销售，理财产品评级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以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代理销售机构最终披露的评级结果为准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。</w:t>
            </w:r>
          </w:p>
          <w:p>
            <w:pP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0"/>
                <w:szCs w:val="2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  <w:sz w:val="20"/>
                <w:szCs w:val="20"/>
              </w:rPr>
              <w:t>紫金农商银行对本产品的风险评级为中低风险。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净值型（非保本浮动收益）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面向个人和机构投资者销售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计划发行总规模：6亿份。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认购起点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  <w:t>/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追加金额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投资者单笔</w:t>
            </w:r>
            <w:r>
              <w:rPr>
                <w:rFonts w:hint="eastAsia" w:ascii="楷体" w:hAnsi="楷体" w:eastAsia="楷体"/>
                <w:szCs w:val="21"/>
              </w:rPr>
              <w:t>认购起点金额为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元，追加金额为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元的整数倍。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认购资金的清算和认购份额的计算详见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szCs w:val="21"/>
              </w:rPr>
              <w:t>“八、产品认购”。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日9:00至2024年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日17:00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2025年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日（如遇节假日，顺延至下一工作日）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3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  <w:lang w:val="en-US" w:eastAsia="zh-CN"/>
              </w:rPr>
              <w:t>91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天（以理财产品实际存续天数为准），</w:t>
            </w:r>
            <w:r>
              <w:rPr>
                <w:rFonts w:hint="eastAsia" w:ascii="楷体" w:hAnsi="楷体" w:eastAsia="楷体" w:cs="Calibri"/>
                <w:b/>
                <w:szCs w:val="21"/>
                <w:u w:val="single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37"/>
              <w:ind w:left="22" w:leftChars="10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业绩比较基准。本产品各份额因收取的销售服务费和投资管理费存在差异，业绩比较基准设置将有所不同。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各份额业绩比较基准如下：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B份额：年化</w:t>
            </w:r>
            <w:r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2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70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%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b/>
                <w:spacing w:val="-2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“九、产品估值”。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管理人将按照《产品说明书》中约定的方式进行信息披露，详见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“十四、信息披露”。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本产品运作过程中涉及的各纳税主体，其纳税义务按国家税收法律、法规执行。详见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 xml:space="preserve">“十二、税收规定”。 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1.该产品销售要求参照我行自营理财销售相关规定执行。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142期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142期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11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5FF7"/>
    <w:rsid w:val="009A6871"/>
    <w:rsid w:val="009B21F1"/>
    <w:rsid w:val="009B2786"/>
    <w:rsid w:val="009B2C38"/>
    <w:rsid w:val="009D1D85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9FF56E8"/>
    <w:rsid w:val="0D061CD4"/>
    <w:rsid w:val="0D0F7A88"/>
    <w:rsid w:val="0D637775"/>
    <w:rsid w:val="11E470A0"/>
    <w:rsid w:val="1302330E"/>
    <w:rsid w:val="15092D84"/>
    <w:rsid w:val="18024DC4"/>
    <w:rsid w:val="19211303"/>
    <w:rsid w:val="1C4E296B"/>
    <w:rsid w:val="1FF27F0A"/>
    <w:rsid w:val="22BD0682"/>
    <w:rsid w:val="2F505EBA"/>
    <w:rsid w:val="37D92952"/>
    <w:rsid w:val="437A0EFD"/>
    <w:rsid w:val="471B4F9C"/>
    <w:rsid w:val="4727670F"/>
    <w:rsid w:val="498D2846"/>
    <w:rsid w:val="52C1180B"/>
    <w:rsid w:val="53A7561E"/>
    <w:rsid w:val="569A1942"/>
    <w:rsid w:val="573E6F54"/>
    <w:rsid w:val="59526AAF"/>
    <w:rsid w:val="5D6B5C61"/>
    <w:rsid w:val="5F763953"/>
    <w:rsid w:val="6F753C32"/>
    <w:rsid w:val="707F71F1"/>
    <w:rsid w:val="73053858"/>
    <w:rsid w:val="7DD325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2">
    <w:name w:val="apple-converted-space"/>
    <w:basedOn w:val="7"/>
    <w:qFormat/>
    <w:uiPriority w:val="0"/>
  </w:style>
  <w:style w:type="character" w:customStyle="1" w:styleId="13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398</Words>
  <Characters>2269</Characters>
  <Lines>18</Lines>
  <Paragraphs>5</Paragraphs>
  <TotalTime>3</TotalTime>
  <ScaleCrop>false</ScaleCrop>
  <LinksUpToDate>false</LinksUpToDate>
  <CharactersWithSpaces>2662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2021-06-03T04:20:00Z</cp:lastPrinted>
  <dcterms:modified xsi:type="dcterms:W3CDTF">2024-11-05T07:05:56Z</dcterms:modified>
  <cp:revision>389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