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napToGrid/>
        <w:spacing w:after="0"/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36"/>
        </w:rPr>
        <w:t>关于代销苏银理财恒源封闭债权</w:t>
      </w:r>
      <w:r>
        <w:rPr>
          <w:rFonts w:hint="eastAsia" w:ascii="宋体" w:hAnsi="宋体" w:eastAsia="宋体" w:cs="宋体"/>
          <w:b/>
          <w:bCs/>
          <w:sz w:val="36"/>
          <w:lang w:val="en-US" w:eastAsia="zh-CN"/>
        </w:rPr>
        <w:t>133期</w:t>
      </w:r>
      <w:r>
        <w:rPr>
          <w:rFonts w:hint="eastAsia" w:ascii="宋体" w:hAnsi="宋体" w:eastAsia="宋体" w:cs="宋体"/>
          <w:b/>
          <w:bCs/>
          <w:sz w:val="36"/>
        </w:rPr>
        <w:t>的通知</w:t>
      </w:r>
    </w:p>
    <w:p>
      <w:pPr>
        <w:adjustRightInd/>
        <w:snapToGrid/>
        <w:spacing w:after="0" w:line="555" w:lineRule="atLeast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各分(支)行、总行营业部：</w:t>
      </w:r>
    </w:p>
    <w:p>
      <w:pPr>
        <w:adjustRightInd/>
        <w:snapToGrid/>
        <w:spacing w:after="0"/>
        <w:ind w:firstLine="63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我行代销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苏银理财有限责任公司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发行的苏银理财恒源封闭债权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133期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将</w:t>
      </w:r>
      <w:r>
        <w:rPr>
          <w:rFonts w:hint="eastAsia" w:ascii="仿宋_GB2312" w:hAnsi="微软雅黑" w:eastAsia="仿宋_GB2312" w:cs="宋体"/>
          <w:sz w:val="32"/>
          <w:szCs w:val="32"/>
        </w:rPr>
        <w:t>于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2024年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9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10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日9:00</w:t>
      </w:r>
      <w:r>
        <w:rPr>
          <w:rFonts w:hint="eastAsia" w:ascii="仿宋_GB2312" w:hAnsi="微软雅黑" w:eastAsia="仿宋_GB2312" w:cs="宋体"/>
          <w:sz w:val="32"/>
          <w:szCs w:val="32"/>
        </w:rPr>
        <w:t>至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2024年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9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19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日17:00</w:t>
      </w:r>
      <w:r>
        <w:rPr>
          <w:rFonts w:hint="eastAsia" w:ascii="仿宋_GB2312" w:hAnsi="微软雅黑" w:eastAsia="仿宋_GB2312" w:cs="宋体"/>
          <w:sz w:val="32"/>
          <w:szCs w:val="32"/>
        </w:rPr>
        <w:t>销售，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目前在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柜面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和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手机银行</w:t>
      </w:r>
      <w:r>
        <w:rPr>
          <w:rFonts w:hint="eastAsia" w:ascii="仿宋_GB2312" w:hAnsi="微软雅黑" w:eastAsia="仿宋_GB2312" w:cs="宋体"/>
          <w:color w:val="000000" w:themeColor="text1"/>
          <w:sz w:val="32"/>
          <w:szCs w:val="32"/>
        </w:rPr>
        <w:t>等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销售。销售服务费率为0.2%/年。部分要素如下：</w:t>
      </w:r>
    </w:p>
    <w:tbl>
      <w:tblPr>
        <w:tblStyle w:val="6"/>
        <w:tblW w:w="88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78"/>
        <w:gridCol w:w="66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1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产品名称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苏银理财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  <w:t>恒源封闭债权133期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ind w:left="57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理财产品登记编码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line="260" w:lineRule="exact"/>
              <w:ind w:left="59" w:right="77" w:rightChars="35"/>
              <w:jc w:val="both"/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Z7003124000105</w:t>
            </w:r>
          </w:p>
          <w:p>
            <w:pPr>
              <w:pStyle w:val="14"/>
              <w:kinsoku w:val="0"/>
              <w:overflowPunct w:val="0"/>
              <w:spacing w:line="260" w:lineRule="exact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（投资者可依据该编码在中国理财网</w:t>
            </w:r>
            <w:r>
              <w:fldChar w:fldCharType="begin"/>
            </w:r>
            <w:r>
              <w:instrText xml:space="preserve"> HYPERLINK "http://www.chinawealth.com.cn/" </w:instrText>
            </w:r>
            <w:r>
              <w:fldChar w:fldCharType="separate"/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t>www.chinawealth.com.cn</w:t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fldChar w:fldCharType="end"/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查询产品信息）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销售简称/销售代码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hint="default" w:ascii="楷体" w:hAnsi="楷体" w:eastAsia="楷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B份额：苏银理财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  <w:t>恒源封闭债权133期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12月B/J03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519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4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产品管理人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苏银理财有限责任公司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产品托管人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江苏银行股份有限公司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产品内部风险评级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1、★★二级，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本评级为苏银理财有限责任公司内部评级，由苏银理财根据理财产品的投资组合、同类产品过往业绩和风险状况等因素，对理财产品进行评级，仅供客户参考。</w:t>
            </w:r>
          </w:p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、如本产品通过代理销售机构渠道销售，代理销售机构应当根据本机构的方式和方法，依据理财产品的投资组合、同类产品过往业绩和风险状况等因素，独立、审慎地对代理销售的理财产品进行销售评级，并向苏银理财及时、准确提供本机构销售评级结果等信息。</w:t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t>销售评级与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苏银理财</w:t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t>产品评级结果不一致的，代理销售机构应当采用对应较高风险等级的评级结果并予以披露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。</w:t>
            </w:r>
          </w:p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3、如本产品</w:t>
            </w:r>
            <w:r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通过代理销售机构渠道销售，理财产品评级</w:t>
            </w: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以</w:t>
            </w:r>
            <w:r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代理销售机构最终披露的评级结果为准</w:t>
            </w: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。</w:t>
            </w:r>
          </w:p>
          <w:p>
            <w:pP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/>
                <w:b/>
                <w:color w:val="FF0000"/>
                <w:sz w:val="20"/>
                <w:szCs w:val="20"/>
                <w:lang w:val="en-US" w:eastAsia="zh-CN"/>
              </w:rPr>
              <w:t>4、</w:t>
            </w:r>
            <w:r>
              <w:rPr>
                <w:rFonts w:hint="eastAsia" w:ascii="仿宋" w:hAnsi="仿宋" w:eastAsia="仿宋"/>
                <w:b/>
                <w:color w:val="FF0000"/>
                <w:sz w:val="20"/>
                <w:szCs w:val="20"/>
              </w:rPr>
              <w:t>紫金农商银行对本产品的风险评级为中低风险。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收益类型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净值型（非保本浮动收益）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产品类型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固定收益类、公募、封闭式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销售对象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面向个人和机构投资者销售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4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募集币种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4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人民币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计划发行规模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计划发行总规模：6亿份。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募集过程中管理人有权根据产品的募集情况调整计划发行规模。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认购起点</w:t>
            </w:r>
            <w:r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  <w:t>/</w:t>
            </w: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追加金额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投资者单笔</w:t>
            </w:r>
            <w:r>
              <w:rPr>
                <w:rFonts w:hint="eastAsia" w:ascii="楷体" w:hAnsi="楷体" w:eastAsia="楷体"/>
                <w:szCs w:val="21"/>
              </w:rPr>
              <w:t>认购起点金额为</w:t>
            </w:r>
            <w:r>
              <w:rPr>
                <w:rFonts w:ascii="楷体" w:hAnsi="楷体" w:eastAsia="楷体"/>
                <w:szCs w:val="21"/>
              </w:rPr>
              <w:t>1</w:t>
            </w:r>
            <w:r>
              <w:rPr>
                <w:rFonts w:hint="eastAsia" w:ascii="楷体" w:hAnsi="楷体" w:eastAsia="楷体"/>
                <w:szCs w:val="21"/>
              </w:rPr>
              <w:t>元，追加金额为</w:t>
            </w:r>
            <w:r>
              <w:rPr>
                <w:rFonts w:ascii="楷体" w:hAnsi="楷体" w:eastAsia="楷体"/>
                <w:szCs w:val="21"/>
              </w:rPr>
              <w:t>1</w:t>
            </w:r>
            <w:r>
              <w:rPr>
                <w:rFonts w:hint="eastAsia" w:ascii="楷体" w:hAnsi="楷体" w:eastAsia="楷体"/>
                <w:szCs w:val="21"/>
              </w:rPr>
              <w:t>元的整数倍。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认购资金的清算和认购份额的计算详见</w:t>
            </w:r>
            <w:r>
              <w:rPr>
                <w:rFonts w:hint="eastAsia" w:ascii="楷体" w:hAnsi="楷体" w:eastAsia="楷体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/>
                <w:szCs w:val="21"/>
              </w:rPr>
              <w:t>“八、产品认购”。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份额面值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1元/份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募集期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2024年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日9:00至2024年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19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日17:00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管理人在法律允许的范围内保留延长或提前终止产品募集期的权利。如有变动，实际产品募集期以管理人公告为准。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产品成立日/份额登记日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2024年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若产品认购份额未达到最低发行总规模3000万，或新的法律、法规导致本产品无法合法合规运行，或出现其他导致影响产品成立不可抗力因素，产品管理人有权利但无义务宣布产品不成立，并于产品募集期结束后5个工作日内将投资者认购资金返还至投资者资金账户，募集期及资金在途期间投资者投资本金不计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产品到期日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2025年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26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日（如遇节假日，顺延至下一工作日）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在符合产品说明书约定的条件下，管理人有权提前终止该产品，产品到期日受制于提前终止条款。详见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“十、产品的终止与清算”。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产品存续期限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Cs w:val="21"/>
              </w:rPr>
              <w:t>3</w:t>
            </w:r>
            <w:r>
              <w:rPr>
                <w:rFonts w:ascii="楷体" w:hAnsi="楷体" w:eastAsia="楷体" w:cs="宋体"/>
                <w:spacing w:val="-2"/>
                <w:kern w:val="0"/>
                <w:szCs w:val="21"/>
              </w:rPr>
              <w:t>7</w:t>
            </w:r>
            <w:r>
              <w:rPr>
                <w:rFonts w:hint="eastAsia" w:ascii="楷体" w:hAnsi="楷体" w:eastAsia="楷体" w:cs="宋体"/>
                <w:spacing w:val="-2"/>
                <w:kern w:val="0"/>
                <w:szCs w:val="21"/>
                <w:lang w:val="en-US" w:eastAsia="zh-CN"/>
              </w:rPr>
              <w:t>1</w:t>
            </w:r>
            <w:r>
              <w:rPr>
                <w:rFonts w:hint="eastAsia" w:ascii="楷体" w:hAnsi="楷体" w:eastAsia="楷体" w:cs="宋体"/>
                <w:spacing w:val="-2"/>
                <w:kern w:val="0"/>
                <w:szCs w:val="21"/>
              </w:rPr>
              <w:t>天（以理财产品实际存续天数为准），</w:t>
            </w:r>
            <w:r>
              <w:rPr>
                <w:rFonts w:hint="eastAsia" w:ascii="楷体" w:hAnsi="楷体" w:eastAsia="楷体" w:cs="Calibri"/>
                <w:b/>
                <w:szCs w:val="21"/>
                <w:u w:val="single"/>
              </w:rPr>
              <w:t>本产品运行期间，不开放申购、赎回。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单个客户持有份额上限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Cs w:val="21"/>
              </w:rPr>
              <w:t>单一投资者持有份额不得超过总份额50%；非因主观因素导致突破前款规定比例限制的，在单一投资者持有份额占理财产品总份额比例降至50%以下之前，不再接受该单一投资者对理财产品的认购申请。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业绩比较基准（年化）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37"/>
              <w:ind w:left="22" w:leftChars="10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苏银理财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参考过往投资经验，依据近期货币市场工具、债券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、非标准化债权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等资产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投资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收益水平，在产品说明书约定的投资范围和投资比例内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，综合考虑各份额收取的销售服务费和投资管理费的情况，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模拟测算得出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业绩比较基准。本产品各份额因收取的销售服务费和投资管理费存在差异，业绩比较基准设置将有所不同。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各份额业绩比较基准如下：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bCs/>
                <w:spacing w:val="-2"/>
                <w:kern w:val="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</w:rPr>
              <w:t>B份额：年化</w:t>
            </w:r>
            <w:r>
              <w:rPr>
                <w:rFonts w:ascii="楷体" w:hAnsi="楷体" w:eastAsia="楷体" w:cs="宋体"/>
                <w:bCs/>
                <w:spacing w:val="-2"/>
                <w:kern w:val="2"/>
                <w:sz w:val="21"/>
                <w:szCs w:val="21"/>
              </w:rPr>
              <w:t>2</w:t>
            </w:r>
            <w:r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</w:rPr>
              <w:t>.</w:t>
            </w:r>
            <w:r>
              <w:rPr>
                <w:rFonts w:ascii="楷体" w:hAnsi="楷体" w:eastAsia="楷体" w:cs="宋体"/>
                <w:bCs/>
                <w:spacing w:val="-2"/>
                <w:kern w:val="2"/>
                <w:sz w:val="21"/>
                <w:szCs w:val="21"/>
              </w:rPr>
              <w:t>80</w:t>
            </w:r>
            <w:r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</w:rPr>
              <w:t>%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b/>
                <w:spacing w:val="-2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Cs w:val="21"/>
                <w:u w:val="single"/>
              </w:rPr>
              <w:t>本产品为净值型产品，业绩表现将随市场波动，具有不确定性。业绩比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Cs w:val="21"/>
                <w:u w:val="single"/>
              </w:rPr>
              <w:t>较基准为管理人对本产品所设定的投资目标，不代表理财产品未来表现，不等于理财产品实际收益，不构成管理人对产品实际投资收益率的承诺或担保，投资者的实际收益由产品净值表现决定。产品存续期内管理人有权根据市场情况调整业绩比较基准，如有调整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产品费用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本产品费用包括托管费、销售服务费、投资管理费、超额业绩报酬（如有）以及产品运作和清算中产生的其他费用等。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1.托管费率：0.02%/年；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2.销售服务费率：B份额0.20%/年；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3.投资管理费率：0.2</w:t>
            </w:r>
            <w:r>
              <w:rPr>
                <w:rFonts w:ascii="楷体" w:hAnsi="楷体" w:eastAsia="楷体" w:cs="宋体"/>
                <w:spacing w:val="-2"/>
                <w:szCs w:val="21"/>
              </w:rPr>
              <w:t>5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%/年；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4.超额业绩报酬：若产品各份额实际投资收益在扣除托管费、销售服务费、投资管理费、运作产品所必须缴纳的税费后超过各份额业绩比较基准，产品管理人将按照超出部分的60%收取超额业绩报酬。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产品存续期内理财产品将每日暂估超额业绩报酬，仅用于理财产品会计核算，并将扣除“暂估超额业绩报酬”后的理财产品份额净值按照说明书约定向投资者进行披露。理财产品实际的超额业绩报酬以到期日计提核算的数值为准。计算累计年化收益率和业绩比较基准时，1年按365日计算。</w:t>
            </w:r>
          </w:p>
          <w:p>
            <w:pPr>
              <w:ind w:left="59" w:right="77" w:rightChars="35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产品存续期内苏银理财可对费用进行调整，实际收取费率以管理人公告为准。</w:t>
            </w:r>
            <w:r>
              <w:rPr>
                <w:rFonts w:hint="eastAsia" w:ascii="楷体" w:hAnsi="楷体" w:eastAsia="楷体" w:cs="宋体"/>
                <w:b/>
                <w:spacing w:val="-2"/>
                <w:szCs w:val="21"/>
                <w:u w:val="single"/>
              </w:rPr>
              <w:t>本产品设置有多个份额，各份额按照设置的销售对象和销售起点进行销售，各份额实际收取的销售服务费率和投资管理费率可能存在差异，客户根据产品销售时设置的条件自主选择购买。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估值日</w:t>
            </w:r>
          </w:p>
        </w:tc>
        <w:tc>
          <w:tcPr>
            <w:tcW w:w="661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每周估值，并于估值日后第2个工作日内，通过本产品说明书约定方式披露产品单位净值。详见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“九、产品估值”。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信息披露</w:t>
            </w:r>
          </w:p>
        </w:tc>
        <w:tc>
          <w:tcPr>
            <w:tcW w:w="661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管理人将按照《产品说明书》中约定的方式进行信息披露，详见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“十四、信息披露”。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收益分配</w:t>
            </w:r>
          </w:p>
        </w:tc>
        <w:tc>
          <w:tcPr>
            <w:tcW w:w="661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本产品无分红机制，投资运作情况体现为产品净值变化。产品投资运作到期，投资收益扣除相关费用后，全部分配给投资者。</w:t>
            </w:r>
            <w:r>
              <w:rPr>
                <w:rFonts w:ascii="楷体" w:hAnsi="楷体" w:eastAsia="楷体" w:cs="宋体"/>
                <w:spacing w:val="-2"/>
                <w:szCs w:val="21"/>
              </w:rPr>
              <w:t>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“十、产品的终止与清算”。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税款</w:t>
            </w:r>
          </w:p>
        </w:tc>
        <w:tc>
          <w:tcPr>
            <w:tcW w:w="6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本产品运作过程中涉及的各纳税主体，其纳税义务按国家税收法律、法规执行。详见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 xml:space="preserve">“十二、税收规定”。 </w:t>
            </w:r>
          </w:p>
        </w:tc>
      </w:tr>
    </w:tbl>
    <w:p>
      <w:pPr>
        <w:adjustRightInd/>
        <w:snapToGrid/>
        <w:spacing w:after="0"/>
        <w:ind w:firstLine="630"/>
        <w:jc w:val="center"/>
        <w:rPr>
          <w:rFonts w:ascii="仿宋_GB2312" w:hAnsi="微软雅黑" w:eastAsia="仿宋_GB2312" w:cs="宋体"/>
          <w:color w:val="FF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（更多具体要素请详阅产品说明书）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注意事项：</w:t>
      </w:r>
    </w:p>
    <w:p>
      <w:pPr>
        <w:adjustRightInd/>
        <w:snapToGrid/>
        <w:spacing w:after="0"/>
        <w:ind w:firstLine="640" w:firstLineChars="20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1.该产品销售要求参照我行自营理财销售相关规定执行。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2.相关产品销售文件见附件。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3.如有其他未尽事宜以私人银行部解释为准。</w:t>
      </w:r>
    </w:p>
    <w:p>
      <w:pPr>
        <w:adjustRightInd/>
        <w:snapToGrid/>
        <w:spacing w:after="0"/>
        <w:rPr>
          <w:rFonts w:ascii="微软雅黑" w:hAnsi="微软雅黑" w:cs="宋体"/>
          <w:color w:val="000000"/>
          <w:sz w:val="30"/>
          <w:szCs w:val="30"/>
        </w:rPr>
      </w:pP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附件：1.“苏银理财恒源封闭债权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133期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”理财产品说明书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2. 理财产品代理销售协议书、苏银理财有限责任公司理财产品投资协议书</w:t>
      </w:r>
      <w:bookmarkStart w:id="0" w:name="_GoBack"/>
      <w:bookmarkEnd w:id="0"/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3.“苏银理财恒源封闭债权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133期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”理财产品风险揭示书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4.苏银理财有限责任公司投资者权益须知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5. 个人客户风险承受能力评估表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6. 机构客户风险承受能力评估表</w:t>
      </w:r>
    </w:p>
    <w:p>
      <w:pPr>
        <w:adjustRightInd/>
        <w:snapToGrid/>
        <w:spacing w:after="0"/>
        <w:ind w:firstLine="645"/>
        <w:rPr>
          <w:rFonts w:ascii="微软雅黑" w:hAnsi="微软雅黑" w:cs="宋体"/>
          <w:color w:val="000000"/>
          <w:sz w:val="30"/>
          <w:szCs w:val="30"/>
        </w:rPr>
      </w:pPr>
    </w:p>
    <w:p>
      <w:pPr>
        <w:adjustRightInd/>
        <w:snapToGrid/>
        <w:spacing w:after="0"/>
        <w:ind w:firstLine="576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私人银行部</w:t>
      </w:r>
    </w:p>
    <w:p>
      <w:pPr>
        <w:adjustRightInd/>
        <w:snapToGrid/>
        <w:spacing w:after="0"/>
        <w:ind w:firstLine="5445"/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2024年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9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日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rsids>
    <w:rsidRoot w:val="00D31D50"/>
    <w:rsid w:val="00002A13"/>
    <w:rsid w:val="00014D89"/>
    <w:rsid w:val="0002233E"/>
    <w:rsid w:val="00025736"/>
    <w:rsid w:val="00030E86"/>
    <w:rsid w:val="000430CA"/>
    <w:rsid w:val="00050465"/>
    <w:rsid w:val="000547BB"/>
    <w:rsid w:val="000618D3"/>
    <w:rsid w:val="0006322B"/>
    <w:rsid w:val="0006327A"/>
    <w:rsid w:val="000729EB"/>
    <w:rsid w:val="00074AD2"/>
    <w:rsid w:val="000812F4"/>
    <w:rsid w:val="000910E1"/>
    <w:rsid w:val="000936F7"/>
    <w:rsid w:val="00095294"/>
    <w:rsid w:val="000957AC"/>
    <w:rsid w:val="000A5028"/>
    <w:rsid w:val="000A7695"/>
    <w:rsid w:val="000B5C2A"/>
    <w:rsid w:val="000D30E3"/>
    <w:rsid w:val="000D3348"/>
    <w:rsid w:val="000E18A2"/>
    <w:rsid w:val="000E1FA9"/>
    <w:rsid w:val="000E7543"/>
    <w:rsid w:val="000F4049"/>
    <w:rsid w:val="0010440D"/>
    <w:rsid w:val="00110B5C"/>
    <w:rsid w:val="0011188B"/>
    <w:rsid w:val="00113224"/>
    <w:rsid w:val="001157D7"/>
    <w:rsid w:val="001225F8"/>
    <w:rsid w:val="00134BE7"/>
    <w:rsid w:val="0014766F"/>
    <w:rsid w:val="00152D94"/>
    <w:rsid w:val="00156217"/>
    <w:rsid w:val="00157799"/>
    <w:rsid w:val="0016069B"/>
    <w:rsid w:val="00160908"/>
    <w:rsid w:val="00170032"/>
    <w:rsid w:val="00174CF3"/>
    <w:rsid w:val="00174FC8"/>
    <w:rsid w:val="001810F6"/>
    <w:rsid w:val="00182785"/>
    <w:rsid w:val="00190048"/>
    <w:rsid w:val="00194C32"/>
    <w:rsid w:val="00196E1B"/>
    <w:rsid w:val="001A32AD"/>
    <w:rsid w:val="001A556D"/>
    <w:rsid w:val="001B2273"/>
    <w:rsid w:val="001D3092"/>
    <w:rsid w:val="001D40A6"/>
    <w:rsid w:val="001F3153"/>
    <w:rsid w:val="001F72B5"/>
    <w:rsid w:val="00201E20"/>
    <w:rsid w:val="00206F8F"/>
    <w:rsid w:val="00207F97"/>
    <w:rsid w:val="00214CF7"/>
    <w:rsid w:val="00216E71"/>
    <w:rsid w:val="002235BC"/>
    <w:rsid w:val="00233CED"/>
    <w:rsid w:val="00236FDA"/>
    <w:rsid w:val="00244EE2"/>
    <w:rsid w:val="002463C9"/>
    <w:rsid w:val="002513BD"/>
    <w:rsid w:val="00257856"/>
    <w:rsid w:val="00277323"/>
    <w:rsid w:val="002777A1"/>
    <w:rsid w:val="00283408"/>
    <w:rsid w:val="0028525D"/>
    <w:rsid w:val="002866F6"/>
    <w:rsid w:val="0029028F"/>
    <w:rsid w:val="002A3E43"/>
    <w:rsid w:val="002B1948"/>
    <w:rsid w:val="002C122F"/>
    <w:rsid w:val="002C248B"/>
    <w:rsid w:val="002C70E5"/>
    <w:rsid w:val="002D757D"/>
    <w:rsid w:val="002D7671"/>
    <w:rsid w:val="002E2A41"/>
    <w:rsid w:val="002E3ECB"/>
    <w:rsid w:val="002E7145"/>
    <w:rsid w:val="002F00B3"/>
    <w:rsid w:val="002F02FE"/>
    <w:rsid w:val="002F07C0"/>
    <w:rsid w:val="003059D5"/>
    <w:rsid w:val="00307AFA"/>
    <w:rsid w:val="00320D56"/>
    <w:rsid w:val="00322F4C"/>
    <w:rsid w:val="00323B43"/>
    <w:rsid w:val="00335FBE"/>
    <w:rsid w:val="003447B3"/>
    <w:rsid w:val="00347193"/>
    <w:rsid w:val="003476A4"/>
    <w:rsid w:val="00353BA9"/>
    <w:rsid w:val="00355E21"/>
    <w:rsid w:val="00357EB7"/>
    <w:rsid w:val="00361A72"/>
    <w:rsid w:val="00363805"/>
    <w:rsid w:val="00374AE2"/>
    <w:rsid w:val="00386CE1"/>
    <w:rsid w:val="00393219"/>
    <w:rsid w:val="003936A4"/>
    <w:rsid w:val="003936B9"/>
    <w:rsid w:val="003A15E6"/>
    <w:rsid w:val="003C0D6B"/>
    <w:rsid w:val="003C1D41"/>
    <w:rsid w:val="003C2C03"/>
    <w:rsid w:val="003D37D8"/>
    <w:rsid w:val="003D4715"/>
    <w:rsid w:val="003D710A"/>
    <w:rsid w:val="003E2BFC"/>
    <w:rsid w:val="003E5A9F"/>
    <w:rsid w:val="003F70AB"/>
    <w:rsid w:val="00410A33"/>
    <w:rsid w:val="00422AD1"/>
    <w:rsid w:val="00424A38"/>
    <w:rsid w:val="00426133"/>
    <w:rsid w:val="004349C0"/>
    <w:rsid w:val="004358AB"/>
    <w:rsid w:val="00443E90"/>
    <w:rsid w:val="00450005"/>
    <w:rsid w:val="00450C77"/>
    <w:rsid w:val="0045680A"/>
    <w:rsid w:val="00463028"/>
    <w:rsid w:val="00471A3B"/>
    <w:rsid w:val="004749F0"/>
    <w:rsid w:val="00476C3B"/>
    <w:rsid w:val="0047785F"/>
    <w:rsid w:val="0049140E"/>
    <w:rsid w:val="00496E4F"/>
    <w:rsid w:val="004B4CFA"/>
    <w:rsid w:val="004C175A"/>
    <w:rsid w:val="004C7CF2"/>
    <w:rsid w:val="004F0CCD"/>
    <w:rsid w:val="00510995"/>
    <w:rsid w:val="005168C5"/>
    <w:rsid w:val="005218F6"/>
    <w:rsid w:val="00523BDD"/>
    <w:rsid w:val="0052515C"/>
    <w:rsid w:val="00530F2D"/>
    <w:rsid w:val="0053663D"/>
    <w:rsid w:val="00536DF2"/>
    <w:rsid w:val="00537BF8"/>
    <w:rsid w:val="00540DC7"/>
    <w:rsid w:val="00543584"/>
    <w:rsid w:val="00543782"/>
    <w:rsid w:val="0055369F"/>
    <w:rsid w:val="0055709E"/>
    <w:rsid w:val="00566993"/>
    <w:rsid w:val="00566C07"/>
    <w:rsid w:val="00570005"/>
    <w:rsid w:val="005873AF"/>
    <w:rsid w:val="005A6CFB"/>
    <w:rsid w:val="005A7A21"/>
    <w:rsid w:val="005B1774"/>
    <w:rsid w:val="005B45CF"/>
    <w:rsid w:val="005C0D21"/>
    <w:rsid w:val="005C155D"/>
    <w:rsid w:val="005C31E9"/>
    <w:rsid w:val="005C4206"/>
    <w:rsid w:val="005C5781"/>
    <w:rsid w:val="005D072F"/>
    <w:rsid w:val="005D0DEE"/>
    <w:rsid w:val="005F2B78"/>
    <w:rsid w:val="00606205"/>
    <w:rsid w:val="00607358"/>
    <w:rsid w:val="00607EC0"/>
    <w:rsid w:val="00610019"/>
    <w:rsid w:val="006110FC"/>
    <w:rsid w:val="00611544"/>
    <w:rsid w:val="006128D5"/>
    <w:rsid w:val="006148C9"/>
    <w:rsid w:val="0061606F"/>
    <w:rsid w:val="00620A17"/>
    <w:rsid w:val="006214F4"/>
    <w:rsid w:val="006648D9"/>
    <w:rsid w:val="00677D5A"/>
    <w:rsid w:val="006919F0"/>
    <w:rsid w:val="006A1D72"/>
    <w:rsid w:val="006A48A0"/>
    <w:rsid w:val="006C44CC"/>
    <w:rsid w:val="006E08D8"/>
    <w:rsid w:val="006F04BE"/>
    <w:rsid w:val="006F7856"/>
    <w:rsid w:val="00701C74"/>
    <w:rsid w:val="0070239F"/>
    <w:rsid w:val="00702508"/>
    <w:rsid w:val="007121C4"/>
    <w:rsid w:val="00714B02"/>
    <w:rsid w:val="007248B8"/>
    <w:rsid w:val="00727337"/>
    <w:rsid w:val="0073205A"/>
    <w:rsid w:val="00732B85"/>
    <w:rsid w:val="00740E8C"/>
    <w:rsid w:val="00741563"/>
    <w:rsid w:val="007471D4"/>
    <w:rsid w:val="00747E0A"/>
    <w:rsid w:val="00750298"/>
    <w:rsid w:val="00761130"/>
    <w:rsid w:val="007673F5"/>
    <w:rsid w:val="007675CD"/>
    <w:rsid w:val="007745AD"/>
    <w:rsid w:val="00783419"/>
    <w:rsid w:val="00785657"/>
    <w:rsid w:val="007865C9"/>
    <w:rsid w:val="007873F2"/>
    <w:rsid w:val="00793A91"/>
    <w:rsid w:val="00796629"/>
    <w:rsid w:val="007A6260"/>
    <w:rsid w:val="007C416B"/>
    <w:rsid w:val="007C44C4"/>
    <w:rsid w:val="007D0528"/>
    <w:rsid w:val="007D35F2"/>
    <w:rsid w:val="007D3BB9"/>
    <w:rsid w:val="007D6855"/>
    <w:rsid w:val="00817F98"/>
    <w:rsid w:val="008201C5"/>
    <w:rsid w:val="00827FB9"/>
    <w:rsid w:val="008445DB"/>
    <w:rsid w:val="008450A8"/>
    <w:rsid w:val="008507C0"/>
    <w:rsid w:val="0085497C"/>
    <w:rsid w:val="00854BCB"/>
    <w:rsid w:val="0086092D"/>
    <w:rsid w:val="00862981"/>
    <w:rsid w:val="00867E9B"/>
    <w:rsid w:val="00884835"/>
    <w:rsid w:val="008930CD"/>
    <w:rsid w:val="00893277"/>
    <w:rsid w:val="00894AA0"/>
    <w:rsid w:val="00895EEF"/>
    <w:rsid w:val="00896D1C"/>
    <w:rsid w:val="008972C8"/>
    <w:rsid w:val="00897920"/>
    <w:rsid w:val="008A6AC1"/>
    <w:rsid w:val="008B008A"/>
    <w:rsid w:val="008B4334"/>
    <w:rsid w:val="008B450C"/>
    <w:rsid w:val="008B4E39"/>
    <w:rsid w:val="008B6523"/>
    <w:rsid w:val="008B7726"/>
    <w:rsid w:val="008C49E6"/>
    <w:rsid w:val="008D4402"/>
    <w:rsid w:val="008F2B7A"/>
    <w:rsid w:val="008F3B9E"/>
    <w:rsid w:val="008F7CA5"/>
    <w:rsid w:val="00903E35"/>
    <w:rsid w:val="00906053"/>
    <w:rsid w:val="00911DE1"/>
    <w:rsid w:val="00916AFD"/>
    <w:rsid w:val="0094064E"/>
    <w:rsid w:val="00951BFC"/>
    <w:rsid w:val="00953E58"/>
    <w:rsid w:val="00954AA4"/>
    <w:rsid w:val="0096633A"/>
    <w:rsid w:val="0096677C"/>
    <w:rsid w:val="00971266"/>
    <w:rsid w:val="00975280"/>
    <w:rsid w:val="00986A17"/>
    <w:rsid w:val="00986ED0"/>
    <w:rsid w:val="00996AC4"/>
    <w:rsid w:val="009A5FF7"/>
    <w:rsid w:val="009A6871"/>
    <w:rsid w:val="009B21F1"/>
    <w:rsid w:val="009B2786"/>
    <w:rsid w:val="009B2C38"/>
    <w:rsid w:val="009D1D85"/>
    <w:rsid w:val="009D5A75"/>
    <w:rsid w:val="009E16F2"/>
    <w:rsid w:val="009E18E4"/>
    <w:rsid w:val="009F7C7A"/>
    <w:rsid w:val="00A01DF4"/>
    <w:rsid w:val="00A215C9"/>
    <w:rsid w:val="00A30CF8"/>
    <w:rsid w:val="00A4169B"/>
    <w:rsid w:val="00A54155"/>
    <w:rsid w:val="00A65280"/>
    <w:rsid w:val="00A6775F"/>
    <w:rsid w:val="00A7707D"/>
    <w:rsid w:val="00A838DC"/>
    <w:rsid w:val="00A84AE0"/>
    <w:rsid w:val="00A90D0C"/>
    <w:rsid w:val="00A9135E"/>
    <w:rsid w:val="00A9294C"/>
    <w:rsid w:val="00AA23FA"/>
    <w:rsid w:val="00AB14BA"/>
    <w:rsid w:val="00AB4B2F"/>
    <w:rsid w:val="00AB6BA4"/>
    <w:rsid w:val="00AC33B2"/>
    <w:rsid w:val="00AC6774"/>
    <w:rsid w:val="00AD4C9C"/>
    <w:rsid w:val="00AE0AF2"/>
    <w:rsid w:val="00AE42D4"/>
    <w:rsid w:val="00AE6487"/>
    <w:rsid w:val="00B01B88"/>
    <w:rsid w:val="00B02F94"/>
    <w:rsid w:val="00B126A7"/>
    <w:rsid w:val="00B17CEE"/>
    <w:rsid w:val="00B20784"/>
    <w:rsid w:val="00B21220"/>
    <w:rsid w:val="00B22801"/>
    <w:rsid w:val="00B24A4C"/>
    <w:rsid w:val="00B252B4"/>
    <w:rsid w:val="00B27E33"/>
    <w:rsid w:val="00B33E38"/>
    <w:rsid w:val="00B4326E"/>
    <w:rsid w:val="00B73A10"/>
    <w:rsid w:val="00B86723"/>
    <w:rsid w:val="00B941A3"/>
    <w:rsid w:val="00B941AB"/>
    <w:rsid w:val="00B974A9"/>
    <w:rsid w:val="00BA2412"/>
    <w:rsid w:val="00BA7C4A"/>
    <w:rsid w:val="00BB0278"/>
    <w:rsid w:val="00BB554B"/>
    <w:rsid w:val="00BF73F3"/>
    <w:rsid w:val="00C00041"/>
    <w:rsid w:val="00C0423C"/>
    <w:rsid w:val="00C07A9F"/>
    <w:rsid w:val="00C15704"/>
    <w:rsid w:val="00C17395"/>
    <w:rsid w:val="00C23A87"/>
    <w:rsid w:val="00C344A1"/>
    <w:rsid w:val="00C468C3"/>
    <w:rsid w:val="00C50931"/>
    <w:rsid w:val="00C60359"/>
    <w:rsid w:val="00C61324"/>
    <w:rsid w:val="00C63EDB"/>
    <w:rsid w:val="00C66A8C"/>
    <w:rsid w:val="00C71423"/>
    <w:rsid w:val="00C77D66"/>
    <w:rsid w:val="00C849D4"/>
    <w:rsid w:val="00C858B2"/>
    <w:rsid w:val="00CA5843"/>
    <w:rsid w:val="00CA70DD"/>
    <w:rsid w:val="00CB16FF"/>
    <w:rsid w:val="00CB29BA"/>
    <w:rsid w:val="00CB2A01"/>
    <w:rsid w:val="00CB39C9"/>
    <w:rsid w:val="00CD21BA"/>
    <w:rsid w:val="00CD328F"/>
    <w:rsid w:val="00CD4295"/>
    <w:rsid w:val="00CD4F0F"/>
    <w:rsid w:val="00CD5295"/>
    <w:rsid w:val="00CD74BD"/>
    <w:rsid w:val="00CE0BFB"/>
    <w:rsid w:val="00CE0C36"/>
    <w:rsid w:val="00CE2CE5"/>
    <w:rsid w:val="00CF5224"/>
    <w:rsid w:val="00D0319E"/>
    <w:rsid w:val="00D10241"/>
    <w:rsid w:val="00D11BD4"/>
    <w:rsid w:val="00D30D95"/>
    <w:rsid w:val="00D31D50"/>
    <w:rsid w:val="00D33751"/>
    <w:rsid w:val="00D34922"/>
    <w:rsid w:val="00D35072"/>
    <w:rsid w:val="00D3536D"/>
    <w:rsid w:val="00D37D23"/>
    <w:rsid w:val="00D42DFD"/>
    <w:rsid w:val="00D4593C"/>
    <w:rsid w:val="00D476F9"/>
    <w:rsid w:val="00D51249"/>
    <w:rsid w:val="00D5218E"/>
    <w:rsid w:val="00D5491D"/>
    <w:rsid w:val="00D54FDC"/>
    <w:rsid w:val="00D57471"/>
    <w:rsid w:val="00D67754"/>
    <w:rsid w:val="00D7627A"/>
    <w:rsid w:val="00D763B7"/>
    <w:rsid w:val="00D8428B"/>
    <w:rsid w:val="00D92419"/>
    <w:rsid w:val="00DA20C2"/>
    <w:rsid w:val="00DA521E"/>
    <w:rsid w:val="00DA6344"/>
    <w:rsid w:val="00DB1998"/>
    <w:rsid w:val="00DB267C"/>
    <w:rsid w:val="00DC08E6"/>
    <w:rsid w:val="00DC09A0"/>
    <w:rsid w:val="00DC1A5A"/>
    <w:rsid w:val="00DC23CA"/>
    <w:rsid w:val="00DD1E41"/>
    <w:rsid w:val="00DD52AA"/>
    <w:rsid w:val="00DE103B"/>
    <w:rsid w:val="00DE145A"/>
    <w:rsid w:val="00DE39B7"/>
    <w:rsid w:val="00DF6EDD"/>
    <w:rsid w:val="00DF7361"/>
    <w:rsid w:val="00DF7E82"/>
    <w:rsid w:val="00E05633"/>
    <w:rsid w:val="00E210A0"/>
    <w:rsid w:val="00E328E5"/>
    <w:rsid w:val="00E342C9"/>
    <w:rsid w:val="00E37B32"/>
    <w:rsid w:val="00E42E54"/>
    <w:rsid w:val="00E4437E"/>
    <w:rsid w:val="00E51943"/>
    <w:rsid w:val="00E545D0"/>
    <w:rsid w:val="00E65FB9"/>
    <w:rsid w:val="00E73BDD"/>
    <w:rsid w:val="00E74D03"/>
    <w:rsid w:val="00E773E2"/>
    <w:rsid w:val="00E774C6"/>
    <w:rsid w:val="00E775F8"/>
    <w:rsid w:val="00E807D3"/>
    <w:rsid w:val="00E85118"/>
    <w:rsid w:val="00E85459"/>
    <w:rsid w:val="00E86AD3"/>
    <w:rsid w:val="00EA1489"/>
    <w:rsid w:val="00EA2655"/>
    <w:rsid w:val="00EB3586"/>
    <w:rsid w:val="00EC780B"/>
    <w:rsid w:val="00ED576C"/>
    <w:rsid w:val="00EE0CF8"/>
    <w:rsid w:val="00EE3A96"/>
    <w:rsid w:val="00EE50F7"/>
    <w:rsid w:val="00EF297D"/>
    <w:rsid w:val="00EF76FE"/>
    <w:rsid w:val="00F04234"/>
    <w:rsid w:val="00F047DC"/>
    <w:rsid w:val="00F070F5"/>
    <w:rsid w:val="00F11CB2"/>
    <w:rsid w:val="00F20187"/>
    <w:rsid w:val="00F21AAA"/>
    <w:rsid w:val="00F21F5B"/>
    <w:rsid w:val="00F234C6"/>
    <w:rsid w:val="00F24E77"/>
    <w:rsid w:val="00F24FA8"/>
    <w:rsid w:val="00F474DE"/>
    <w:rsid w:val="00F634A7"/>
    <w:rsid w:val="00F7443F"/>
    <w:rsid w:val="00F805F0"/>
    <w:rsid w:val="00F825A1"/>
    <w:rsid w:val="00F9041B"/>
    <w:rsid w:val="00F94E57"/>
    <w:rsid w:val="00F957A8"/>
    <w:rsid w:val="00F96EC9"/>
    <w:rsid w:val="00FA233C"/>
    <w:rsid w:val="00FA5448"/>
    <w:rsid w:val="00FA792A"/>
    <w:rsid w:val="00FB04F3"/>
    <w:rsid w:val="00FB07AF"/>
    <w:rsid w:val="00FB39AB"/>
    <w:rsid w:val="00FC1CBF"/>
    <w:rsid w:val="00FC73A4"/>
    <w:rsid w:val="00FD35EB"/>
    <w:rsid w:val="00FE0475"/>
    <w:rsid w:val="00FF00D9"/>
    <w:rsid w:val="00FF24E9"/>
    <w:rsid w:val="02C17743"/>
    <w:rsid w:val="03AC2408"/>
    <w:rsid w:val="09FF56E8"/>
    <w:rsid w:val="0D061CD4"/>
    <w:rsid w:val="0D637775"/>
    <w:rsid w:val="11E470A0"/>
    <w:rsid w:val="18024DC4"/>
    <w:rsid w:val="1C4E296B"/>
    <w:rsid w:val="1FF27F0A"/>
    <w:rsid w:val="2F505EBA"/>
    <w:rsid w:val="37D92952"/>
    <w:rsid w:val="437A0EFD"/>
    <w:rsid w:val="471B4F9C"/>
    <w:rsid w:val="498D2846"/>
    <w:rsid w:val="52C1180B"/>
    <w:rsid w:val="569A1942"/>
    <w:rsid w:val="573E6F54"/>
    <w:rsid w:val="5D6B5C61"/>
    <w:rsid w:val="5F763953"/>
    <w:rsid w:val="6F753C3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10">
    <w:name w:val="页眉 Char"/>
    <w:basedOn w:val="7"/>
    <w:link w:val="4"/>
    <w:qFormat/>
    <w:uiPriority w:val="99"/>
    <w:rPr>
      <w:rFonts w:ascii="Tahoma" w:hAnsi="Tahoma"/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rFonts w:ascii="Tahoma" w:hAnsi="Tahoma"/>
      <w:sz w:val="18"/>
      <w:szCs w:val="18"/>
    </w:rPr>
  </w:style>
  <w:style w:type="character" w:customStyle="1" w:styleId="12">
    <w:name w:val="apple-converted-space"/>
    <w:basedOn w:val="7"/>
    <w:qFormat/>
    <w:uiPriority w:val="0"/>
  </w:style>
  <w:style w:type="character" w:customStyle="1" w:styleId="13">
    <w:name w:val="批注框文本 Char"/>
    <w:basedOn w:val="7"/>
    <w:link w:val="2"/>
    <w:semiHidden/>
    <w:qFormat/>
    <w:uiPriority w:val="99"/>
    <w:rPr>
      <w:rFonts w:ascii="Tahoma" w:hAnsi="Tahoma"/>
      <w:sz w:val="18"/>
      <w:szCs w:val="18"/>
    </w:rPr>
  </w:style>
  <w:style w:type="paragraph" w:customStyle="1" w:styleId="14">
    <w:name w:val="Table Paragraph"/>
    <w:basedOn w:val="1"/>
    <w:qFormat/>
    <w:uiPriority w:val="1"/>
    <w:pPr>
      <w:widowControl w:val="0"/>
      <w:autoSpaceDE w:val="0"/>
      <w:autoSpaceDN w:val="0"/>
      <w:snapToGrid/>
      <w:spacing w:after="0"/>
    </w:pPr>
    <w:rPr>
      <w:rFonts w:ascii="Times New Roman" w:hAnsi="Times New Roman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398</Words>
  <Characters>2269</Characters>
  <Lines>18</Lines>
  <Paragraphs>5</Paragraphs>
  <TotalTime>5</TotalTime>
  <ScaleCrop>false</ScaleCrop>
  <LinksUpToDate>false</LinksUpToDate>
  <CharactersWithSpaces>2662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cp:lastPrinted>2021-06-03T04:20:00Z</cp:lastPrinted>
  <dcterms:modified xsi:type="dcterms:W3CDTF">2024-09-06T07:58:14Z</dcterms:modified>
  <cp:revision>389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048AEE60E7C840B2AF11B73D7D5F2800</vt:lpwstr>
  </property>
</Properties>
</file>