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关于代销苏银理财</w:t>
      </w:r>
      <w:r w:rsidR="001568B8">
        <w:rPr>
          <w:rFonts w:ascii="宋体" w:eastAsia="宋体" w:hAnsi="宋体" w:cs="宋体" w:hint="eastAsia"/>
          <w:b/>
          <w:bCs/>
          <w:sz w:val="36"/>
        </w:rPr>
        <w:t>恒源</w:t>
      </w:r>
      <w:r w:rsidR="003A7E55">
        <w:rPr>
          <w:rFonts w:ascii="宋体" w:eastAsia="宋体" w:hAnsi="宋体" w:cs="宋体" w:hint="eastAsia"/>
          <w:b/>
          <w:bCs/>
          <w:sz w:val="36"/>
        </w:rPr>
        <w:t>1年定开2期</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Default="0068015B">
      <w:pPr>
        <w:adjustRightInd/>
        <w:snapToGrid/>
        <w:spacing w:after="0"/>
        <w:ind w:firstLine="63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我行代销</w:t>
      </w:r>
      <w:r>
        <w:rPr>
          <w:rFonts w:ascii="仿宋_GB2312" w:eastAsia="仿宋_GB2312" w:hAnsi="微软雅黑" w:cs="宋体" w:hint="eastAsia"/>
          <w:color w:val="FF0000"/>
          <w:sz w:val="32"/>
          <w:szCs w:val="32"/>
        </w:rPr>
        <w:t>苏银理财有限责任公司</w:t>
      </w:r>
      <w:r>
        <w:rPr>
          <w:rFonts w:ascii="仿宋_GB2312" w:eastAsia="仿宋_GB2312" w:hAnsi="微软雅黑" w:cs="宋体" w:hint="eastAsia"/>
          <w:color w:val="000000"/>
          <w:sz w:val="32"/>
          <w:szCs w:val="32"/>
        </w:rPr>
        <w:t>发行的苏银理财</w:t>
      </w:r>
      <w:r w:rsidR="001568B8">
        <w:rPr>
          <w:rFonts w:ascii="仿宋_GB2312" w:eastAsia="仿宋_GB2312" w:hAnsi="微软雅黑" w:cs="宋体" w:hint="eastAsia"/>
          <w:color w:val="000000"/>
          <w:sz w:val="32"/>
          <w:szCs w:val="32"/>
        </w:rPr>
        <w:t>恒源</w:t>
      </w:r>
      <w:r w:rsidR="003A7E55">
        <w:rPr>
          <w:rFonts w:ascii="仿宋_GB2312" w:eastAsia="仿宋_GB2312" w:hAnsi="微软雅黑" w:cs="宋体" w:hint="eastAsia"/>
          <w:color w:val="000000"/>
          <w:sz w:val="32"/>
          <w:szCs w:val="32"/>
        </w:rPr>
        <w:t>1年定开2期</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BC76A8">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3A7E55">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r w:rsidR="003A7E55">
        <w:rPr>
          <w:rFonts w:ascii="仿宋_GB2312" w:eastAsia="仿宋_GB2312" w:hAnsi="微软雅黑" w:cs="宋体" w:hint="eastAsia"/>
          <w:color w:val="FF0000"/>
          <w:sz w:val="32"/>
          <w:szCs w:val="32"/>
        </w:rPr>
        <w:t>6</w:t>
      </w:r>
      <w:r>
        <w:rPr>
          <w:rFonts w:ascii="仿宋_GB2312" w:eastAsia="仿宋_GB2312" w:hAnsi="微软雅黑" w:cs="宋体" w:hint="eastAsia"/>
          <w:color w:val="FF0000"/>
          <w:sz w:val="32"/>
          <w:szCs w:val="32"/>
        </w:rPr>
        <w:t>日9:00</w:t>
      </w:r>
      <w:r>
        <w:rPr>
          <w:rFonts w:ascii="仿宋_GB2312" w:eastAsia="仿宋_GB2312" w:hAnsi="微软雅黑" w:cs="宋体" w:hint="eastAsia"/>
          <w:sz w:val="32"/>
          <w:szCs w:val="32"/>
        </w:rPr>
        <w:t>至</w:t>
      </w:r>
      <w:r>
        <w:rPr>
          <w:rFonts w:ascii="仿宋_GB2312" w:eastAsia="仿宋_GB2312" w:hAnsi="微软雅黑" w:cs="宋体" w:hint="eastAsia"/>
          <w:color w:val="FF0000"/>
          <w:sz w:val="32"/>
          <w:szCs w:val="32"/>
        </w:rPr>
        <w:t>202</w:t>
      </w:r>
      <w:r w:rsidR="00274452">
        <w:rPr>
          <w:rFonts w:ascii="仿宋_GB2312" w:eastAsia="仿宋_GB2312" w:hAnsi="微软雅黑" w:cs="宋体" w:hint="eastAsia"/>
          <w:color w:val="FF0000"/>
          <w:sz w:val="32"/>
          <w:szCs w:val="32"/>
        </w:rPr>
        <w:t>4</w:t>
      </w:r>
      <w:r>
        <w:rPr>
          <w:rFonts w:ascii="仿宋_GB2312" w:eastAsia="仿宋_GB2312" w:hAnsi="微软雅黑" w:cs="宋体" w:hint="eastAsia"/>
          <w:color w:val="FF0000"/>
          <w:sz w:val="32"/>
          <w:szCs w:val="32"/>
        </w:rPr>
        <w:t>年</w:t>
      </w:r>
      <w:r w:rsidR="003A7E55">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月</w:t>
      </w:r>
      <w:bookmarkStart w:id="0" w:name="_GoBack"/>
      <w:bookmarkEnd w:id="0"/>
      <w:r w:rsidR="003A7E55">
        <w:rPr>
          <w:rFonts w:ascii="仿宋_GB2312" w:eastAsia="仿宋_GB2312" w:hAnsi="微软雅黑" w:cs="宋体" w:hint="eastAsia"/>
          <w:color w:val="FF0000"/>
          <w:sz w:val="32"/>
          <w:szCs w:val="32"/>
        </w:rPr>
        <w:t>12</w:t>
      </w:r>
      <w:r w:rsidR="004935AB">
        <w:rPr>
          <w:rFonts w:ascii="仿宋_GB2312" w:eastAsia="仿宋_GB2312" w:hAnsi="微软雅黑" w:cs="宋体" w:hint="eastAsia"/>
          <w:color w:val="FF0000"/>
          <w:sz w:val="32"/>
          <w:szCs w:val="32"/>
        </w:rPr>
        <w:t>日</w:t>
      </w:r>
      <w:r>
        <w:rPr>
          <w:rFonts w:ascii="仿宋_GB2312" w:eastAsia="仿宋_GB2312" w:hAnsi="微软雅黑" w:cs="宋体" w:hint="eastAsia"/>
          <w:color w:val="FF0000"/>
          <w:sz w:val="32"/>
          <w:szCs w:val="32"/>
        </w:rPr>
        <w:t>17:00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795469">
        <w:rPr>
          <w:rFonts w:ascii="仿宋_GB2312" w:eastAsia="仿宋_GB2312" w:hAnsi="微软雅黑" w:cs="宋体" w:hint="eastAsia"/>
          <w:b/>
          <w:color w:val="FF0000"/>
          <w:sz w:val="32"/>
          <w:szCs w:val="32"/>
        </w:rPr>
        <w:t>、</w:t>
      </w:r>
      <w:r w:rsidR="00686D38">
        <w:rPr>
          <w:rFonts w:ascii="仿宋_GB2312" w:eastAsia="仿宋_GB2312" w:hAnsi="微软雅黑" w:cs="宋体" w:hint="eastAsia"/>
          <w:b/>
          <w:color w:val="FF0000"/>
          <w:sz w:val="32"/>
          <w:szCs w:val="32"/>
        </w:rPr>
        <w:t>柜面</w:t>
      </w:r>
      <w:r w:rsidR="003047C4" w:rsidRPr="003047C4">
        <w:rPr>
          <w:rFonts w:ascii="仿宋_GB2312" w:eastAsia="仿宋_GB2312" w:hAnsi="微软雅黑" w:cs="宋体" w:hint="eastAsia"/>
          <w:b/>
          <w:sz w:val="32"/>
          <w:szCs w:val="32"/>
        </w:rPr>
        <w:t>等</w:t>
      </w:r>
      <w:r w:rsidR="00686D38">
        <w:rPr>
          <w:rFonts w:ascii="仿宋_GB2312" w:eastAsia="仿宋_GB2312" w:hAnsi="微软雅黑" w:cs="宋体" w:hint="eastAsia"/>
          <w:color w:val="000000"/>
          <w:sz w:val="32"/>
          <w:szCs w:val="32"/>
        </w:rPr>
        <w:t>销售</w:t>
      </w:r>
      <w:r>
        <w:rPr>
          <w:rFonts w:ascii="仿宋_GB2312" w:eastAsia="仿宋_GB2312" w:hAnsi="微软雅黑" w:cs="宋体" w:hint="eastAsia"/>
          <w:color w:val="000000"/>
          <w:sz w:val="32"/>
          <w:szCs w:val="32"/>
        </w:rPr>
        <w:t>。</w:t>
      </w:r>
      <w:r w:rsidR="00686D38" w:rsidRPr="00686D38">
        <w:rPr>
          <w:rFonts w:ascii="仿宋_GB2312" w:eastAsia="仿宋_GB2312" w:hAnsi="微软雅黑" w:cs="宋体" w:hint="eastAsia"/>
          <w:color w:val="000000"/>
          <w:sz w:val="32"/>
          <w:szCs w:val="32"/>
        </w:rPr>
        <w:t>销售服务费率： 0.30%/年，</w:t>
      </w:r>
      <w:r>
        <w:rPr>
          <w:rFonts w:ascii="仿宋_GB2312" w:eastAsia="仿宋_GB2312" w:hAnsi="微软雅黑" w:cs="宋体" w:hint="eastAsia"/>
          <w:color w:val="000000"/>
          <w:sz w:val="32"/>
          <w:szCs w:val="32"/>
        </w:rPr>
        <w:t>部分要素如下：</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2279"/>
        <w:gridCol w:w="6616"/>
      </w:tblGrid>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1"/>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产品名称</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苏银理财恒源1年定开2期</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0"/>
              <w:ind w:left="55"/>
              <w:jc w:val="both"/>
              <w:rPr>
                <w:rFonts w:ascii="楷体" w:eastAsia="楷体" w:hAnsi="楷体" w:cs="宋体"/>
                <w:b/>
                <w:spacing w:val="-2"/>
                <w:sz w:val="21"/>
                <w:szCs w:val="21"/>
              </w:rPr>
            </w:pPr>
            <w:r>
              <w:rPr>
                <w:rFonts w:ascii="楷体" w:eastAsia="楷体" w:hAnsi="楷体" w:cs="宋体" w:hint="eastAsia"/>
                <w:b/>
                <w:spacing w:val="-2"/>
                <w:sz w:val="21"/>
                <w:szCs w:val="21"/>
              </w:rPr>
              <w:t>理财产品登记编码</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3"/>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Z7003121000006</w:t>
            </w:r>
          </w:p>
          <w:p w:rsidR="003A7E55" w:rsidRDefault="003A7E55" w:rsidP="003A7E55">
            <w:pPr>
              <w:pStyle w:val="TableParagraph"/>
              <w:kinsoku w:val="0"/>
              <w:overflowPunct w:val="0"/>
              <w:ind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（投资者可依据该编码在中国</w:t>
            </w:r>
            <w:proofErr w:type="gramStart"/>
            <w:r>
              <w:rPr>
                <w:rFonts w:ascii="楷体" w:eastAsia="楷体" w:hAnsi="楷体" w:cs="宋体" w:hint="eastAsia"/>
                <w:spacing w:val="-2"/>
                <w:sz w:val="21"/>
                <w:szCs w:val="21"/>
              </w:rPr>
              <w:t>理财网</w:t>
            </w:r>
            <w:proofErr w:type="gramEnd"/>
            <w:r>
              <w:rPr>
                <w:rFonts w:ascii="楷体" w:eastAsia="楷体" w:hAnsi="楷体" w:cs="宋体"/>
                <w:spacing w:val="-2"/>
                <w:sz w:val="21"/>
                <w:szCs w:val="21"/>
              </w:rPr>
              <w:fldChar w:fldCharType="begin"/>
            </w:r>
            <w:r>
              <w:rPr>
                <w:rFonts w:ascii="楷体" w:eastAsia="楷体" w:hAnsi="楷体" w:cs="宋体"/>
                <w:spacing w:val="-2"/>
                <w:sz w:val="21"/>
                <w:szCs w:val="21"/>
              </w:rPr>
              <w:instrText xml:space="preserve"> HYPERLINK "http://www.chinawealth.com.cn/" </w:instrText>
            </w:r>
            <w:r>
              <w:rPr>
                <w:rFonts w:ascii="楷体" w:eastAsia="楷体" w:hAnsi="楷体" w:cs="宋体"/>
                <w:spacing w:val="-2"/>
                <w:sz w:val="21"/>
                <w:szCs w:val="21"/>
              </w:rPr>
              <w:fldChar w:fldCharType="separate"/>
            </w:r>
            <w:r>
              <w:rPr>
                <w:rStyle w:val="a8"/>
                <w:rFonts w:ascii="楷体" w:eastAsia="楷体" w:hAnsi="楷体" w:cs="宋体" w:hint="eastAsia"/>
                <w:spacing w:val="-2"/>
                <w:sz w:val="21"/>
                <w:szCs w:val="21"/>
              </w:rPr>
              <w:t>www.chinawealth.com.cn</w:t>
            </w:r>
            <w:r>
              <w:rPr>
                <w:rFonts w:ascii="楷体" w:eastAsia="楷体" w:hAnsi="楷体" w:cs="宋体"/>
                <w:spacing w:val="-2"/>
                <w:sz w:val="21"/>
                <w:szCs w:val="21"/>
              </w:rPr>
              <w:fldChar w:fldCharType="end"/>
            </w:r>
            <w:r>
              <w:rPr>
                <w:rFonts w:ascii="楷体" w:eastAsia="楷体" w:hAnsi="楷体" w:cs="宋体" w:hint="eastAsia"/>
                <w:spacing w:val="-2"/>
                <w:sz w:val="21"/>
                <w:szCs w:val="21"/>
              </w:rPr>
              <w:t>查询产品信息）</w:t>
            </w:r>
          </w:p>
        </w:tc>
      </w:tr>
      <w:tr w:rsidR="003A7E55" w:rsidTr="003A7E55">
        <w:trPr>
          <w:trHeight w:val="1449"/>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销售简称/销售代码</w:t>
            </w:r>
          </w:p>
        </w:tc>
        <w:tc>
          <w:tcPr>
            <w:tcW w:w="6616" w:type="dxa"/>
            <w:tcBorders>
              <w:top w:val="single" w:sz="4" w:space="0" w:color="auto"/>
              <w:left w:val="single" w:sz="4" w:space="0" w:color="auto"/>
              <w:bottom w:val="single" w:sz="4" w:space="0" w:color="auto"/>
              <w:right w:val="single" w:sz="4" w:space="0" w:color="auto"/>
            </w:tcBorders>
            <w:vAlign w:val="center"/>
          </w:tcPr>
          <w:p w:rsidR="003A7E55" w:rsidRDefault="003A7E55" w:rsidP="003A7E55">
            <w:pPr>
              <w:pStyle w:val="TableParagraph"/>
              <w:kinsoku w:val="0"/>
              <w:overflowPunct w:val="0"/>
              <w:ind w:rightChars="35" w:right="77"/>
              <w:jc w:val="both"/>
              <w:rPr>
                <w:rFonts w:ascii="楷体" w:eastAsia="楷体" w:hAnsi="楷体" w:cs="宋体"/>
                <w:spacing w:val="-2"/>
                <w:sz w:val="16"/>
                <w:szCs w:val="16"/>
              </w:rPr>
            </w:pPr>
          </w:p>
          <w:tbl>
            <w:tblPr>
              <w:tblStyle w:val="aa"/>
              <w:tblW w:w="0" w:type="auto"/>
              <w:jc w:val="center"/>
              <w:tblLayout w:type="fixed"/>
              <w:tblLook w:val="04A0"/>
            </w:tblPr>
            <w:tblGrid>
              <w:gridCol w:w="850"/>
              <w:gridCol w:w="3855"/>
              <w:gridCol w:w="1474"/>
            </w:tblGrid>
            <w:tr w:rsidR="003A7E55">
              <w:trPr>
                <w:trHeight w:val="90"/>
                <w:jc w:val="center"/>
              </w:trPr>
              <w:tc>
                <w:tcPr>
                  <w:tcW w:w="850"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855"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销售简称</w:t>
                  </w:r>
                </w:p>
              </w:tc>
              <w:tc>
                <w:tcPr>
                  <w:tcW w:w="1474"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销售代码</w:t>
                  </w:r>
                </w:p>
              </w:tc>
            </w:tr>
            <w:tr w:rsidR="003A7E55">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苏银理财恒源1年定开2期A</w:t>
                  </w:r>
                </w:p>
              </w:tc>
              <w:tc>
                <w:tcPr>
                  <w:tcW w:w="1474" w:type="dxa"/>
                  <w:tcBorders>
                    <w:top w:val="single" w:sz="4" w:space="0" w:color="auto"/>
                    <w:left w:val="single" w:sz="4" w:space="0" w:color="auto"/>
                    <w:bottom w:val="single" w:sz="4" w:space="0" w:color="auto"/>
                    <w:right w:val="single" w:sz="4" w:space="0" w:color="auto"/>
                  </w:tcBorders>
                  <w:vAlign w:val="bottom"/>
                  <w:hideMark/>
                </w:tcPr>
                <w:p w:rsidR="003A7E55" w:rsidRDefault="003A7E55">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JSA000000129</w:t>
                  </w:r>
                </w:p>
              </w:tc>
            </w:tr>
            <w:tr w:rsidR="003A7E55">
              <w:trPr>
                <w:trHeight w:val="23"/>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3855"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苏银理财恒源1年定开2期B</w:t>
                  </w:r>
                </w:p>
              </w:tc>
              <w:tc>
                <w:tcPr>
                  <w:tcW w:w="1474" w:type="dxa"/>
                  <w:tcBorders>
                    <w:top w:val="single" w:sz="4" w:space="0" w:color="auto"/>
                    <w:left w:val="single" w:sz="4" w:space="0" w:color="auto"/>
                    <w:bottom w:val="single" w:sz="4" w:space="0" w:color="auto"/>
                    <w:right w:val="single" w:sz="4" w:space="0" w:color="auto"/>
                  </w:tcBorders>
                  <w:vAlign w:val="bottom"/>
                  <w:hideMark/>
                </w:tcPr>
                <w:p w:rsidR="003A7E55" w:rsidRDefault="003A7E55">
                  <w:pPr>
                    <w:spacing w:line="0" w:lineRule="atLeast"/>
                    <w:jc w:val="center"/>
                    <w:textAlignment w:val="bottom"/>
                    <w:rPr>
                      <w:rFonts w:ascii="楷体" w:eastAsia="楷体" w:hAnsi="楷体" w:cs="宋体"/>
                      <w:spacing w:val="-2"/>
                      <w:sz w:val="18"/>
                      <w:szCs w:val="18"/>
                    </w:rPr>
                  </w:pPr>
                  <w:r>
                    <w:rPr>
                      <w:rFonts w:ascii="楷体" w:eastAsia="楷体" w:hAnsi="楷体" w:cs="宋体" w:hint="eastAsia"/>
                      <w:spacing w:val="-2"/>
                      <w:sz w:val="18"/>
                      <w:szCs w:val="18"/>
                    </w:rPr>
                    <w:t>JSA000000130</w:t>
                  </w:r>
                </w:p>
              </w:tc>
            </w:tr>
          </w:tbl>
          <w:p w:rsidR="003A7E55" w:rsidRDefault="003A7E55" w:rsidP="003A7E55">
            <w:pPr>
              <w:pStyle w:val="TableParagraph"/>
              <w:kinsoku w:val="0"/>
              <w:overflowPunct w:val="0"/>
              <w:spacing w:before="12"/>
              <w:ind w:rightChars="35" w:right="77"/>
              <w:jc w:val="both"/>
              <w:rPr>
                <w:rFonts w:ascii="楷体" w:eastAsia="楷体" w:hAnsi="楷体" w:cs="宋体"/>
                <w:spacing w:val="-2"/>
                <w:sz w:val="21"/>
                <w:szCs w:val="21"/>
              </w:rPr>
            </w:pP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产品管理人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苏银理财有限责任公司</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产品托管人</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江苏银行股份有限公司</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产品内部风险评级</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3"/>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1、★★二级，</w:t>
            </w:r>
            <w:r>
              <w:rPr>
                <w:rFonts w:ascii="楷体" w:eastAsia="楷体" w:hAnsi="楷体" w:cs="宋体" w:hint="eastAsia"/>
                <w:spacing w:val="-2"/>
                <w:sz w:val="21"/>
                <w:szCs w:val="21"/>
              </w:rPr>
              <w:t>本评级为苏银理财有限责任公司内部评级，由苏银理财根据理财产品的投资组合、同类产品过往业绩和风险状况等因素，对理财产品进行评级，仅供客户参考。</w:t>
            </w:r>
          </w:p>
          <w:p w:rsidR="003A7E55" w:rsidRDefault="003A7E55" w:rsidP="003A7E55">
            <w:pPr>
              <w:pStyle w:val="TableParagraph"/>
              <w:kinsoku w:val="0"/>
              <w:overflowPunct w:val="0"/>
              <w:spacing w:before="13"/>
              <w:ind w:left="59" w:rightChars="35" w:right="77"/>
              <w:jc w:val="both"/>
              <w:rPr>
                <w:rFonts w:ascii="楷体" w:eastAsia="楷体" w:hAnsi="楷体" w:cs="宋体" w:hint="eastAsia"/>
                <w:spacing w:val="-2"/>
                <w:sz w:val="21"/>
                <w:szCs w:val="21"/>
              </w:rPr>
            </w:pPr>
            <w:r>
              <w:rPr>
                <w:rFonts w:ascii="楷体" w:eastAsia="楷体" w:hAnsi="楷体" w:cs="宋体" w:hint="eastAsia"/>
                <w:spacing w:val="-2"/>
                <w:sz w:val="21"/>
                <w:szCs w:val="21"/>
              </w:rPr>
              <w:t>2、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p>
          <w:p w:rsidR="003A7E55" w:rsidRDefault="003A7E55" w:rsidP="003A7E55">
            <w:pPr>
              <w:pStyle w:val="TableParagraph"/>
              <w:kinsoku w:val="0"/>
              <w:overflowPunct w:val="0"/>
              <w:spacing w:before="13"/>
              <w:ind w:left="59" w:rightChars="35" w:right="77"/>
              <w:jc w:val="both"/>
              <w:rPr>
                <w:rFonts w:ascii="楷体" w:eastAsia="楷体" w:hAnsi="楷体" w:cs="宋体" w:hint="eastAsia"/>
                <w:b/>
                <w:spacing w:val="-2"/>
                <w:sz w:val="21"/>
                <w:szCs w:val="21"/>
                <w:u w:val="single"/>
              </w:rPr>
            </w:pPr>
            <w:r>
              <w:rPr>
                <w:rFonts w:ascii="楷体" w:eastAsia="楷体" w:hAnsi="楷体" w:cs="宋体" w:hint="eastAsia"/>
                <w:b/>
                <w:spacing w:val="-2"/>
                <w:sz w:val="21"/>
                <w:szCs w:val="21"/>
                <w:u w:val="single"/>
              </w:rPr>
              <w:t>3、如本产品通过代理销售机构渠道销售，理财产品评级以代理销售机构最终披露的评级结果为准。</w:t>
            </w:r>
          </w:p>
          <w:p w:rsidR="003A7E55" w:rsidRPr="003A7E55" w:rsidRDefault="003A7E55" w:rsidP="003A7E55">
            <w:pPr>
              <w:rPr>
                <w:rFonts w:ascii="仿宋" w:eastAsia="仿宋" w:hAnsi="仿宋"/>
                <w:b/>
                <w:color w:val="FF0000"/>
              </w:rPr>
            </w:pPr>
            <w:r>
              <w:rPr>
                <w:rFonts w:ascii="仿宋" w:eastAsia="仿宋" w:hAnsi="仿宋" w:hint="eastAsia"/>
                <w:b/>
                <w:color w:val="FF0000"/>
              </w:rPr>
              <w:t>4、紫金农商银行对本产品的风险评级为中低风险。</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净值型（非保本浮动收益）</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产品类型</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b/>
                <w:spacing w:val="-2"/>
                <w:sz w:val="21"/>
                <w:szCs w:val="21"/>
                <w:u w:val="single"/>
              </w:rPr>
            </w:pPr>
            <w:r>
              <w:rPr>
                <w:rFonts w:ascii="楷体" w:eastAsia="楷体" w:hAnsi="楷体" w:cs="宋体" w:hint="eastAsia"/>
                <w:b/>
                <w:spacing w:val="-2"/>
                <w:sz w:val="21"/>
                <w:szCs w:val="21"/>
                <w:u w:val="single"/>
              </w:rPr>
              <w:t>固定收益类、公募、开放式</w:t>
            </w:r>
          </w:p>
        </w:tc>
      </w:tr>
      <w:tr w:rsidR="003A7E55" w:rsidTr="003A7E55">
        <w:trPr>
          <w:trHeight w:val="713"/>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销售对象</w:t>
            </w:r>
          </w:p>
        </w:tc>
        <w:tc>
          <w:tcPr>
            <w:tcW w:w="6616" w:type="dxa"/>
            <w:tcBorders>
              <w:top w:val="single" w:sz="4" w:space="0" w:color="auto"/>
              <w:left w:val="single" w:sz="4" w:space="0" w:color="auto"/>
              <w:bottom w:val="single" w:sz="4" w:space="0" w:color="auto"/>
              <w:right w:val="single" w:sz="4" w:space="0" w:color="auto"/>
            </w:tcBorders>
            <w:vAlign w:val="center"/>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p>
          <w:tbl>
            <w:tblPr>
              <w:tblStyle w:val="aa"/>
              <w:tblW w:w="0" w:type="auto"/>
              <w:jc w:val="center"/>
              <w:tblLayout w:type="fixed"/>
              <w:tblLook w:val="04A0"/>
            </w:tblPr>
            <w:tblGrid>
              <w:gridCol w:w="850"/>
              <w:gridCol w:w="5159"/>
            </w:tblGrid>
            <w:tr w:rsidR="003A7E55">
              <w:trPr>
                <w:jc w:val="center"/>
              </w:trPr>
              <w:tc>
                <w:tcPr>
                  <w:tcW w:w="850"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5159"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销售对象</w:t>
                  </w:r>
                </w:p>
              </w:tc>
            </w:tr>
            <w:tr w:rsidR="003A7E55">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5159"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r w:rsidR="003A7E55">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5159"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both"/>
                    <w:rPr>
                      <w:rFonts w:ascii="楷体" w:eastAsia="楷体" w:hAnsi="楷体" w:cs="宋体"/>
                      <w:spacing w:val="-2"/>
                      <w:sz w:val="18"/>
                      <w:szCs w:val="18"/>
                    </w:rPr>
                  </w:pPr>
                  <w:r>
                    <w:rPr>
                      <w:rFonts w:ascii="楷体" w:eastAsia="楷体" w:hAnsi="楷体" w:cs="宋体" w:hint="eastAsia"/>
                      <w:spacing w:val="-2"/>
                      <w:sz w:val="18"/>
                      <w:szCs w:val="18"/>
                    </w:rPr>
                    <w:t>面向个人和机构投资者销售</w:t>
                  </w:r>
                </w:p>
              </w:tc>
            </w:tr>
          </w:tbl>
          <w:p w:rsidR="003A7E55" w:rsidRDefault="003A7E55" w:rsidP="003A7E55">
            <w:pPr>
              <w:pStyle w:val="TableParagraph"/>
              <w:kinsoku w:val="0"/>
              <w:overflowPunct w:val="0"/>
              <w:spacing w:before="12"/>
              <w:ind w:rightChars="35" w:right="77"/>
              <w:jc w:val="both"/>
              <w:rPr>
                <w:rFonts w:ascii="楷体" w:eastAsia="楷体" w:hAnsi="楷体" w:cs="宋体"/>
                <w:spacing w:val="-2"/>
                <w:sz w:val="21"/>
                <w:szCs w:val="21"/>
                <w:highlight w:val="yellow"/>
              </w:rPr>
            </w:pP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募集币种</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人民币</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投资周期</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4"/>
              <w:ind w:left="59" w:rightChars="35" w:right="77"/>
              <w:jc w:val="both"/>
              <w:rPr>
                <w:rFonts w:ascii="楷体" w:eastAsia="楷体" w:hAnsi="楷体" w:cs="宋体"/>
                <w:b/>
                <w:spacing w:val="-2"/>
                <w:sz w:val="21"/>
                <w:szCs w:val="21"/>
              </w:rPr>
            </w:pPr>
            <w:r>
              <w:rPr>
                <w:rFonts w:ascii="楷体" w:eastAsia="楷体" w:hAnsi="楷体" w:cs="宋体" w:hint="eastAsia"/>
                <w:spacing w:val="-2"/>
                <w:sz w:val="21"/>
                <w:szCs w:val="21"/>
              </w:rPr>
              <w:t>12个月</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计划发行规模</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首个投资周期计划发行规模10亿元，募集过程中管理人有权根据产品的募集情况调整计划发行规模。后续开放期内管理人将根据客户申购/赎回情况调整产品发行规模。</w:t>
            </w:r>
          </w:p>
        </w:tc>
      </w:tr>
      <w:tr w:rsidR="003A7E55" w:rsidTr="003A7E55">
        <w:trPr>
          <w:trHeight w:val="1975"/>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认购起点/追加金额</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850"/>
              <w:gridCol w:w="2268"/>
              <w:gridCol w:w="2268"/>
            </w:tblGrid>
            <w:tr w:rsidR="003A7E55">
              <w:trPr>
                <w:jc w:val="center"/>
              </w:trPr>
              <w:tc>
                <w:tcPr>
                  <w:tcW w:w="850"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认购起点</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追加金额</w:t>
                  </w:r>
                </w:p>
              </w:tc>
            </w:tr>
            <w:tr w:rsidR="003A7E55">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100元</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100元的整数</w:t>
                  </w:r>
                  <w:proofErr w:type="gramStart"/>
                  <w:r>
                    <w:rPr>
                      <w:rFonts w:ascii="楷体" w:eastAsia="楷体" w:hAnsi="楷体" w:hint="eastAsia"/>
                      <w:sz w:val="18"/>
                      <w:szCs w:val="18"/>
                    </w:rPr>
                    <w:t>倍</w:t>
                  </w:r>
                  <w:proofErr w:type="gramEnd"/>
                </w:p>
              </w:tc>
            </w:tr>
            <w:tr w:rsidR="003A7E55">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B份额</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200,000元</w:t>
                  </w:r>
                </w:p>
              </w:tc>
              <w:tc>
                <w:tcPr>
                  <w:tcW w:w="2268"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hint="eastAsia"/>
                      <w:sz w:val="18"/>
                      <w:szCs w:val="18"/>
                    </w:rPr>
                    <w:t>10,000元的整数</w:t>
                  </w:r>
                  <w:proofErr w:type="gramStart"/>
                  <w:r>
                    <w:rPr>
                      <w:rFonts w:ascii="楷体" w:eastAsia="楷体" w:hAnsi="楷体" w:hint="eastAsia"/>
                      <w:sz w:val="18"/>
                      <w:szCs w:val="18"/>
                    </w:rPr>
                    <w:t>倍</w:t>
                  </w:r>
                  <w:proofErr w:type="gramEnd"/>
                </w:p>
              </w:tc>
            </w:tr>
          </w:tbl>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cs="楷体" w:hint="eastAsia"/>
                <w:szCs w:val="21"/>
              </w:rPr>
              <w:t>认购起点/追加金额具体以销售机构设置为准。</w:t>
            </w:r>
            <w:r>
              <w:rPr>
                <w:rFonts w:ascii="楷体" w:eastAsia="楷体" w:hAnsi="楷体" w:hint="eastAsia"/>
                <w:szCs w:val="21"/>
              </w:rPr>
              <w:t>认购资金的清算和认购份额的计算详见产品说明书“八、产品认购”。</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份额面值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1元/份</w:t>
            </w:r>
          </w:p>
        </w:tc>
      </w:tr>
      <w:tr w:rsidR="003A7E55" w:rsidTr="003A7E55">
        <w:trPr>
          <w:trHeight w:val="1852"/>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3"/>
              <w:ind w:left="55"/>
              <w:jc w:val="both"/>
              <w:rPr>
                <w:rFonts w:ascii="楷体" w:eastAsia="楷体" w:hAnsi="楷体" w:cs="宋体"/>
                <w:b/>
                <w:spacing w:val="-2"/>
                <w:sz w:val="21"/>
                <w:szCs w:val="21"/>
              </w:rPr>
            </w:pPr>
            <w:r>
              <w:rPr>
                <w:rFonts w:ascii="楷体" w:eastAsia="楷体" w:hAnsi="楷体" w:cs="宋体" w:hint="eastAsia"/>
                <w:b/>
                <w:spacing w:val="-2"/>
                <w:sz w:val="21"/>
                <w:szCs w:val="21"/>
              </w:rPr>
              <w:t>募集期</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742"/>
            </w:tblGrid>
            <w:tr w:rsidR="003A7E55">
              <w:trPr>
                <w:jc w:val="center"/>
              </w:trPr>
              <w:tc>
                <w:tcPr>
                  <w:tcW w:w="2252"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742"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募集期</w:t>
                  </w:r>
                </w:p>
              </w:tc>
            </w:tr>
            <w:tr w:rsidR="003A7E55">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742"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2021年2月19日9:00至2021年2月25日17:00</w:t>
                  </w:r>
                </w:p>
              </w:tc>
            </w:tr>
          </w:tbl>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管理人在法律允许的范围内保留延长或提前终止产品募集期的权利。如有变动，实际产品募集期以管理人公告或各销售机构设置的募集时间为准。</w:t>
            </w:r>
          </w:p>
        </w:tc>
      </w:tr>
      <w:tr w:rsidR="003A7E55" w:rsidTr="003A7E55">
        <w:trPr>
          <w:trHeight w:val="2389"/>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产品成立日/份额登记日</w:t>
            </w:r>
          </w:p>
        </w:tc>
        <w:tc>
          <w:tcPr>
            <w:tcW w:w="6616" w:type="dxa"/>
            <w:tcBorders>
              <w:top w:val="single" w:sz="4" w:space="0" w:color="auto"/>
              <w:left w:val="single" w:sz="4" w:space="0" w:color="auto"/>
              <w:bottom w:val="single" w:sz="4" w:space="0" w:color="auto"/>
              <w:right w:val="single" w:sz="4" w:space="0" w:color="auto"/>
            </w:tcBorders>
            <w:vAlign w:val="center"/>
            <w:hideMark/>
          </w:tcPr>
          <w:tbl>
            <w:tblPr>
              <w:tblStyle w:val="aa"/>
              <w:tblW w:w="0" w:type="auto"/>
              <w:jc w:val="center"/>
              <w:tblLayout w:type="fixed"/>
              <w:tblLook w:val="04A0"/>
            </w:tblPr>
            <w:tblGrid>
              <w:gridCol w:w="2252"/>
              <w:gridCol w:w="3646"/>
            </w:tblGrid>
            <w:tr w:rsidR="003A7E55">
              <w:trPr>
                <w:jc w:val="center"/>
              </w:trPr>
              <w:tc>
                <w:tcPr>
                  <w:tcW w:w="2252"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3646"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产品成立日/份额登记日</w:t>
                  </w:r>
                </w:p>
              </w:tc>
            </w:tr>
            <w:tr w:rsidR="003A7E55">
              <w:trPr>
                <w:trHeight w:val="320"/>
                <w:jc w:val="center"/>
              </w:trPr>
              <w:tc>
                <w:tcPr>
                  <w:tcW w:w="2252"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textAlignment w:val="center"/>
                    <w:rPr>
                      <w:rFonts w:ascii="楷体" w:eastAsia="楷体" w:hAnsi="楷体" w:cs="宋体"/>
                      <w:spacing w:val="-2"/>
                      <w:kern w:val="2"/>
                      <w:sz w:val="18"/>
                      <w:szCs w:val="18"/>
                    </w:rPr>
                  </w:pPr>
                  <w:r>
                    <w:rPr>
                      <w:rFonts w:ascii="楷体" w:eastAsia="楷体" w:hAnsi="楷体" w:cs="楷体" w:hint="eastAsia"/>
                      <w:color w:val="000000"/>
                      <w:sz w:val="18"/>
                      <w:szCs w:val="18"/>
                      <w:lang/>
                    </w:rPr>
                    <w:t>A份额、B份额</w:t>
                  </w:r>
                </w:p>
              </w:tc>
              <w:tc>
                <w:tcPr>
                  <w:tcW w:w="364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spacing w:val="-2"/>
                      <w:sz w:val="18"/>
                      <w:szCs w:val="18"/>
                    </w:rPr>
                  </w:pPr>
                  <w:r>
                    <w:rPr>
                      <w:rFonts w:ascii="楷体" w:eastAsia="楷体" w:hAnsi="楷体" w:cs="宋体" w:hint="eastAsia"/>
                      <w:spacing w:val="-2"/>
                      <w:sz w:val="18"/>
                      <w:szCs w:val="18"/>
                    </w:rPr>
                    <w:t>2021年2月26日</w:t>
                  </w:r>
                </w:p>
              </w:tc>
            </w:tr>
          </w:tbl>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若产品认购份额未达到最低发行总规模3000万元，或新的法律、法规导致本产品无法合法合</w:t>
            </w:r>
            <w:proofErr w:type="gramStart"/>
            <w:r>
              <w:rPr>
                <w:rFonts w:ascii="楷体" w:eastAsia="楷体" w:hAnsi="楷体" w:cs="宋体" w:hint="eastAsia"/>
                <w:spacing w:val="-2"/>
                <w:sz w:val="21"/>
                <w:szCs w:val="21"/>
              </w:rPr>
              <w:t>规</w:t>
            </w:r>
            <w:proofErr w:type="gramEnd"/>
            <w:r>
              <w:rPr>
                <w:rFonts w:ascii="楷体" w:eastAsia="楷体" w:hAnsi="楷体" w:cs="宋体" w:hint="eastAsia"/>
                <w:spacing w:val="-2"/>
                <w:sz w:val="21"/>
                <w:szCs w:val="21"/>
              </w:rPr>
              <w:t>运行，或出现其他导致影响产品成立的不可抗力因素，产品管理人有权利但无义务宣布产品不成立，并于产品募集期结束后5个工作日内将投资者认购资金返还至投资者资金账户，募集期及资金在途期间投资者投资本金不计息。</w:t>
            </w:r>
          </w:p>
        </w:tc>
      </w:tr>
      <w:tr w:rsidR="003A7E55" w:rsidTr="003A7E55">
        <w:trPr>
          <w:trHeight w:val="1120"/>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产品到期日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2041年2月26日（如遇节假日，顺延至下一工作日）</w:t>
            </w:r>
          </w:p>
          <w:p w:rsidR="003A7E55" w:rsidRDefault="003A7E55" w:rsidP="003A7E55">
            <w:pPr>
              <w:pStyle w:val="TableParagraph"/>
              <w:kinsoku w:val="0"/>
              <w:overflowPunct w:val="0"/>
              <w:spacing w:before="12"/>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在符合本理财产品说明书约定的条件下，管理人有权提前终止该产品，产品到期日受制于提前终止条款。详见产品说明书“十二、产品的终止与清算”。</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开放计划</w:t>
            </w:r>
          </w:p>
        </w:tc>
        <w:tc>
          <w:tcPr>
            <w:tcW w:w="6616" w:type="dxa"/>
            <w:tcBorders>
              <w:top w:val="single" w:sz="4" w:space="0" w:color="auto"/>
              <w:left w:val="single" w:sz="4" w:space="0" w:color="auto"/>
              <w:bottom w:val="single" w:sz="4" w:space="0" w:color="auto"/>
              <w:right w:val="single" w:sz="4" w:space="0" w:color="auto"/>
            </w:tcBorders>
            <w:vAlign w:val="center"/>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20"/>
                <w:szCs w:val="20"/>
              </w:rPr>
            </w:pPr>
          </w:p>
          <w:tbl>
            <w:tblPr>
              <w:tblStyle w:val="aa"/>
              <w:tblW w:w="0" w:type="auto"/>
              <w:jc w:val="center"/>
              <w:tblLayout w:type="fixed"/>
              <w:tblLook w:val="04A0"/>
            </w:tblPr>
            <w:tblGrid>
              <w:gridCol w:w="1531"/>
              <w:gridCol w:w="4706"/>
            </w:tblGrid>
            <w:tr w:rsidR="003A7E55">
              <w:trPr>
                <w:jc w:val="center"/>
              </w:trPr>
              <w:tc>
                <w:tcPr>
                  <w:tcW w:w="1531"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份额</w:t>
                  </w:r>
                </w:p>
              </w:tc>
              <w:tc>
                <w:tcPr>
                  <w:tcW w:w="4706" w:type="dxa"/>
                  <w:tcBorders>
                    <w:top w:val="single" w:sz="4" w:space="0" w:color="auto"/>
                    <w:left w:val="single" w:sz="4" w:space="0" w:color="auto"/>
                    <w:bottom w:val="single" w:sz="4" w:space="0" w:color="auto"/>
                    <w:right w:val="single" w:sz="4" w:space="0" w:color="auto"/>
                  </w:tcBorders>
                  <w:hideMark/>
                </w:tcPr>
                <w:p w:rsidR="003A7E55" w:rsidRDefault="003A7E55" w:rsidP="003A7E55">
                  <w:pPr>
                    <w:pStyle w:val="TableParagraph"/>
                    <w:kinsoku w:val="0"/>
                    <w:overflowPunct w:val="0"/>
                    <w:spacing w:line="0" w:lineRule="atLeast"/>
                    <w:ind w:rightChars="35" w:right="77"/>
                    <w:jc w:val="center"/>
                    <w:rPr>
                      <w:rFonts w:ascii="楷体" w:eastAsia="楷体" w:hAnsi="楷体" w:cs="宋体"/>
                      <w:b/>
                      <w:bCs/>
                      <w:spacing w:val="-2"/>
                      <w:sz w:val="18"/>
                      <w:szCs w:val="18"/>
                    </w:rPr>
                  </w:pPr>
                  <w:r>
                    <w:rPr>
                      <w:rFonts w:ascii="楷体" w:eastAsia="楷体" w:hAnsi="楷体" w:cs="宋体" w:hint="eastAsia"/>
                      <w:b/>
                      <w:bCs/>
                      <w:spacing w:val="-2"/>
                      <w:sz w:val="18"/>
                      <w:szCs w:val="18"/>
                    </w:rPr>
                    <w:t>开放计划</w:t>
                  </w:r>
                </w:p>
              </w:tc>
            </w:tr>
            <w:tr w:rsidR="003A7E55">
              <w:trPr>
                <w:trHeight w:val="320"/>
                <w:jc w:val="center"/>
              </w:trPr>
              <w:tc>
                <w:tcPr>
                  <w:tcW w:w="1531"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spacing w:line="0" w:lineRule="atLeast"/>
                    <w:jc w:val="center"/>
                    <w:textAlignment w:val="center"/>
                    <w:rPr>
                      <w:rFonts w:ascii="楷体" w:eastAsia="楷体" w:hAnsi="楷体" w:cs="楷体"/>
                      <w:color w:val="000000"/>
                      <w:sz w:val="18"/>
                      <w:szCs w:val="18"/>
                      <w:lang/>
                    </w:rPr>
                  </w:pPr>
                  <w:r>
                    <w:rPr>
                      <w:rFonts w:ascii="楷体" w:eastAsia="楷体" w:hAnsi="楷体" w:cs="楷体" w:hint="eastAsia"/>
                      <w:color w:val="000000"/>
                      <w:sz w:val="18"/>
                      <w:szCs w:val="18"/>
                      <w:lang/>
                    </w:rPr>
                    <w:t>A份额、B份额</w:t>
                  </w:r>
                </w:p>
              </w:tc>
              <w:tc>
                <w:tcPr>
                  <w:tcW w:w="4706"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line="0" w:lineRule="atLeast"/>
                    <w:jc w:val="both"/>
                    <w:rPr>
                      <w:rFonts w:ascii="楷体" w:eastAsia="楷体" w:hAnsi="楷体" w:cs="宋体"/>
                      <w:spacing w:val="-2"/>
                      <w:sz w:val="18"/>
                      <w:szCs w:val="18"/>
                    </w:rPr>
                  </w:pPr>
                  <w:r>
                    <w:rPr>
                      <w:rFonts w:ascii="楷体" w:eastAsia="楷体" w:hAnsi="楷体" w:cs="宋体" w:hint="eastAsia"/>
                      <w:spacing w:val="-2"/>
                      <w:sz w:val="18"/>
                      <w:szCs w:val="18"/>
                    </w:rPr>
                    <w:t>按投资周期开放申购与赎回，每12个月开放一次，投资者可在每个投资周期终止日前7日（含投资周期终止日）内，通过销售机构提出申购/赎回申请，管理人于投资周期终止日次日对申购/赎回申请予以统一确认，未赎回的部分份额自动进入下一个投资周期。（以各销售机构设置的开放时间为准）</w:t>
                  </w:r>
                </w:p>
              </w:tc>
            </w:tr>
          </w:tbl>
          <w:p w:rsidR="003A7E55" w:rsidRDefault="003A7E55" w:rsidP="003A7E55">
            <w:pPr>
              <w:pStyle w:val="TableParagraph"/>
              <w:kinsoku w:val="0"/>
              <w:overflowPunct w:val="0"/>
              <w:spacing w:before="14"/>
              <w:ind w:left="59" w:rightChars="35" w:right="77"/>
              <w:jc w:val="both"/>
              <w:rPr>
                <w:rFonts w:ascii="楷体" w:eastAsia="楷体" w:hAnsi="楷体" w:cs="宋体"/>
                <w:spacing w:val="-2"/>
                <w:sz w:val="21"/>
                <w:szCs w:val="21"/>
                <w:highlight w:val="yellow"/>
              </w:rPr>
            </w:pPr>
            <w:r>
              <w:rPr>
                <w:rFonts w:ascii="楷体" w:eastAsia="楷体" w:hAnsi="楷体" w:cs="宋体" w:hint="eastAsia"/>
                <w:spacing w:val="-2"/>
                <w:sz w:val="21"/>
                <w:szCs w:val="21"/>
              </w:rPr>
              <w:t>管理人有权根据资产运作情况、节假日安排调整开放计划，并在调整前进行公告。详见产品说明书“十、产品申购、赎回”。</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单个客户单日认/申购限额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1亿元。超过单日累计认/申购上限时，管理人有权拒绝投资者的认/申购申请。产品存续期内管理人有权根据实际情况调整单日累计认/申购上限。</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单个客户持有份额上限</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单一投资者持有份额不得超过总份额50%；非因主观因素导致突破前款规定比例限制的，在单一投资者持有份额占理财产品总份额比例降至50%以下之前，不再接受该单一投资者对理财产品的认购申请。</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单个客户赎回限额</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1亿份。超过单个客户赎回限额时，管理人有权拒绝投资者的赎回申请。</w:t>
            </w:r>
            <w:r>
              <w:rPr>
                <w:rFonts w:ascii="楷体" w:eastAsia="楷体" w:hAnsi="楷体" w:cs="宋体" w:hint="eastAsia"/>
                <w:b/>
                <w:bCs/>
                <w:spacing w:val="-2"/>
                <w:sz w:val="21"/>
                <w:szCs w:val="21"/>
                <w:u w:val="single"/>
              </w:rPr>
              <w:t>对于单个投资者单个开放日申请赎回理财份额超过上一交易日日终理财产品总份额的10%的部分，管理人有权暂停接受其赎回申请。</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4"/>
              <w:ind w:left="55"/>
              <w:jc w:val="both"/>
              <w:rPr>
                <w:rFonts w:ascii="楷体" w:eastAsia="楷体" w:hAnsi="楷体" w:cs="宋体"/>
                <w:b/>
                <w:spacing w:val="-2"/>
                <w:sz w:val="21"/>
                <w:szCs w:val="21"/>
              </w:rPr>
            </w:pPr>
            <w:r>
              <w:rPr>
                <w:rFonts w:ascii="楷体" w:eastAsia="楷体" w:hAnsi="楷体" w:cs="宋体" w:hint="eastAsia"/>
                <w:b/>
                <w:spacing w:val="-2"/>
                <w:sz w:val="21"/>
                <w:szCs w:val="21"/>
              </w:rPr>
              <w:t>巨额申购</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14"/>
              <w:ind w:left="59" w:rightChars="35" w:right="77"/>
              <w:jc w:val="both"/>
              <w:rPr>
                <w:rFonts w:ascii="楷体" w:eastAsia="楷体" w:hAnsi="楷体" w:cs="宋体"/>
                <w:spacing w:val="-2"/>
                <w:sz w:val="21"/>
                <w:szCs w:val="21"/>
              </w:rPr>
            </w:pPr>
            <w:r>
              <w:rPr>
                <w:rFonts w:ascii="楷体" w:eastAsia="楷体" w:hAnsi="楷体" w:cs="宋体" w:hint="eastAsia"/>
                <w:spacing w:val="-2"/>
                <w:sz w:val="21"/>
                <w:szCs w:val="21"/>
              </w:rPr>
              <w:t>本产品单个开放日</w:t>
            </w:r>
            <w:r>
              <w:rPr>
                <w:rFonts w:ascii="楷体" w:eastAsia="楷体" w:hAnsi="楷体" w:cs="宋体" w:hint="eastAsia"/>
                <w:spacing w:val="-2"/>
                <w:sz w:val="21"/>
                <w:szCs w:val="18"/>
              </w:rPr>
              <w:t>投资者</w:t>
            </w:r>
            <w:r>
              <w:rPr>
                <w:rFonts w:ascii="楷体" w:eastAsia="楷体" w:hAnsi="楷体" w:cs="宋体" w:hint="eastAsia"/>
                <w:spacing w:val="-2"/>
                <w:sz w:val="21"/>
                <w:szCs w:val="21"/>
              </w:rPr>
              <w:t>净申购额（申购申请份额总数扣除赎回申请份</w:t>
            </w:r>
            <w:r>
              <w:rPr>
                <w:rFonts w:ascii="楷体" w:eastAsia="楷体" w:hAnsi="楷体" w:cs="宋体" w:hint="eastAsia"/>
                <w:spacing w:val="-2"/>
                <w:sz w:val="21"/>
                <w:szCs w:val="21"/>
              </w:rPr>
              <w:lastRenderedPageBreak/>
              <w:t>额总数）超过上一日产品总份额20%时，即认为发生了巨额申购。</w:t>
            </w:r>
            <w:r>
              <w:rPr>
                <w:rFonts w:ascii="楷体" w:eastAsia="楷体" w:hAnsi="楷体" w:cs="宋体" w:hint="eastAsia"/>
                <w:b/>
                <w:bCs/>
                <w:spacing w:val="-2"/>
                <w:sz w:val="21"/>
                <w:szCs w:val="21"/>
                <w:u w:val="single"/>
              </w:rPr>
              <w:t>当出现巨额申购时，产品管理人有权拒绝客户的全部或部分申购申请。</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ind w:rightChars="55" w:right="121"/>
              <w:rPr>
                <w:rFonts w:ascii="楷体" w:eastAsia="楷体" w:hAnsi="楷体" w:cs="宋体"/>
                <w:spacing w:val="-2"/>
                <w:kern w:val="2"/>
                <w:sz w:val="21"/>
                <w:szCs w:val="21"/>
              </w:rPr>
            </w:pPr>
            <w:r>
              <w:rPr>
                <w:rFonts w:ascii="楷体" w:eastAsia="楷体" w:hAnsi="楷体" w:cs="宋体" w:hint="eastAsia"/>
                <w:spacing w:val="-2"/>
                <w:szCs w:val="21"/>
              </w:rPr>
              <w:t>本产品每个开放日投资者净赎回额（赎回申请份额总数扣除申购申请份额总数）超过本产品上一工作日日终份额10%时，即为发生巨额赎回。产品管理人可以根据本产品当时的资产组合状况决定采取全额赎回、部分赎回、延期办理巨额赎回等措施，产品管理人将在采取相关措施后3个工作日内进行信息披露。</w:t>
            </w:r>
          </w:p>
          <w:p w:rsidR="003A7E55" w:rsidRDefault="003A7E55">
            <w:pPr>
              <w:rPr>
                <w:rFonts w:ascii="楷体" w:eastAsia="楷体" w:hAnsi="楷体" w:cs="宋体" w:hint="eastAsia"/>
                <w:b/>
                <w:spacing w:val="-2"/>
                <w:szCs w:val="21"/>
                <w:u w:val="single"/>
              </w:rPr>
            </w:pPr>
            <w:r>
              <w:rPr>
                <w:rFonts w:ascii="楷体" w:eastAsia="楷体" w:hAnsi="楷体" w:cs="宋体" w:hint="eastAsia"/>
                <w:b/>
                <w:spacing w:val="-2"/>
                <w:szCs w:val="21"/>
                <w:u w:val="single"/>
              </w:rPr>
              <w:t>1.全额赎回：当产品管理人有能力兑付投资者的全部赎回申请时，将在申请确认日按投资者申请赎回份额执行正常赎回程序。</w:t>
            </w:r>
          </w:p>
          <w:p w:rsidR="003A7E55" w:rsidRDefault="003A7E55">
            <w:pPr>
              <w:rPr>
                <w:rFonts w:ascii="楷体" w:eastAsia="楷体" w:hAnsi="楷体" w:cs="宋体" w:hint="eastAsia"/>
                <w:b/>
                <w:spacing w:val="-2"/>
                <w:szCs w:val="21"/>
                <w:u w:val="single"/>
              </w:rPr>
            </w:pPr>
            <w:r>
              <w:rPr>
                <w:rFonts w:ascii="楷体" w:eastAsia="楷体" w:hAnsi="楷体" w:cs="宋体" w:hint="eastAsia"/>
                <w:b/>
                <w:spacing w:val="-2"/>
                <w:szCs w:val="21"/>
                <w:u w:val="single"/>
              </w:rPr>
              <w:t>2.部分赎回：当产品管理人认为兑付投资者的赎回申请可能会对产品的资产净值造成较大波动时，当日办理的赎回份额不得低于前一日终理财产品总份额的10%，对其余赎回申请管理人有权暂停接受或延期办理。对该产品单个份额持有人的赎回申请，按照其申请占当日申请赎回总份额的比例，确定该份额持有人当日办理的赎回份额。</w:t>
            </w:r>
          </w:p>
          <w:p w:rsidR="003A7E55" w:rsidRDefault="003A7E55" w:rsidP="003A7E55">
            <w:pPr>
              <w:widowControl w:val="0"/>
              <w:ind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3.对于该开放日内净赎回额超过本产品上一工作日日终份额10%时，管理人有权拒绝超过10%以上部分的赎回申请。未确认受理的赎回申请份额，投资者可选择将当日未获受理部分予以撤销（巨额赎回处理方式具体以销售机构展示为准），未选择撤销的赎回申请，产品管理人可以延迟至下一开放日处理，转入下一开放日的赎回申请不享有优先确认权。</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highlight w:val="yellow"/>
              </w:rPr>
            </w:pPr>
            <w:r>
              <w:rPr>
                <w:rFonts w:ascii="楷体" w:eastAsia="楷体" w:hAnsi="楷体" w:cs="宋体" w:hint="eastAsia"/>
                <w:b/>
                <w:spacing w:val="-2"/>
                <w:sz w:val="21"/>
                <w:szCs w:val="21"/>
              </w:rPr>
              <w:t>连续巨额赎回</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rightChars="25" w:right="55"/>
              <w:jc w:val="both"/>
              <w:rPr>
                <w:rFonts w:ascii="楷体" w:eastAsia="楷体" w:hAnsi="楷体" w:cs="宋体"/>
                <w:spacing w:val="-2"/>
                <w:sz w:val="21"/>
                <w:szCs w:val="21"/>
              </w:rPr>
            </w:pPr>
            <w:r>
              <w:rPr>
                <w:rFonts w:ascii="楷体" w:eastAsia="楷体" w:hAnsi="楷体" w:cs="宋体" w:hint="eastAsia"/>
                <w:spacing w:val="-2"/>
                <w:szCs w:val="21"/>
              </w:rPr>
              <w:t>连续2个以上开放日发生巨额赎回的，对于已经接受的赎回申请，可以延缓支付赎回款项，但延缓期限不得超过20个工作日。</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2"/>
              <w:ind w:left="55"/>
              <w:jc w:val="both"/>
              <w:rPr>
                <w:rFonts w:ascii="楷体" w:eastAsia="楷体" w:hAnsi="楷体" w:cs="宋体"/>
                <w:b/>
                <w:spacing w:val="-2"/>
                <w:sz w:val="21"/>
                <w:szCs w:val="21"/>
              </w:rPr>
            </w:pPr>
            <w:r>
              <w:rPr>
                <w:rFonts w:ascii="楷体" w:eastAsia="楷体" w:hAnsi="楷体" w:cs="宋体" w:hint="eastAsia"/>
                <w:b/>
                <w:spacing w:val="-2"/>
                <w:sz w:val="21"/>
                <w:szCs w:val="21"/>
              </w:rPr>
              <w:t>业绩比较基准（年化）</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pStyle w:val="TableParagraph"/>
              <w:kinsoku w:val="0"/>
              <w:overflowPunct w:val="0"/>
              <w:spacing w:before="37"/>
              <w:ind w:rightChars="35" w:right="77"/>
              <w:jc w:val="both"/>
              <w:rPr>
                <w:rFonts w:ascii="楷体" w:eastAsia="楷体" w:hAnsi="楷体" w:cs="宋体"/>
                <w:spacing w:val="-2"/>
                <w:sz w:val="21"/>
                <w:szCs w:val="21"/>
              </w:rPr>
            </w:pPr>
            <w:r>
              <w:rPr>
                <w:rFonts w:ascii="楷体" w:eastAsia="楷体" w:hAnsi="楷体" w:cs="宋体" w:hint="eastAsia"/>
                <w:b/>
                <w:bCs/>
                <w:spacing w:val="-2"/>
                <w:sz w:val="21"/>
                <w:szCs w:val="21"/>
                <w:u w:val="single"/>
              </w:rPr>
              <w:t>苏银理财参考过往投资经验，依据近期货币市场工具、债券、非标准化债权等资产投资收益水平，在产品说明书约定的投资范围和投资比例内，综合考虑各份额收取的销售服务费和投资管理费的情况，模拟测算得出业绩比较基准。本产品各份额因收取的销售服务费和投资管理费存在差异，业绩比较基准设置将有所不同。</w:t>
            </w:r>
            <w:r>
              <w:rPr>
                <w:rFonts w:ascii="楷体" w:eastAsia="楷体" w:hAnsi="楷体" w:cs="宋体" w:hint="eastAsia"/>
                <w:spacing w:val="-2"/>
                <w:sz w:val="21"/>
                <w:szCs w:val="21"/>
              </w:rPr>
              <w:t>各份额业绩比较基准如下：</w:t>
            </w:r>
          </w:p>
          <w:tbl>
            <w:tblPr>
              <w:tblW w:w="5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23"/>
              <w:gridCol w:w="1643"/>
              <w:gridCol w:w="1643"/>
              <w:gridCol w:w="1926"/>
            </w:tblGrid>
            <w:tr w:rsidR="003A7E55">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b/>
                      <w:bCs/>
                      <w:kern w:val="2"/>
                      <w:sz w:val="18"/>
                      <w:szCs w:val="18"/>
                    </w:rPr>
                  </w:pPr>
                  <w:r>
                    <w:rPr>
                      <w:rFonts w:ascii="楷体" w:eastAsia="楷体" w:hAnsi="楷体" w:hint="eastAsia"/>
                      <w:b/>
                      <w:bCs/>
                      <w:sz w:val="18"/>
                      <w:szCs w:val="18"/>
                    </w:rPr>
                    <w:t>投资</w:t>
                  </w:r>
                </w:p>
                <w:p w:rsidR="003A7E55" w:rsidRDefault="003A7E55">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周期</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投资周期起始日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投资周期终止日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3A7E55" w:rsidRDefault="003A7E55">
                  <w:pPr>
                    <w:spacing w:line="0" w:lineRule="atLeast"/>
                    <w:jc w:val="center"/>
                    <w:rPr>
                      <w:rFonts w:ascii="楷体" w:eastAsia="楷体" w:hAnsi="楷体"/>
                      <w:b/>
                      <w:bCs/>
                      <w:kern w:val="2"/>
                      <w:sz w:val="18"/>
                      <w:szCs w:val="18"/>
                    </w:rPr>
                  </w:pPr>
                  <w:r>
                    <w:rPr>
                      <w:rFonts w:ascii="楷体" w:eastAsia="楷体" w:hAnsi="楷体" w:hint="eastAsia"/>
                      <w:b/>
                      <w:bCs/>
                      <w:sz w:val="18"/>
                      <w:szCs w:val="18"/>
                    </w:rPr>
                    <w:t>业绩比较基准</w:t>
                  </w:r>
                </w:p>
                <w:p w:rsidR="003A7E55" w:rsidRDefault="003A7E55">
                  <w:pPr>
                    <w:widowControl w:val="0"/>
                    <w:spacing w:line="0" w:lineRule="atLeast"/>
                    <w:jc w:val="center"/>
                    <w:rPr>
                      <w:rFonts w:ascii="楷体" w:eastAsia="楷体" w:hAnsi="楷体"/>
                      <w:b/>
                      <w:bCs/>
                      <w:kern w:val="2"/>
                      <w:sz w:val="18"/>
                      <w:szCs w:val="18"/>
                    </w:rPr>
                  </w:pPr>
                  <w:r>
                    <w:rPr>
                      <w:rFonts w:ascii="楷体" w:eastAsia="楷体" w:hAnsi="楷体" w:hint="eastAsia"/>
                      <w:b/>
                      <w:bCs/>
                      <w:sz w:val="18"/>
                      <w:szCs w:val="18"/>
                    </w:rPr>
                    <w:t>（年化）</w:t>
                  </w:r>
                </w:p>
              </w:tc>
            </w:tr>
            <w:tr w:rsidR="003A7E55">
              <w:trPr>
                <w:trHeight w:val="276"/>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1</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2021年2月26日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2022年2月22日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 xml:space="preserve">4.25% </w:t>
                  </w:r>
                </w:p>
              </w:tc>
            </w:tr>
            <w:tr w:rsidR="003A7E55">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cs="宋体"/>
                      <w:spacing w:val="-2"/>
                      <w:kern w:val="2"/>
                      <w:sz w:val="18"/>
                      <w:szCs w:val="18"/>
                    </w:rPr>
                  </w:pPr>
                  <w:r>
                    <w:rPr>
                      <w:rFonts w:ascii="楷体" w:eastAsia="楷体" w:hAnsi="楷体" w:hint="eastAsia"/>
                      <w:sz w:val="18"/>
                      <w:szCs w:val="18"/>
                    </w:rPr>
                    <w:t>2022年2月23日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2023年3月6日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4.30%</w:t>
                  </w:r>
                </w:p>
              </w:tc>
            </w:tr>
            <w:tr w:rsidR="003A7E55">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3</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2023年3月7日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2024年3月12日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 4.10%</w:t>
                  </w:r>
                </w:p>
                <w:p w:rsidR="003A7E55" w:rsidRDefault="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 4.13%</w:t>
                  </w:r>
                </w:p>
              </w:tc>
            </w:tr>
            <w:tr w:rsidR="003A7E55">
              <w:trPr>
                <w:trHeight w:val="312"/>
                <w:jc w:val="center"/>
              </w:trPr>
              <w:tc>
                <w:tcPr>
                  <w:tcW w:w="62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4</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cs="宋体" w:hint="eastAsia"/>
                      <w:spacing w:val="-2"/>
                      <w:sz w:val="18"/>
                      <w:szCs w:val="18"/>
                    </w:rPr>
                    <w:t>2024年3月13日</w:t>
                  </w:r>
                </w:p>
              </w:tc>
              <w:tc>
                <w:tcPr>
                  <w:tcW w:w="1644" w:type="dxa"/>
                  <w:tcBorders>
                    <w:top w:val="single" w:sz="4" w:space="0" w:color="auto"/>
                    <w:left w:val="single" w:sz="4" w:space="0" w:color="auto"/>
                    <w:bottom w:val="single" w:sz="4" w:space="0" w:color="auto"/>
                    <w:right w:val="single" w:sz="4" w:space="0" w:color="auto"/>
                  </w:tcBorders>
                  <w:vAlign w:val="center"/>
                  <w:hideMark/>
                </w:tcPr>
                <w:p w:rsidR="003A7E55" w:rsidRDefault="003A7E55">
                  <w:pPr>
                    <w:widowControl w:val="0"/>
                    <w:spacing w:line="0" w:lineRule="atLeast"/>
                    <w:jc w:val="center"/>
                    <w:rPr>
                      <w:rFonts w:ascii="楷体" w:eastAsia="楷体" w:hAnsi="楷体"/>
                      <w:kern w:val="2"/>
                      <w:sz w:val="18"/>
                      <w:szCs w:val="18"/>
                    </w:rPr>
                  </w:pPr>
                  <w:r>
                    <w:rPr>
                      <w:rFonts w:ascii="楷体" w:eastAsia="楷体" w:hAnsi="楷体" w:hint="eastAsia"/>
                      <w:sz w:val="18"/>
                      <w:szCs w:val="18"/>
                    </w:rPr>
                    <w:t>2025年3月25日</w:t>
                  </w:r>
                </w:p>
              </w:tc>
              <w:tc>
                <w:tcPr>
                  <w:tcW w:w="1928"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A份额3.30%-3.90%</w:t>
                  </w:r>
                </w:p>
                <w:p w:rsidR="003A7E55" w:rsidRDefault="003A7E55" w:rsidP="003A7E55">
                  <w:pPr>
                    <w:pStyle w:val="a9"/>
                    <w:autoSpaceDE/>
                    <w:adjustRightInd/>
                    <w:spacing w:before="0" w:line="0" w:lineRule="atLeast"/>
                    <w:ind w:left="0"/>
                    <w:jc w:val="center"/>
                    <w:rPr>
                      <w:rFonts w:ascii="楷体" w:eastAsia="楷体" w:hAnsi="楷体"/>
                      <w:sz w:val="18"/>
                      <w:szCs w:val="18"/>
                    </w:rPr>
                  </w:pPr>
                  <w:r>
                    <w:rPr>
                      <w:rFonts w:ascii="楷体" w:eastAsia="楷体" w:hAnsi="楷体" w:hint="eastAsia"/>
                      <w:sz w:val="18"/>
                      <w:szCs w:val="18"/>
                    </w:rPr>
                    <w:t>B份额3.33%-3.93%</w:t>
                  </w:r>
                </w:p>
              </w:tc>
            </w:tr>
          </w:tbl>
          <w:p w:rsidR="003A7E55" w:rsidRDefault="003A7E55" w:rsidP="003A7E55">
            <w:pPr>
              <w:widowControl w:val="0"/>
              <w:ind w:left="59" w:rightChars="35" w:right="77"/>
              <w:jc w:val="both"/>
              <w:rPr>
                <w:rFonts w:ascii="楷体" w:eastAsia="楷体" w:hAnsi="楷体" w:cs="宋体"/>
                <w:b/>
                <w:spacing w:val="-2"/>
                <w:kern w:val="2"/>
                <w:sz w:val="21"/>
                <w:szCs w:val="21"/>
                <w:u w:val="single"/>
              </w:rPr>
            </w:pPr>
            <w:r>
              <w:rPr>
                <w:rFonts w:ascii="楷体" w:eastAsia="楷体" w:hAnsi="楷体" w:cs="宋体" w:hint="eastAsia"/>
                <w:b/>
                <w:spacing w:val="-2"/>
                <w:szCs w:val="21"/>
                <w:u w:val="single"/>
              </w:rPr>
              <w:t>本产品为净值型产品，业绩表现将随市场波动，具有不确定性。业绩比较基准为管理人对本产品所设定的投资目标，不代表理财产品未来表现，不等于理财产品实际收益，不构成管理人对产品实际投资收益率的承诺或担保，投资者的实际收益由产品净值表现决定。产品存续期内管理人有权根据市场情况调整业绩比较基准，如有调整以管理人公告为准。</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spacing w:val="-2"/>
                <w:sz w:val="21"/>
                <w:szCs w:val="21"/>
              </w:rPr>
            </w:pPr>
            <w:r>
              <w:rPr>
                <w:rFonts w:ascii="楷体" w:eastAsia="楷体" w:hAnsi="楷体" w:cs="宋体" w:hint="eastAsia"/>
                <w:b/>
                <w:spacing w:val="-2"/>
                <w:sz w:val="21"/>
                <w:szCs w:val="21"/>
              </w:rPr>
              <w:t>产品费用</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ind w:left="59" w:rightChars="35" w:right="77"/>
              <w:rPr>
                <w:rFonts w:ascii="楷体" w:eastAsia="楷体" w:hAnsi="楷体" w:cs="宋体"/>
                <w:spacing w:val="-2"/>
                <w:kern w:val="2"/>
                <w:sz w:val="21"/>
                <w:szCs w:val="21"/>
              </w:rPr>
            </w:pPr>
            <w:r>
              <w:rPr>
                <w:rFonts w:ascii="楷体" w:eastAsia="楷体" w:hAnsi="楷体" w:cs="宋体" w:hint="eastAsia"/>
                <w:spacing w:val="-2"/>
                <w:szCs w:val="21"/>
              </w:rPr>
              <w:t>本产品费用包括托管费、销售服务费、投资管理费、超额业绩报酬以及产品运作和清算中产生的其他费用等。</w:t>
            </w:r>
          </w:p>
          <w:p w:rsidR="003A7E55" w:rsidRDefault="003A7E55" w:rsidP="003A7E55">
            <w:pPr>
              <w:ind w:left="59" w:rightChars="35" w:right="77"/>
              <w:rPr>
                <w:rFonts w:ascii="楷体" w:eastAsia="楷体" w:hAnsi="楷体" w:cs="宋体" w:hint="eastAsia"/>
                <w:spacing w:val="-2"/>
                <w:szCs w:val="21"/>
              </w:rPr>
            </w:pPr>
            <w:r>
              <w:rPr>
                <w:rFonts w:ascii="楷体" w:eastAsia="楷体" w:hAnsi="楷体" w:cs="宋体" w:hint="eastAsia"/>
                <w:spacing w:val="-2"/>
                <w:szCs w:val="21"/>
              </w:rPr>
              <w:lastRenderedPageBreak/>
              <w:t>1.托管费率、销售服务费率、投资管理费率：</w:t>
            </w:r>
          </w:p>
          <w:tbl>
            <w:tblPr>
              <w:tblW w:w="4830" w:type="dxa"/>
              <w:jc w:val="center"/>
              <w:tblLayout w:type="fixed"/>
              <w:tblLook w:val="04A0"/>
            </w:tblPr>
            <w:tblGrid>
              <w:gridCol w:w="1005"/>
              <w:gridCol w:w="1275"/>
              <w:gridCol w:w="1275"/>
              <w:gridCol w:w="1275"/>
            </w:tblGrid>
            <w:tr w:rsidR="003A7E55" w:rsidTr="003A7E55">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托管费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销售服务费</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b/>
                      <w:bCs/>
                      <w:color w:val="000000"/>
                      <w:kern w:val="2"/>
                      <w:sz w:val="18"/>
                      <w:szCs w:val="18"/>
                    </w:rPr>
                  </w:pPr>
                  <w:r>
                    <w:rPr>
                      <w:rFonts w:ascii="楷体" w:eastAsia="楷体" w:hAnsi="楷体" w:cs="楷体" w:hint="eastAsia"/>
                      <w:b/>
                      <w:bCs/>
                      <w:color w:val="000000"/>
                      <w:sz w:val="18"/>
                      <w:szCs w:val="18"/>
                      <w:lang/>
                    </w:rPr>
                    <w:t>投资管理费</w:t>
                  </w:r>
                </w:p>
              </w:tc>
            </w:tr>
            <w:tr w:rsidR="003A7E55" w:rsidTr="003A7E55">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A份额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0.30%/年</w:t>
                  </w:r>
                </w:p>
              </w:tc>
            </w:tr>
            <w:tr w:rsidR="003A7E55" w:rsidTr="003A7E55">
              <w:trPr>
                <w:trHeight w:val="232"/>
                <w:jc w:val="center"/>
              </w:trPr>
              <w:tc>
                <w:tcPr>
                  <w:tcW w:w="100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B份额</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0.02%/年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0.10%/年</w:t>
                  </w:r>
                </w:p>
              </w:tc>
              <w:tc>
                <w:tcPr>
                  <w:tcW w:w="1275" w:type="dxa"/>
                  <w:tcBorders>
                    <w:top w:val="single" w:sz="4" w:space="0" w:color="000000"/>
                    <w:left w:val="single" w:sz="4" w:space="0" w:color="000000"/>
                    <w:bottom w:val="single" w:sz="4" w:space="0" w:color="000000"/>
                    <w:right w:val="single" w:sz="4" w:space="0" w:color="000000"/>
                  </w:tcBorders>
                  <w:noWrap/>
                  <w:vAlign w:val="center"/>
                  <w:hideMark/>
                </w:tcPr>
                <w:p w:rsidR="003A7E55" w:rsidRDefault="003A7E55">
                  <w:pPr>
                    <w:spacing w:line="0" w:lineRule="atLeast"/>
                    <w:jc w:val="center"/>
                    <w:textAlignment w:val="center"/>
                    <w:rPr>
                      <w:rFonts w:ascii="楷体" w:eastAsia="楷体" w:hAnsi="楷体" w:cs="楷体"/>
                      <w:color w:val="000000"/>
                      <w:kern w:val="2"/>
                      <w:sz w:val="18"/>
                      <w:szCs w:val="18"/>
                    </w:rPr>
                  </w:pPr>
                  <w:r>
                    <w:rPr>
                      <w:rFonts w:ascii="楷体" w:eastAsia="楷体" w:hAnsi="楷体" w:cs="楷体" w:hint="eastAsia"/>
                      <w:color w:val="000000"/>
                      <w:sz w:val="18"/>
                      <w:szCs w:val="18"/>
                      <w:lang/>
                    </w:rPr>
                    <w:t>0.27%/年</w:t>
                  </w:r>
                </w:p>
              </w:tc>
            </w:tr>
          </w:tbl>
          <w:p w:rsidR="003A7E55" w:rsidRDefault="003A7E55" w:rsidP="003A7E55">
            <w:pPr>
              <w:widowControl w:val="0"/>
              <w:numPr>
                <w:ilvl w:val="0"/>
                <w:numId w:val="2"/>
              </w:numPr>
              <w:tabs>
                <w:tab w:val="left" w:pos="312"/>
              </w:tabs>
              <w:adjustRightInd/>
              <w:snapToGrid/>
              <w:spacing w:after="0"/>
              <w:ind w:left="59" w:rightChars="35" w:right="77"/>
              <w:jc w:val="both"/>
              <w:rPr>
                <w:rFonts w:ascii="楷体" w:eastAsia="楷体" w:hAnsi="楷体" w:cs="宋体" w:hint="eastAsia"/>
                <w:spacing w:val="-2"/>
                <w:kern w:val="2"/>
                <w:sz w:val="21"/>
                <w:szCs w:val="21"/>
              </w:rPr>
            </w:pPr>
            <w:r>
              <w:rPr>
                <w:rFonts w:ascii="楷体" w:eastAsia="楷体" w:hAnsi="楷体" w:cs="宋体" w:hint="eastAsia"/>
                <w:spacing w:val="-2"/>
                <w:szCs w:val="21"/>
              </w:rPr>
              <w:t>超额业绩报酬：管理人按投资周期收取超额业绩报酬。假设单一投资周期的各份额实际</w:t>
            </w:r>
            <w:proofErr w:type="gramStart"/>
            <w:r>
              <w:rPr>
                <w:rFonts w:ascii="楷体" w:eastAsia="楷体" w:hAnsi="楷体" w:cs="宋体" w:hint="eastAsia"/>
                <w:spacing w:val="-2"/>
                <w:szCs w:val="21"/>
              </w:rPr>
              <w:t>年化投资</w:t>
            </w:r>
            <w:proofErr w:type="gramEnd"/>
            <w:r>
              <w:rPr>
                <w:rFonts w:ascii="楷体" w:eastAsia="楷体" w:hAnsi="楷体" w:cs="宋体" w:hint="eastAsia"/>
                <w:spacing w:val="-2"/>
                <w:szCs w:val="21"/>
              </w:rPr>
              <w:t>收益在扣除托管费、销售服务费、投资管理费以及运作产品所必须缴纳的税费后为R：</w:t>
            </w:r>
          </w:p>
          <w:p w:rsidR="003A7E55" w:rsidRDefault="003A7E55" w:rsidP="003A7E55">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若R&lt;业绩比较基准下限，管理人无超额业绩报酬；</w:t>
            </w:r>
          </w:p>
          <w:p w:rsidR="003A7E55" w:rsidRDefault="003A7E55" w:rsidP="003A7E55">
            <w:pPr>
              <w:ind w:left="59" w:rightChars="35" w:right="77"/>
              <w:rPr>
                <w:rFonts w:ascii="楷体" w:eastAsia="楷体" w:hAnsi="楷体" w:cs="宋体" w:hint="eastAsia"/>
                <w:spacing w:val="-2"/>
                <w:szCs w:val="21"/>
              </w:rPr>
            </w:pPr>
            <w:proofErr w:type="gramStart"/>
            <w:r>
              <w:rPr>
                <w:rFonts w:ascii="楷体" w:eastAsia="楷体" w:hAnsi="楷体" w:cs="宋体" w:hint="eastAsia"/>
                <w:spacing w:val="-2"/>
                <w:szCs w:val="21"/>
              </w:rPr>
              <w:t>若业绩</w:t>
            </w:r>
            <w:proofErr w:type="gramEnd"/>
            <w:r>
              <w:rPr>
                <w:rFonts w:ascii="楷体" w:eastAsia="楷体" w:hAnsi="楷体" w:cs="宋体" w:hint="eastAsia"/>
                <w:spacing w:val="-2"/>
                <w:szCs w:val="21"/>
              </w:rPr>
              <w:t>比较基准下限≤R&lt;业绩比较基准上限，管理人对超出业绩比较基准下限的部分，收取40%的超额业绩报酬；</w:t>
            </w:r>
          </w:p>
          <w:p w:rsidR="003A7E55" w:rsidRDefault="003A7E55" w:rsidP="003A7E55">
            <w:pPr>
              <w:ind w:left="59" w:rightChars="35" w:right="77"/>
              <w:rPr>
                <w:rFonts w:ascii="楷体" w:eastAsia="楷体" w:hAnsi="楷体" w:cs="宋体" w:hint="eastAsia"/>
                <w:spacing w:val="-2"/>
                <w:szCs w:val="21"/>
              </w:rPr>
            </w:pPr>
            <w:r>
              <w:rPr>
                <w:rFonts w:ascii="楷体" w:eastAsia="楷体" w:hAnsi="楷体" w:cs="宋体" w:hint="eastAsia"/>
                <w:spacing w:val="-2"/>
                <w:szCs w:val="21"/>
              </w:rPr>
              <w:t>若R≥业绩比较基准上限，管理人对业绩比较基准上限与业绩比较基准下限之间的部分，收取40%的超额业绩报酬；管理人对超出业绩比较基准上限的部分，收取60%的超额业绩报酬。</w:t>
            </w:r>
          </w:p>
          <w:p w:rsidR="003A7E55" w:rsidRDefault="003A7E55" w:rsidP="003A7E55">
            <w:pPr>
              <w:ind w:left="59" w:rightChars="35" w:right="77"/>
              <w:rPr>
                <w:rFonts w:ascii="楷体" w:eastAsia="楷体" w:hAnsi="楷体" w:cs="宋体" w:hint="eastAsia"/>
                <w:spacing w:val="-2"/>
                <w:szCs w:val="21"/>
              </w:rPr>
            </w:pPr>
            <w:r>
              <w:rPr>
                <w:rFonts w:ascii="楷体" w:eastAsia="楷体" w:hAnsi="楷体" w:cs="宋体" w:hint="eastAsia"/>
                <w:spacing w:val="-2"/>
                <w:szCs w:val="21"/>
              </w:rPr>
              <w:t>单一投资周期运作期间内理财产品将</w:t>
            </w:r>
            <w:proofErr w:type="gramStart"/>
            <w:r>
              <w:rPr>
                <w:rFonts w:ascii="楷体" w:eastAsia="楷体" w:hAnsi="楷体" w:cs="宋体" w:hint="eastAsia"/>
                <w:spacing w:val="-2"/>
                <w:szCs w:val="21"/>
              </w:rPr>
              <w:t>每日暂估超额</w:t>
            </w:r>
            <w:proofErr w:type="gramEnd"/>
            <w:r>
              <w:rPr>
                <w:rFonts w:ascii="楷体" w:eastAsia="楷体" w:hAnsi="楷体" w:cs="宋体" w:hint="eastAsia"/>
                <w:spacing w:val="-2"/>
                <w:szCs w:val="21"/>
              </w:rPr>
              <w:t>业绩报酬，仅用于理财产品会计核算，并将扣除“暂估超额业绩报酬”后的理财产品份额净值按照说明书约定向投资者进行披露。理财产品实际的超额业绩报酬以投资周期终止日或产品到期日计提核算的数值为准。计算</w:t>
            </w:r>
            <w:proofErr w:type="gramStart"/>
            <w:r>
              <w:rPr>
                <w:rFonts w:ascii="楷体" w:eastAsia="楷体" w:hAnsi="楷体" w:cs="宋体" w:hint="eastAsia"/>
                <w:spacing w:val="-2"/>
                <w:szCs w:val="21"/>
              </w:rPr>
              <w:t>累计年化收益率</w:t>
            </w:r>
            <w:proofErr w:type="gramEnd"/>
            <w:r>
              <w:rPr>
                <w:rFonts w:ascii="楷体" w:eastAsia="楷体" w:hAnsi="楷体" w:cs="宋体" w:hint="eastAsia"/>
                <w:spacing w:val="-2"/>
                <w:szCs w:val="21"/>
              </w:rPr>
              <w:t>和业绩比较基准时，1年按365日计算。</w:t>
            </w:r>
          </w:p>
          <w:p w:rsidR="003A7E55" w:rsidRDefault="003A7E55" w:rsidP="003A7E55">
            <w:pPr>
              <w:widowControl w:val="0"/>
              <w:ind w:left="59" w:rightChars="35" w:right="77"/>
              <w:jc w:val="both"/>
              <w:rPr>
                <w:rFonts w:ascii="楷体" w:eastAsia="楷体" w:hAnsi="楷体"/>
                <w:kern w:val="2"/>
                <w:sz w:val="24"/>
                <w:szCs w:val="24"/>
              </w:rPr>
            </w:pPr>
            <w:r>
              <w:rPr>
                <w:rFonts w:ascii="楷体" w:eastAsia="楷体" w:hAnsi="楷体" w:cs="宋体" w:hint="eastAsia"/>
                <w:spacing w:val="-2"/>
                <w:szCs w:val="21"/>
              </w:rPr>
              <w:t>产品存续期内苏银理财可对费用进行调整，实际收取费率以管理人公告为准。</w:t>
            </w:r>
            <w:r>
              <w:rPr>
                <w:rFonts w:ascii="楷体" w:eastAsia="楷体" w:hAnsi="楷体" w:cs="宋体" w:hint="eastAsia"/>
                <w:b/>
                <w:spacing w:val="-2"/>
                <w:szCs w:val="21"/>
                <w:u w:val="single"/>
              </w:rPr>
              <w:t>本产品设置有多个份额，各份额按照设置的销售对象和销售起点进行销售，各份额实际收取的销售服务费率和投资管理费率可能存在差异，客户根据产品销售时设置的条件自主选择购买。</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lastRenderedPageBreak/>
              <w:t>估值日</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本产品每日估值，每个开放日结束后2个工作日内通过本理财产品说明书约定方式披露上一投资周期终止日的单位净值、份额累计净值、认/申购价格和赎回价格。详见产品说明书“十一、产品估值”。</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暂停估值</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在前一估值日内，产品资产净值50%以上的资产不具备活跃交易市场或者在活跃市场中无报价，且不能采用估值技术可靠计量公允价值的，应当暂停本产品估值，并采取延缓支付赎回款项或暂停接受理财产品认购、赎回申请等措施。</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收益分配</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按投资周期进行现金分红。当一个投资周期结束，在满足投资周期终止日理财产品单位净值大于面值的条件下，管理人可进行现金分红，现金分红金额为单个投资周期投资产生的收益扣除固定费用（包括托管费、销售服务费、投资管理费）、运作产品所必须缴纳的税费、提取业绩报酬（如有）后的部分，2个工作日内到达投资者资金账户。详见产品说明书“九、收益分配”。</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信息披露</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管理人将按照《理财产品说明书》中约定的方式进行信息披露，详见产品说明书“十六、信息披露”。</w:t>
            </w:r>
          </w:p>
        </w:tc>
      </w:tr>
      <w:tr w:rsidR="003A7E55" w:rsidTr="003A7E55">
        <w:trPr>
          <w:trHeight w:val="397"/>
          <w:jc w:val="center"/>
        </w:trPr>
        <w:tc>
          <w:tcPr>
            <w:tcW w:w="2279" w:type="dxa"/>
            <w:tcBorders>
              <w:top w:val="single" w:sz="4" w:space="0" w:color="auto"/>
              <w:left w:val="single" w:sz="4" w:space="0" w:color="auto"/>
              <w:bottom w:val="single" w:sz="4" w:space="0" w:color="auto"/>
              <w:right w:val="single" w:sz="4" w:space="0" w:color="auto"/>
            </w:tcBorders>
            <w:vAlign w:val="center"/>
            <w:hideMark/>
          </w:tcPr>
          <w:p w:rsidR="003A7E55" w:rsidRDefault="003A7E55">
            <w:pPr>
              <w:pStyle w:val="TableParagraph"/>
              <w:kinsoku w:val="0"/>
              <w:overflowPunct w:val="0"/>
              <w:spacing w:before="18"/>
              <w:ind w:left="55"/>
              <w:jc w:val="both"/>
              <w:rPr>
                <w:rFonts w:ascii="楷体" w:eastAsia="楷体" w:hAnsi="楷体" w:cs="宋体"/>
                <w:b/>
                <w:spacing w:val="-2"/>
                <w:sz w:val="21"/>
                <w:szCs w:val="21"/>
              </w:rPr>
            </w:pPr>
            <w:r>
              <w:rPr>
                <w:rFonts w:ascii="楷体" w:eastAsia="楷体" w:hAnsi="楷体" w:cs="宋体" w:hint="eastAsia"/>
                <w:b/>
                <w:spacing w:val="-2"/>
                <w:sz w:val="21"/>
                <w:szCs w:val="21"/>
              </w:rPr>
              <w:t>税款</w:t>
            </w:r>
          </w:p>
        </w:tc>
        <w:tc>
          <w:tcPr>
            <w:tcW w:w="6616" w:type="dxa"/>
            <w:tcBorders>
              <w:top w:val="single" w:sz="4" w:space="0" w:color="auto"/>
              <w:left w:val="single" w:sz="4" w:space="0" w:color="auto"/>
              <w:bottom w:val="single" w:sz="4" w:space="0" w:color="auto"/>
              <w:right w:val="single" w:sz="4" w:space="0" w:color="auto"/>
            </w:tcBorders>
            <w:vAlign w:val="center"/>
            <w:hideMark/>
          </w:tcPr>
          <w:p w:rsidR="003A7E55" w:rsidRDefault="003A7E55" w:rsidP="003A7E55">
            <w:pPr>
              <w:widowControl w:val="0"/>
              <w:ind w:left="59" w:rightChars="35" w:right="77"/>
              <w:jc w:val="both"/>
              <w:rPr>
                <w:rFonts w:ascii="楷体" w:eastAsia="楷体" w:hAnsi="楷体" w:cs="宋体"/>
                <w:spacing w:val="-2"/>
                <w:kern w:val="2"/>
                <w:sz w:val="21"/>
                <w:szCs w:val="21"/>
              </w:rPr>
            </w:pPr>
            <w:r>
              <w:rPr>
                <w:rFonts w:ascii="楷体" w:eastAsia="楷体" w:hAnsi="楷体" w:cs="宋体" w:hint="eastAsia"/>
                <w:spacing w:val="-2"/>
                <w:szCs w:val="21"/>
              </w:rPr>
              <w:t>本产品运作过程中涉及的各纳税主体，其纳税义务按国家税收法</w:t>
            </w:r>
            <w:r>
              <w:rPr>
                <w:rFonts w:ascii="楷体" w:eastAsia="楷体" w:hAnsi="楷体" w:cs="宋体" w:hint="eastAsia"/>
                <w:spacing w:val="-2"/>
                <w:szCs w:val="21"/>
              </w:rPr>
              <w:lastRenderedPageBreak/>
              <w:t>律、法规执行。详见产品说明书“十四、税收规定”。</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lastRenderedPageBreak/>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附件：1.“苏银理财</w:t>
      </w:r>
      <w:r w:rsidR="001568B8">
        <w:rPr>
          <w:rFonts w:ascii="仿宋_GB2312" w:eastAsia="仿宋_GB2312" w:hAnsi="微软雅黑" w:cs="宋体" w:hint="eastAsia"/>
          <w:color w:val="000000"/>
          <w:sz w:val="32"/>
          <w:szCs w:val="32"/>
        </w:rPr>
        <w:t>恒源</w:t>
      </w:r>
      <w:r w:rsidR="003A7E55">
        <w:rPr>
          <w:rFonts w:ascii="仿宋_GB2312" w:eastAsia="仿宋_GB2312" w:hAnsi="微软雅黑" w:cs="宋体" w:hint="eastAsia"/>
          <w:color w:val="000000"/>
          <w:sz w:val="32"/>
          <w:szCs w:val="32"/>
        </w:rPr>
        <w:t>1年定开2期</w:t>
      </w:r>
      <w:r>
        <w:rPr>
          <w:rFonts w:ascii="仿宋_GB2312" w:eastAsia="仿宋_GB2312" w:hAnsi="微软雅黑" w:cs="宋体" w:hint="eastAsia"/>
          <w:color w:val="000000"/>
          <w:sz w:val="32"/>
          <w:szCs w:val="32"/>
        </w:rPr>
        <w:t>”理财产品说明书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 理财产品代理销售协议书、苏银理财有限责任公司理财产品投资协议书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3.“苏银理财</w:t>
      </w:r>
      <w:r w:rsidR="001568B8">
        <w:rPr>
          <w:rFonts w:ascii="仿宋_GB2312" w:eastAsia="仿宋_GB2312" w:hAnsi="微软雅黑" w:cs="宋体" w:hint="eastAsia"/>
          <w:color w:val="000000"/>
          <w:sz w:val="32"/>
          <w:szCs w:val="32"/>
        </w:rPr>
        <w:t>恒源</w:t>
      </w:r>
      <w:r w:rsidR="003A7E55">
        <w:rPr>
          <w:rFonts w:ascii="仿宋_GB2312" w:eastAsia="仿宋_GB2312" w:hAnsi="微软雅黑" w:cs="宋体" w:hint="eastAsia"/>
          <w:color w:val="000000"/>
          <w:sz w:val="32"/>
          <w:szCs w:val="32"/>
        </w:rPr>
        <w:t>1年定开2期</w:t>
      </w:r>
      <w:r>
        <w:rPr>
          <w:rFonts w:ascii="仿宋_GB2312" w:eastAsia="仿宋_GB2312" w:hAnsi="微软雅黑" w:cs="宋体" w:hint="eastAsia"/>
          <w:color w:val="000000"/>
          <w:sz w:val="32"/>
          <w:szCs w:val="32"/>
        </w:rPr>
        <w:t>”理财产品风险揭示书</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4.苏银理财有限责任公司投资者权益须知</w:t>
      </w:r>
    </w:p>
    <w:p w:rsidR="00C934C7" w:rsidRDefault="0068015B">
      <w:pPr>
        <w:adjustRightInd/>
        <w:snapToGrid/>
        <w:spacing w:after="0"/>
        <w:ind w:firstLineChars="500" w:firstLine="160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5. 风险承受能力评估表</w:t>
      </w:r>
    </w:p>
    <w:p w:rsidR="00C934C7" w:rsidRDefault="00C934C7">
      <w:pPr>
        <w:adjustRightInd/>
        <w:snapToGrid/>
        <w:spacing w:after="0"/>
        <w:ind w:firstLine="645"/>
        <w:rPr>
          <w:rFonts w:ascii="微软雅黑" w:hAnsi="微软雅黑" w:cs="宋体"/>
          <w:color w:val="000000"/>
          <w:sz w:val="30"/>
          <w:szCs w:val="30"/>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504D41">
        <w:rPr>
          <w:rFonts w:ascii="仿宋_GB2312" w:eastAsia="仿宋_GB2312" w:hAnsi="微软雅黑" w:cs="宋体" w:hint="eastAsia"/>
          <w:color w:val="000000"/>
          <w:sz w:val="32"/>
          <w:szCs w:val="32"/>
        </w:rPr>
        <w:t>4</w:t>
      </w:r>
      <w:r>
        <w:rPr>
          <w:rFonts w:ascii="仿宋_GB2312" w:eastAsia="仿宋_GB2312" w:hAnsi="微软雅黑" w:cs="宋体" w:hint="eastAsia"/>
          <w:color w:val="000000"/>
          <w:sz w:val="32"/>
          <w:szCs w:val="32"/>
        </w:rPr>
        <w:t>年</w:t>
      </w:r>
      <w:r w:rsidR="003A7E55">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月</w:t>
      </w:r>
      <w:r w:rsidR="003A7E55">
        <w:rPr>
          <w:rFonts w:ascii="仿宋_GB2312" w:eastAsia="仿宋_GB2312" w:hAnsi="微软雅黑" w:cs="宋体" w:hint="eastAsia"/>
          <w:color w:val="000000"/>
          <w:sz w:val="32"/>
          <w:szCs w:val="32"/>
        </w:rPr>
        <w:t>1</w:t>
      </w:r>
      <w:r>
        <w:rPr>
          <w:rFonts w:ascii="仿宋_GB2312" w:eastAsia="仿宋_GB2312" w:hAnsi="微软雅黑" w:cs="宋体" w:hint="eastAsia"/>
          <w:color w:val="000000"/>
          <w:sz w:val="32"/>
          <w:szCs w:val="32"/>
        </w:rPr>
        <w:t>日</w:t>
      </w:r>
    </w:p>
    <w:sectPr w:rsidR="00C934C7"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CA0DAA"/>
    <w:multiLevelType w:val="singleLevel"/>
    <w:tmpl w:val="77CA0DAA"/>
    <w:lvl w:ilvl="0">
      <w:start w:val="2"/>
      <w:numFmt w:val="decimal"/>
      <w:lvlText w:val="%1."/>
      <w:lvlJc w:val="left"/>
      <w:pPr>
        <w:tabs>
          <w:tab w:val="num" w:pos="312"/>
        </w:tabs>
        <w:ind w:left="0" w:firstLine="0"/>
      </w:pPr>
    </w:lvl>
  </w:abstractNum>
  <w:abstractNum w:abstractNumId="1">
    <w:nsid w:val="790DC278"/>
    <w:multiLevelType w:val="singleLevel"/>
    <w:tmpl w:val="790DC278"/>
    <w:lvl w:ilvl="0">
      <w:start w:val="2"/>
      <w:numFmt w:val="decimal"/>
      <w:lvlText w:val="%1."/>
      <w:lvlJc w:val="left"/>
      <w:pPr>
        <w:tabs>
          <w:tab w:val="num" w:pos="312"/>
        </w:tabs>
        <w:ind w:left="0" w:firstLine="0"/>
      </w:pPr>
    </w:lvl>
  </w:abstractNum>
  <w:num w:numId="1">
    <w:abstractNumId w:val="0"/>
    <w:lvlOverride w:ilvl="0">
      <w:startOverride w:val="2"/>
    </w:lvlOverride>
  </w:num>
  <w:num w:numId="2">
    <w:abstractNumId w:val="1"/>
    <w:lvlOverride w:ilvl="0">
      <w:startOverride w:val="2"/>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2A13"/>
    <w:rsid w:val="00003CE2"/>
    <w:rsid w:val="00014D89"/>
    <w:rsid w:val="00021393"/>
    <w:rsid w:val="0002233E"/>
    <w:rsid w:val="00025736"/>
    <w:rsid w:val="0003278E"/>
    <w:rsid w:val="00040E2C"/>
    <w:rsid w:val="000430CA"/>
    <w:rsid w:val="00050465"/>
    <w:rsid w:val="0005056B"/>
    <w:rsid w:val="000547BB"/>
    <w:rsid w:val="0006322B"/>
    <w:rsid w:val="000729EB"/>
    <w:rsid w:val="000812F4"/>
    <w:rsid w:val="00087413"/>
    <w:rsid w:val="000936F7"/>
    <w:rsid w:val="000957AC"/>
    <w:rsid w:val="000A5028"/>
    <w:rsid w:val="000E18A2"/>
    <w:rsid w:val="000E1FA9"/>
    <w:rsid w:val="000E7543"/>
    <w:rsid w:val="0010440D"/>
    <w:rsid w:val="00110B5C"/>
    <w:rsid w:val="001225F8"/>
    <w:rsid w:val="001568B8"/>
    <w:rsid w:val="00157799"/>
    <w:rsid w:val="00160908"/>
    <w:rsid w:val="00166E18"/>
    <w:rsid w:val="001704E3"/>
    <w:rsid w:val="00174CF3"/>
    <w:rsid w:val="00174FC8"/>
    <w:rsid w:val="00182785"/>
    <w:rsid w:val="001877E5"/>
    <w:rsid w:val="001930D1"/>
    <w:rsid w:val="001A556D"/>
    <w:rsid w:val="001B2273"/>
    <w:rsid w:val="001D40A6"/>
    <w:rsid w:val="001F04DE"/>
    <w:rsid w:val="001F72B5"/>
    <w:rsid w:val="00201E20"/>
    <w:rsid w:val="00206F8F"/>
    <w:rsid w:val="00207F97"/>
    <w:rsid w:val="00214CF7"/>
    <w:rsid w:val="00216E71"/>
    <w:rsid w:val="002215E6"/>
    <w:rsid w:val="002235BC"/>
    <w:rsid w:val="00233CED"/>
    <w:rsid w:val="00236FDA"/>
    <w:rsid w:val="002513BD"/>
    <w:rsid w:val="00252BD9"/>
    <w:rsid w:val="00257856"/>
    <w:rsid w:val="00274452"/>
    <w:rsid w:val="00277323"/>
    <w:rsid w:val="002777A1"/>
    <w:rsid w:val="00283408"/>
    <w:rsid w:val="002866F6"/>
    <w:rsid w:val="0029028F"/>
    <w:rsid w:val="002A2171"/>
    <w:rsid w:val="002A6593"/>
    <w:rsid w:val="002B1948"/>
    <w:rsid w:val="002C248B"/>
    <w:rsid w:val="002D757D"/>
    <w:rsid w:val="002D7671"/>
    <w:rsid w:val="002E2039"/>
    <w:rsid w:val="002E3ECB"/>
    <w:rsid w:val="002E7145"/>
    <w:rsid w:val="002F07C0"/>
    <w:rsid w:val="003047C4"/>
    <w:rsid w:val="0030562B"/>
    <w:rsid w:val="003059D5"/>
    <w:rsid w:val="00320D56"/>
    <w:rsid w:val="00321DB8"/>
    <w:rsid w:val="00322F4C"/>
    <w:rsid w:val="00323B43"/>
    <w:rsid w:val="00325A0A"/>
    <w:rsid w:val="00347193"/>
    <w:rsid w:val="00350A41"/>
    <w:rsid w:val="00353076"/>
    <w:rsid w:val="00353BA9"/>
    <w:rsid w:val="00355E21"/>
    <w:rsid w:val="00357EB7"/>
    <w:rsid w:val="00361A72"/>
    <w:rsid w:val="00382F18"/>
    <w:rsid w:val="00393219"/>
    <w:rsid w:val="003A7E55"/>
    <w:rsid w:val="003C0D6B"/>
    <w:rsid w:val="003C1D41"/>
    <w:rsid w:val="003D37D8"/>
    <w:rsid w:val="003D4715"/>
    <w:rsid w:val="003D7D6E"/>
    <w:rsid w:val="003E2BFC"/>
    <w:rsid w:val="003F70AB"/>
    <w:rsid w:val="00410A33"/>
    <w:rsid w:val="00422AD1"/>
    <w:rsid w:val="00426133"/>
    <w:rsid w:val="00431C9E"/>
    <w:rsid w:val="004349C0"/>
    <w:rsid w:val="004358AB"/>
    <w:rsid w:val="00437758"/>
    <w:rsid w:val="00443E90"/>
    <w:rsid w:val="0044535E"/>
    <w:rsid w:val="00450005"/>
    <w:rsid w:val="00450C77"/>
    <w:rsid w:val="0045680A"/>
    <w:rsid w:val="00471A3B"/>
    <w:rsid w:val="004749F0"/>
    <w:rsid w:val="00476C3B"/>
    <w:rsid w:val="00477E73"/>
    <w:rsid w:val="0049140E"/>
    <w:rsid w:val="004935AB"/>
    <w:rsid w:val="004950F4"/>
    <w:rsid w:val="00496E4F"/>
    <w:rsid w:val="004A0DCA"/>
    <w:rsid w:val="004A451D"/>
    <w:rsid w:val="004B122B"/>
    <w:rsid w:val="004C175A"/>
    <w:rsid w:val="004D60FE"/>
    <w:rsid w:val="004E5D9C"/>
    <w:rsid w:val="00504D41"/>
    <w:rsid w:val="00510995"/>
    <w:rsid w:val="005168C5"/>
    <w:rsid w:val="005218F6"/>
    <w:rsid w:val="00523BDD"/>
    <w:rsid w:val="0052515C"/>
    <w:rsid w:val="00530F2D"/>
    <w:rsid w:val="00536DF2"/>
    <w:rsid w:val="00542DAC"/>
    <w:rsid w:val="00543584"/>
    <w:rsid w:val="00543782"/>
    <w:rsid w:val="0055369F"/>
    <w:rsid w:val="00577BF0"/>
    <w:rsid w:val="00587778"/>
    <w:rsid w:val="005B1774"/>
    <w:rsid w:val="005B45CF"/>
    <w:rsid w:val="005C155D"/>
    <w:rsid w:val="005C31E9"/>
    <w:rsid w:val="005D072F"/>
    <w:rsid w:val="005E1FB6"/>
    <w:rsid w:val="005F2B78"/>
    <w:rsid w:val="0060079E"/>
    <w:rsid w:val="00606205"/>
    <w:rsid w:val="00607EC0"/>
    <w:rsid w:val="00610019"/>
    <w:rsid w:val="006110FC"/>
    <w:rsid w:val="00611544"/>
    <w:rsid w:val="006128D5"/>
    <w:rsid w:val="006138E5"/>
    <w:rsid w:val="006148C9"/>
    <w:rsid w:val="0061606F"/>
    <w:rsid w:val="006214F4"/>
    <w:rsid w:val="00654E73"/>
    <w:rsid w:val="00677D5A"/>
    <w:rsid w:val="0068015B"/>
    <w:rsid w:val="00686D38"/>
    <w:rsid w:val="006C00E7"/>
    <w:rsid w:val="006C44CC"/>
    <w:rsid w:val="006C68D5"/>
    <w:rsid w:val="006F7856"/>
    <w:rsid w:val="00701C74"/>
    <w:rsid w:val="0070239F"/>
    <w:rsid w:val="00706321"/>
    <w:rsid w:val="00712D9D"/>
    <w:rsid w:val="0071401B"/>
    <w:rsid w:val="00714B02"/>
    <w:rsid w:val="007248B8"/>
    <w:rsid w:val="0073205A"/>
    <w:rsid w:val="00734DD7"/>
    <w:rsid w:val="00740E8C"/>
    <w:rsid w:val="00741563"/>
    <w:rsid w:val="00747E0A"/>
    <w:rsid w:val="00756BD0"/>
    <w:rsid w:val="007675CD"/>
    <w:rsid w:val="007750E0"/>
    <w:rsid w:val="00783419"/>
    <w:rsid w:val="007856F1"/>
    <w:rsid w:val="007865C9"/>
    <w:rsid w:val="00793A91"/>
    <w:rsid w:val="00795469"/>
    <w:rsid w:val="00796629"/>
    <w:rsid w:val="007A6260"/>
    <w:rsid w:val="007C44C4"/>
    <w:rsid w:val="007D35F2"/>
    <w:rsid w:val="00807315"/>
    <w:rsid w:val="00807E7F"/>
    <w:rsid w:val="008201C5"/>
    <w:rsid w:val="00827FB9"/>
    <w:rsid w:val="008445DB"/>
    <w:rsid w:val="008450A8"/>
    <w:rsid w:val="00846546"/>
    <w:rsid w:val="008507C0"/>
    <w:rsid w:val="0085497C"/>
    <w:rsid w:val="00854BCB"/>
    <w:rsid w:val="00867E9B"/>
    <w:rsid w:val="00884835"/>
    <w:rsid w:val="008928C6"/>
    <w:rsid w:val="008930CD"/>
    <w:rsid w:val="00893277"/>
    <w:rsid w:val="00895EEF"/>
    <w:rsid w:val="00896D1C"/>
    <w:rsid w:val="00897920"/>
    <w:rsid w:val="008A6AC1"/>
    <w:rsid w:val="008B008A"/>
    <w:rsid w:val="008B1C22"/>
    <w:rsid w:val="008B4334"/>
    <w:rsid w:val="008B450C"/>
    <w:rsid w:val="008B4E39"/>
    <w:rsid w:val="008B6523"/>
    <w:rsid w:val="008B7726"/>
    <w:rsid w:val="008E54AD"/>
    <w:rsid w:val="008F2B7A"/>
    <w:rsid w:val="008F5738"/>
    <w:rsid w:val="008F7CA5"/>
    <w:rsid w:val="00900193"/>
    <w:rsid w:val="00903E35"/>
    <w:rsid w:val="00911DE1"/>
    <w:rsid w:val="00916AFD"/>
    <w:rsid w:val="00951BFC"/>
    <w:rsid w:val="00953E58"/>
    <w:rsid w:val="0096633A"/>
    <w:rsid w:val="0096677C"/>
    <w:rsid w:val="00971266"/>
    <w:rsid w:val="00986A17"/>
    <w:rsid w:val="00994E7C"/>
    <w:rsid w:val="00996AC4"/>
    <w:rsid w:val="009A5FF7"/>
    <w:rsid w:val="009A6871"/>
    <w:rsid w:val="009B21F1"/>
    <w:rsid w:val="009B2786"/>
    <w:rsid w:val="009D1D85"/>
    <w:rsid w:val="009E16F2"/>
    <w:rsid w:val="009E4FF5"/>
    <w:rsid w:val="00A01DF4"/>
    <w:rsid w:val="00A215C9"/>
    <w:rsid w:val="00A30CF8"/>
    <w:rsid w:val="00A40FB0"/>
    <w:rsid w:val="00A4169B"/>
    <w:rsid w:val="00A445D0"/>
    <w:rsid w:val="00A54155"/>
    <w:rsid w:val="00A65280"/>
    <w:rsid w:val="00A67382"/>
    <w:rsid w:val="00A6775F"/>
    <w:rsid w:val="00A838DC"/>
    <w:rsid w:val="00A84AE0"/>
    <w:rsid w:val="00A9135E"/>
    <w:rsid w:val="00A9294C"/>
    <w:rsid w:val="00AA23FA"/>
    <w:rsid w:val="00AA717D"/>
    <w:rsid w:val="00AB482F"/>
    <w:rsid w:val="00AB6BA4"/>
    <w:rsid w:val="00AC33B2"/>
    <w:rsid w:val="00AC51A3"/>
    <w:rsid w:val="00AC6774"/>
    <w:rsid w:val="00AD4C9C"/>
    <w:rsid w:val="00AE6487"/>
    <w:rsid w:val="00AF3E9A"/>
    <w:rsid w:val="00B01B88"/>
    <w:rsid w:val="00B02F94"/>
    <w:rsid w:val="00B126A7"/>
    <w:rsid w:val="00B21220"/>
    <w:rsid w:val="00B22801"/>
    <w:rsid w:val="00B24A4C"/>
    <w:rsid w:val="00B27E33"/>
    <w:rsid w:val="00B4326E"/>
    <w:rsid w:val="00B73A10"/>
    <w:rsid w:val="00B74875"/>
    <w:rsid w:val="00B855EA"/>
    <w:rsid w:val="00B941A3"/>
    <w:rsid w:val="00B941AB"/>
    <w:rsid w:val="00BA2412"/>
    <w:rsid w:val="00BB376E"/>
    <w:rsid w:val="00BC76A8"/>
    <w:rsid w:val="00BC7E3B"/>
    <w:rsid w:val="00BE351A"/>
    <w:rsid w:val="00BE5610"/>
    <w:rsid w:val="00C00041"/>
    <w:rsid w:val="00C00431"/>
    <w:rsid w:val="00C15704"/>
    <w:rsid w:val="00C17395"/>
    <w:rsid w:val="00C23A87"/>
    <w:rsid w:val="00C468C3"/>
    <w:rsid w:val="00C50B0B"/>
    <w:rsid w:val="00C607FD"/>
    <w:rsid w:val="00C66A8C"/>
    <w:rsid w:val="00C71423"/>
    <w:rsid w:val="00C77D66"/>
    <w:rsid w:val="00C934C7"/>
    <w:rsid w:val="00CA2FAF"/>
    <w:rsid w:val="00CA70DD"/>
    <w:rsid w:val="00CB16FF"/>
    <w:rsid w:val="00CB29BA"/>
    <w:rsid w:val="00CB2A01"/>
    <w:rsid w:val="00CC3072"/>
    <w:rsid w:val="00CD21BA"/>
    <w:rsid w:val="00CD328F"/>
    <w:rsid w:val="00CD4295"/>
    <w:rsid w:val="00CD4F0F"/>
    <w:rsid w:val="00CD74BD"/>
    <w:rsid w:val="00CE0BFB"/>
    <w:rsid w:val="00CE0C36"/>
    <w:rsid w:val="00CF5224"/>
    <w:rsid w:val="00D0319E"/>
    <w:rsid w:val="00D06460"/>
    <w:rsid w:val="00D10241"/>
    <w:rsid w:val="00D20F22"/>
    <w:rsid w:val="00D31D50"/>
    <w:rsid w:val="00D42DFD"/>
    <w:rsid w:val="00D45AE0"/>
    <w:rsid w:val="00D476F9"/>
    <w:rsid w:val="00D51249"/>
    <w:rsid w:val="00D5491D"/>
    <w:rsid w:val="00D57726"/>
    <w:rsid w:val="00D67754"/>
    <w:rsid w:val="00D71146"/>
    <w:rsid w:val="00D763B7"/>
    <w:rsid w:val="00D80BDE"/>
    <w:rsid w:val="00D868B8"/>
    <w:rsid w:val="00D91D59"/>
    <w:rsid w:val="00DA13FA"/>
    <w:rsid w:val="00DA521E"/>
    <w:rsid w:val="00DB1998"/>
    <w:rsid w:val="00DB267C"/>
    <w:rsid w:val="00DC08E6"/>
    <w:rsid w:val="00DC1256"/>
    <w:rsid w:val="00DD1E41"/>
    <w:rsid w:val="00DD52AA"/>
    <w:rsid w:val="00DD75E1"/>
    <w:rsid w:val="00DE145A"/>
    <w:rsid w:val="00DF18D2"/>
    <w:rsid w:val="00DF416A"/>
    <w:rsid w:val="00E05633"/>
    <w:rsid w:val="00E210A0"/>
    <w:rsid w:val="00E328E5"/>
    <w:rsid w:val="00E342C9"/>
    <w:rsid w:val="00E51943"/>
    <w:rsid w:val="00E565E6"/>
    <w:rsid w:val="00E65FB9"/>
    <w:rsid w:val="00E773E2"/>
    <w:rsid w:val="00E774C6"/>
    <w:rsid w:val="00E807D3"/>
    <w:rsid w:val="00E86AD3"/>
    <w:rsid w:val="00EA1489"/>
    <w:rsid w:val="00EB3586"/>
    <w:rsid w:val="00EC780B"/>
    <w:rsid w:val="00EE0CF8"/>
    <w:rsid w:val="00EE50F7"/>
    <w:rsid w:val="00EF297D"/>
    <w:rsid w:val="00EF76FE"/>
    <w:rsid w:val="00F04234"/>
    <w:rsid w:val="00F13B7B"/>
    <w:rsid w:val="00F21AAA"/>
    <w:rsid w:val="00F234C6"/>
    <w:rsid w:val="00F24E77"/>
    <w:rsid w:val="00F52FAF"/>
    <w:rsid w:val="00F634A7"/>
    <w:rsid w:val="00F7443F"/>
    <w:rsid w:val="00F775C1"/>
    <w:rsid w:val="00F805F0"/>
    <w:rsid w:val="00F85965"/>
    <w:rsid w:val="00F94E57"/>
    <w:rsid w:val="00F957A8"/>
    <w:rsid w:val="00F96EC9"/>
    <w:rsid w:val="00FA233C"/>
    <w:rsid w:val="00FA792A"/>
    <w:rsid w:val="00FB39AB"/>
    <w:rsid w:val="00FC1CBF"/>
    <w:rsid w:val="00FC73A4"/>
    <w:rsid w:val="00FD35EB"/>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2"/>
    <w:uiPriority w:val="1"/>
    <w:unhideWhenUsed/>
    <w:qFormat/>
    <w:rsid w:val="00686D38"/>
    <w:pPr>
      <w:widowControl w:val="0"/>
      <w:autoSpaceDE w:val="0"/>
      <w:autoSpaceDN w:val="0"/>
      <w:snapToGrid/>
      <w:spacing w:before="162" w:after="0"/>
      <w:ind w:left="120"/>
    </w:pPr>
    <w:rPr>
      <w:rFonts w:ascii="宋体" w:eastAsia="宋体" w:hAnsi="Times New Roman" w:cs="Times New Roman"/>
      <w:sz w:val="20"/>
      <w:szCs w:val="21"/>
    </w:rPr>
  </w:style>
  <w:style w:type="character" w:customStyle="1" w:styleId="Char2">
    <w:name w:val="正文文本 Char"/>
    <w:basedOn w:val="a0"/>
    <w:link w:val="a9"/>
    <w:uiPriority w:val="1"/>
    <w:rsid w:val="00686D38"/>
    <w:rPr>
      <w:rFonts w:ascii="宋体" w:eastAsia="宋体" w:hAnsi="Times New Roman" w:cs="Times New Roman"/>
      <w:szCs w:val="21"/>
    </w:rPr>
  </w:style>
  <w:style w:type="table" w:styleId="aa">
    <w:name w:val="Table Grid"/>
    <w:basedOn w:val="a1"/>
    <w:uiPriority w:val="59"/>
    <w:rsid w:val="004E5D9C"/>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599614">
      <w:bodyDiv w:val="1"/>
      <w:marLeft w:val="0"/>
      <w:marRight w:val="0"/>
      <w:marTop w:val="0"/>
      <w:marBottom w:val="0"/>
      <w:divBdr>
        <w:top w:val="none" w:sz="0" w:space="0" w:color="auto"/>
        <w:left w:val="none" w:sz="0" w:space="0" w:color="auto"/>
        <w:bottom w:val="none" w:sz="0" w:space="0" w:color="auto"/>
        <w:right w:val="none" w:sz="0" w:space="0" w:color="auto"/>
      </w:divBdr>
    </w:div>
    <w:div w:id="37315461">
      <w:bodyDiv w:val="1"/>
      <w:marLeft w:val="0"/>
      <w:marRight w:val="0"/>
      <w:marTop w:val="0"/>
      <w:marBottom w:val="0"/>
      <w:divBdr>
        <w:top w:val="none" w:sz="0" w:space="0" w:color="auto"/>
        <w:left w:val="none" w:sz="0" w:space="0" w:color="auto"/>
        <w:bottom w:val="none" w:sz="0" w:space="0" w:color="auto"/>
        <w:right w:val="none" w:sz="0" w:space="0" w:color="auto"/>
      </w:divBdr>
    </w:div>
    <w:div w:id="70347470">
      <w:bodyDiv w:val="1"/>
      <w:marLeft w:val="0"/>
      <w:marRight w:val="0"/>
      <w:marTop w:val="0"/>
      <w:marBottom w:val="0"/>
      <w:divBdr>
        <w:top w:val="none" w:sz="0" w:space="0" w:color="auto"/>
        <w:left w:val="none" w:sz="0" w:space="0" w:color="auto"/>
        <w:bottom w:val="none" w:sz="0" w:space="0" w:color="auto"/>
        <w:right w:val="none" w:sz="0" w:space="0" w:color="auto"/>
      </w:divBdr>
    </w:div>
    <w:div w:id="83040985">
      <w:bodyDiv w:val="1"/>
      <w:marLeft w:val="0"/>
      <w:marRight w:val="0"/>
      <w:marTop w:val="0"/>
      <w:marBottom w:val="0"/>
      <w:divBdr>
        <w:top w:val="none" w:sz="0" w:space="0" w:color="auto"/>
        <w:left w:val="none" w:sz="0" w:space="0" w:color="auto"/>
        <w:bottom w:val="none" w:sz="0" w:space="0" w:color="auto"/>
        <w:right w:val="none" w:sz="0" w:space="0" w:color="auto"/>
      </w:divBdr>
    </w:div>
    <w:div w:id="117188080">
      <w:bodyDiv w:val="1"/>
      <w:marLeft w:val="0"/>
      <w:marRight w:val="0"/>
      <w:marTop w:val="0"/>
      <w:marBottom w:val="0"/>
      <w:divBdr>
        <w:top w:val="none" w:sz="0" w:space="0" w:color="auto"/>
        <w:left w:val="none" w:sz="0" w:space="0" w:color="auto"/>
        <w:bottom w:val="none" w:sz="0" w:space="0" w:color="auto"/>
        <w:right w:val="none" w:sz="0" w:space="0" w:color="auto"/>
      </w:divBdr>
    </w:div>
    <w:div w:id="228350912">
      <w:bodyDiv w:val="1"/>
      <w:marLeft w:val="0"/>
      <w:marRight w:val="0"/>
      <w:marTop w:val="0"/>
      <w:marBottom w:val="0"/>
      <w:divBdr>
        <w:top w:val="none" w:sz="0" w:space="0" w:color="auto"/>
        <w:left w:val="none" w:sz="0" w:space="0" w:color="auto"/>
        <w:bottom w:val="none" w:sz="0" w:space="0" w:color="auto"/>
        <w:right w:val="none" w:sz="0" w:space="0" w:color="auto"/>
      </w:divBdr>
    </w:div>
    <w:div w:id="299726233">
      <w:bodyDiv w:val="1"/>
      <w:marLeft w:val="0"/>
      <w:marRight w:val="0"/>
      <w:marTop w:val="0"/>
      <w:marBottom w:val="0"/>
      <w:divBdr>
        <w:top w:val="none" w:sz="0" w:space="0" w:color="auto"/>
        <w:left w:val="none" w:sz="0" w:space="0" w:color="auto"/>
        <w:bottom w:val="none" w:sz="0" w:space="0" w:color="auto"/>
        <w:right w:val="none" w:sz="0" w:space="0" w:color="auto"/>
      </w:divBdr>
    </w:div>
    <w:div w:id="324435341">
      <w:bodyDiv w:val="1"/>
      <w:marLeft w:val="0"/>
      <w:marRight w:val="0"/>
      <w:marTop w:val="0"/>
      <w:marBottom w:val="0"/>
      <w:divBdr>
        <w:top w:val="none" w:sz="0" w:space="0" w:color="auto"/>
        <w:left w:val="none" w:sz="0" w:space="0" w:color="auto"/>
        <w:bottom w:val="none" w:sz="0" w:space="0" w:color="auto"/>
        <w:right w:val="none" w:sz="0" w:space="0" w:color="auto"/>
      </w:divBdr>
    </w:div>
    <w:div w:id="327758945">
      <w:bodyDiv w:val="1"/>
      <w:marLeft w:val="0"/>
      <w:marRight w:val="0"/>
      <w:marTop w:val="0"/>
      <w:marBottom w:val="0"/>
      <w:divBdr>
        <w:top w:val="none" w:sz="0" w:space="0" w:color="auto"/>
        <w:left w:val="none" w:sz="0" w:space="0" w:color="auto"/>
        <w:bottom w:val="none" w:sz="0" w:space="0" w:color="auto"/>
        <w:right w:val="none" w:sz="0" w:space="0" w:color="auto"/>
      </w:divBdr>
    </w:div>
    <w:div w:id="338239528">
      <w:bodyDiv w:val="1"/>
      <w:marLeft w:val="0"/>
      <w:marRight w:val="0"/>
      <w:marTop w:val="0"/>
      <w:marBottom w:val="0"/>
      <w:divBdr>
        <w:top w:val="none" w:sz="0" w:space="0" w:color="auto"/>
        <w:left w:val="none" w:sz="0" w:space="0" w:color="auto"/>
        <w:bottom w:val="none" w:sz="0" w:space="0" w:color="auto"/>
        <w:right w:val="none" w:sz="0" w:space="0" w:color="auto"/>
      </w:divBdr>
    </w:div>
    <w:div w:id="349844223">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04036575">
      <w:bodyDiv w:val="1"/>
      <w:marLeft w:val="0"/>
      <w:marRight w:val="0"/>
      <w:marTop w:val="0"/>
      <w:marBottom w:val="0"/>
      <w:divBdr>
        <w:top w:val="none" w:sz="0" w:space="0" w:color="auto"/>
        <w:left w:val="none" w:sz="0" w:space="0" w:color="auto"/>
        <w:bottom w:val="none" w:sz="0" w:space="0" w:color="auto"/>
        <w:right w:val="none" w:sz="0" w:space="0" w:color="auto"/>
      </w:divBdr>
    </w:div>
    <w:div w:id="481390408">
      <w:bodyDiv w:val="1"/>
      <w:marLeft w:val="0"/>
      <w:marRight w:val="0"/>
      <w:marTop w:val="0"/>
      <w:marBottom w:val="0"/>
      <w:divBdr>
        <w:top w:val="none" w:sz="0" w:space="0" w:color="auto"/>
        <w:left w:val="none" w:sz="0" w:space="0" w:color="auto"/>
        <w:bottom w:val="none" w:sz="0" w:space="0" w:color="auto"/>
        <w:right w:val="none" w:sz="0" w:space="0" w:color="auto"/>
      </w:divBdr>
    </w:div>
    <w:div w:id="524754712">
      <w:bodyDiv w:val="1"/>
      <w:marLeft w:val="0"/>
      <w:marRight w:val="0"/>
      <w:marTop w:val="0"/>
      <w:marBottom w:val="0"/>
      <w:divBdr>
        <w:top w:val="none" w:sz="0" w:space="0" w:color="auto"/>
        <w:left w:val="none" w:sz="0" w:space="0" w:color="auto"/>
        <w:bottom w:val="none" w:sz="0" w:space="0" w:color="auto"/>
        <w:right w:val="none" w:sz="0" w:space="0" w:color="auto"/>
      </w:divBdr>
    </w:div>
    <w:div w:id="535195898">
      <w:bodyDiv w:val="1"/>
      <w:marLeft w:val="0"/>
      <w:marRight w:val="0"/>
      <w:marTop w:val="0"/>
      <w:marBottom w:val="0"/>
      <w:divBdr>
        <w:top w:val="none" w:sz="0" w:space="0" w:color="auto"/>
        <w:left w:val="none" w:sz="0" w:space="0" w:color="auto"/>
        <w:bottom w:val="none" w:sz="0" w:space="0" w:color="auto"/>
        <w:right w:val="none" w:sz="0" w:space="0" w:color="auto"/>
      </w:divBdr>
    </w:div>
    <w:div w:id="575172281">
      <w:bodyDiv w:val="1"/>
      <w:marLeft w:val="0"/>
      <w:marRight w:val="0"/>
      <w:marTop w:val="0"/>
      <w:marBottom w:val="0"/>
      <w:divBdr>
        <w:top w:val="none" w:sz="0" w:space="0" w:color="auto"/>
        <w:left w:val="none" w:sz="0" w:space="0" w:color="auto"/>
        <w:bottom w:val="none" w:sz="0" w:space="0" w:color="auto"/>
        <w:right w:val="none" w:sz="0" w:space="0" w:color="auto"/>
      </w:divBdr>
    </w:div>
    <w:div w:id="716005716">
      <w:bodyDiv w:val="1"/>
      <w:marLeft w:val="0"/>
      <w:marRight w:val="0"/>
      <w:marTop w:val="0"/>
      <w:marBottom w:val="0"/>
      <w:divBdr>
        <w:top w:val="none" w:sz="0" w:space="0" w:color="auto"/>
        <w:left w:val="none" w:sz="0" w:space="0" w:color="auto"/>
        <w:bottom w:val="none" w:sz="0" w:space="0" w:color="auto"/>
        <w:right w:val="none" w:sz="0" w:space="0" w:color="auto"/>
      </w:divBdr>
    </w:div>
    <w:div w:id="737938738">
      <w:bodyDiv w:val="1"/>
      <w:marLeft w:val="0"/>
      <w:marRight w:val="0"/>
      <w:marTop w:val="0"/>
      <w:marBottom w:val="0"/>
      <w:divBdr>
        <w:top w:val="none" w:sz="0" w:space="0" w:color="auto"/>
        <w:left w:val="none" w:sz="0" w:space="0" w:color="auto"/>
        <w:bottom w:val="none" w:sz="0" w:space="0" w:color="auto"/>
        <w:right w:val="none" w:sz="0" w:space="0" w:color="auto"/>
      </w:divBdr>
    </w:div>
    <w:div w:id="842546893">
      <w:bodyDiv w:val="1"/>
      <w:marLeft w:val="0"/>
      <w:marRight w:val="0"/>
      <w:marTop w:val="0"/>
      <w:marBottom w:val="0"/>
      <w:divBdr>
        <w:top w:val="none" w:sz="0" w:space="0" w:color="auto"/>
        <w:left w:val="none" w:sz="0" w:space="0" w:color="auto"/>
        <w:bottom w:val="none" w:sz="0" w:space="0" w:color="auto"/>
        <w:right w:val="none" w:sz="0" w:space="0" w:color="auto"/>
      </w:divBdr>
    </w:div>
    <w:div w:id="865024800">
      <w:bodyDiv w:val="1"/>
      <w:marLeft w:val="0"/>
      <w:marRight w:val="0"/>
      <w:marTop w:val="0"/>
      <w:marBottom w:val="0"/>
      <w:divBdr>
        <w:top w:val="none" w:sz="0" w:space="0" w:color="auto"/>
        <w:left w:val="none" w:sz="0" w:space="0" w:color="auto"/>
        <w:bottom w:val="none" w:sz="0" w:space="0" w:color="auto"/>
        <w:right w:val="none" w:sz="0" w:space="0" w:color="auto"/>
      </w:divBdr>
    </w:div>
    <w:div w:id="878470338">
      <w:bodyDiv w:val="1"/>
      <w:marLeft w:val="0"/>
      <w:marRight w:val="0"/>
      <w:marTop w:val="0"/>
      <w:marBottom w:val="0"/>
      <w:divBdr>
        <w:top w:val="none" w:sz="0" w:space="0" w:color="auto"/>
        <w:left w:val="none" w:sz="0" w:space="0" w:color="auto"/>
        <w:bottom w:val="none" w:sz="0" w:space="0" w:color="auto"/>
        <w:right w:val="none" w:sz="0" w:space="0" w:color="auto"/>
      </w:divBdr>
    </w:div>
    <w:div w:id="904995981">
      <w:bodyDiv w:val="1"/>
      <w:marLeft w:val="0"/>
      <w:marRight w:val="0"/>
      <w:marTop w:val="0"/>
      <w:marBottom w:val="0"/>
      <w:divBdr>
        <w:top w:val="none" w:sz="0" w:space="0" w:color="auto"/>
        <w:left w:val="none" w:sz="0" w:space="0" w:color="auto"/>
        <w:bottom w:val="none" w:sz="0" w:space="0" w:color="auto"/>
        <w:right w:val="none" w:sz="0" w:space="0" w:color="auto"/>
      </w:divBdr>
    </w:div>
    <w:div w:id="914823888">
      <w:bodyDiv w:val="1"/>
      <w:marLeft w:val="0"/>
      <w:marRight w:val="0"/>
      <w:marTop w:val="0"/>
      <w:marBottom w:val="0"/>
      <w:divBdr>
        <w:top w:val="none" w:sz="0" w:space="0" w:color="auto"/>
        <w:left w:val="none" w:sz="0" w:space="0" w:color="auto"/>
        <w:bottom w:val="none" w:sz="0" w:space="0" w:color="auto"/>
        <w:right w:val="none" w:sz="0" w:space="0" w:color="auto"/>
      </w:divBdr>
    </w:div>
    <w:div w:id="962031499">
      <w:bodyDiv w:val="1"/>
      <w:marLeft w:val="0"/>
      <w:marRight w:val="0"/>
      <w:marTop w:val="0"/>
      <w:marBottom w:val="0"/>
      <w:divBdr>
        <w:top w:val="none" w:sz="0" w:space="0" w:color="auto"/>
        <w:left w:val="none" w:sz="0" w:space="0" w:color="auto"/>
        <w:bottom w:val="none" w:sz="0" w:space="0" w:color="auto"/>
        <w:right w:val="none" w:sz="0" w:space="0" w:color="auto"/>
      </w:divBdr>
    </w:div>
    <w:div w:id="962419440">
      <w:bodyDiv w:val="1"/>
      <w:marLeft w:val="0"/>
      <w:marRight w:val="0"/>
      <w:marTop w:val="0"/>
      <w:marBottom w:val="0"/>
      <w:divBdr>
        <w:top w:val="none" w:sz="0" w:space="0" w:color="auto"/>
        <w:left w:val="none" w:sz="0" w:space="0" w:color="auto"/>
        <w:bottom w:val="none" w:sz="0" w:space="0" w:color="auto"/>
        <w:right w:val="none" w:sz="0" w:space="0" w:color="auto"/>
      </w:divBdr>
    </w:div>
    <w:div w:id="997608971">
      <w:bodyDiv w:val="1"/>
      <w:marLeft w:val="0"/>
      <w:marRight w:val="0"/>
      <w:marTop w:val="0"/>
      <w:marBottom w:val="0"/>
      <w:divBdr>
        <w:top w:val="none" w:sz="0" w:space="0" w:color="auto"/>
        <w:left w:val="none" w:sz="0" w:space="0" w:color="auto"/>
        <w:bottom w:val="none" w:sz="0" w:space="0" w:color="auto"/>
        <w:right w:val="none" w:sz="0" w:space="0" w:color="auto"/>
      </w:divBdr>
    </w:div>
    <w:div w:id="1002663353">
      <w:bodyDiv w:val="1"/>
      <w:marLeft w:val="0"/>
      <w:marRight w:val="0"/>
      <w:marTop w:val="0"/>
      <w:marBottom w:val="0"/>
      <w:divBdr>
        <w:top w:val="none" w:sz="0" w:space="0" w:color="auto"/>
        <w:left w:val="none" w:sz="0" w:space="0" w:color="auto"/>
        <w:bottom w:val="none" w:sz="0" w:space="0" w:color="auto"/>
        <w:right w:val="none" w:sz="0" w:space="0" w:color="auto"/>
      </w:divBdr>
    </w:div>
    <w:div w:id="1039863600">
      <w:bodyDiv w:val="1"/>
      <w:marLeft w:val="0"/>
      <w:marRight w:val="0"/>
      <w:marTop w:val="0"/>
      <w:marBottom w:val="0"/>
      <w:divBdr>
        <w:top w:val="none" w:sz="0" w:space="0" w:color="auto"/>
        <w:left w:val="none" w:sz="0" w:space="0" w:color="auto"/>
        <w:bottom w:val="none" w:sz="0" w:space="0" w:color="auto"/>
        <w:right w:val="none" w:sz="0" w:space="0" w:color="auto"/>
      </w:divBdr>
    </w:div>
    <w:div w:id="1050420566">
      <w:bodyDiv w:val="1"/>
      <w:marLeft w:val="0"/>
      <w:marRight w:val="0"/>
      <w:marTop w:val="0"/>
      <w:marBottom w:val="0"/>
      <w:divBdr>
        <w:top w:val="none" w:sz="0" w:space="0" w:color="auto"/>
        <w:left w:val="none" w:sz="0" w:space="0" w:color="auto"/>
        <w:bottom w:val="none" w:sz="0" w:space="0" w:color="auto"/>
        <w:right w:val="none" w:sz="0" w:space="0" w:color="auto"/>
      </w:divBdr>
    </w:div>
    <w:div w:id="1151408250">
      <w:bodyDiv w:val="1"/>
      <w:marLeft w:val="0"/>
      <w:marRight w:val="0"/>
      <w:marTop w:val="0"/>
      <w:marBottom w:val="0"/>
      <w:divBdr>
        <w:top w:val="none" w:sz="0" w:space="0" w:color="auto"/>
        <w:left w:val="none" w:sz="0" w:space="0" w:color="auto"/>
        <w:bottom w:val="none" w:sz="0" w:space="0" w:color="auto"/>
        <w:right w:val="none" w:sz="0" w:space="0" w:color="auto"/>
      </w:divBdr>
    </w:div>
    <w:div w:id="1166749069">
      <w:bodyDiv w:val="1"/>
      <w:marLeft w:val="0"/>
      <w:marRight w:val="0"/>
      <w:marTop w:val="0"/>
      <w:marBottom w:val="0"/>
      <w:divBdr>
        <w:top w:val="none" w:sz="0" w:space="0" w:color="auto"/>
        <w:left w:val="none" w:sz="0" w:space="0" w:color="auto"/>
        <w:bottom w:val="none" w:sz="0" w:space="0" w:color="auto"/>
        <w:right w:val="none" w:sz="0" w:space="0" w:color="auto"/>
      </w:divBdr>
    </w:div>
    <w:div w:id="1171221227">
      <w:bodyDiv w:val="1"/>
      <w:marLeft w:val="0"/>
      <w:marRight w:val="0"/>
      <w:marTop w:val="0"/>
      <w:marBottom w:val="0"/>
      <w:divBdr>
        <w:top w:val="none" w:sz="0" w:space="0" w:color="auto"/>
        <w:left w:val="none" w:sz="0" w:space="0" w:color="auto"/>
        <w:bottom w:val="none" w:sz="0" w:space="0" w:color="auto"/>
        <w:right w:val="none" w:sz="0" w:space="0" w:color="auto"/>
      </w:divBdr>
    </w:div>
    <w:div w:id="1196700567">
      <w:bodyDiv w:val="1"/>
      <w:marLeft w:val="0"/>
      <w:marRight w:val="0"/>
      <w:marTop w:val="0"/>
      <w:marBottom w:val="0"/>
      <w:divBdr>
        <w:top w:val="none" w:sz="0" w:space="0" w:color="auto"/>
        <w:left w:val="none" w:sz="0" w:space="0" w:color="auto"/>
        <w:bottom w:val="none" w:sz="0" w:space="0" w:color="auto"/>
        <w:right w:val="none" w:sz="0" w:space="0" w:color="auto"/>
      </w:divBdr>
    </w:div>
    <w:div w:id="1225602950">
      <w:bodyDiv w:val="1"/>
      <w:marLeft w:val="0"/>
      <w:marRight w:val="0"/>
      <w:marTop w:val="0"/>
      <w:marBottom w:val="0"/>
      <w:divBdr>
        <w:top w:val="none" w:sz="0" w:space="0" w:color="auto"/>
        <w:left w:val="none" w:sz="0" w:space="0" w:color="auto"/>
        <w:bottom w:val="none" w:sz="0" w:space="0" w:color="auto"/>
        <w:right w:val="none" w:sz="0" w:space="0" w:color="auto"/>
      </w:divBdr>
    </w:div>
    <w:div w:id="1231624056">
      <w:bodyDiv w:val="1"/>
      <w:marLeft w:val="0"/>
      <w:marRight w:val="0"/>
      <w:marTop w:val="0"/>
      <w:marBottom w:val="0"/>
      <w:divBdr>
        <w:top w:val="none" w:sz="0" w:space="0" w:color="auto"/>
        <w:left w:val="none" w:sz="0" w:space="0" w:color="auto"/>
        <w:bottom w:val="none" w:sz="0" w:space="0" w:color="auto"/>
        <w:right w:val="none" w:sz="0" w:space="0" w:color="auto"/>
      </w:divBdr>
    </w:div>
    <w:div w:id="1237738435">
      <w:bodyDiv w:val="1"/>
      <w:marLeft w:val="0"/>
      <w:marRight w:val="0"/>
      <w:marTop w:val="0"/>
      <w:marBottom w:val="0"/>
      <w:divBdr>
        <w:top w:val="none" w:sz="0" w:space="0" w:color="auto"/>
        <w:left w:val="none" w:sz="0" w:space="0" w:color="auto"/>
        <w:bottom w:val="none" w:sz="0" w:space="0" w:color="auto"/>
        <w:right w:val="none" w:sz="0" w:space="0" w:color="auto"/>
      </w:divBdr>
    </w:div>
    <w:div w:id="1318223783">
      <w:bodyDiv w:val="1"/>
      <w:marLeft w:val="0"/>
      <w:marRight w:val="0"/>
      <w:marTop w:val="0"/>
      <w:marBottom w:val="0"/>
      <w:divBdr>
        <w:top w:val="none" w:sz="0" w:space="0" w:color="auto"/>
        <w:left w:val="none" w:sz="0" w:space="0" w:color="auto"/>
        <w:bottom w:val="none" w:sz="0" w:space="0" w:color="auto"/>
        <w:right w:val="none" w:sz="0" w:space="0" w:color="auto"/>
      </w:divBdr>
    </w:div>
    <w:div w:id="1335380646">
      <w:bodyDiv w:val="1"/>
      <w:marLeft w:val="0"/>
      <w:marRight w:val="0"/>
      <w:marTop w:val="0"/>
      <w:marBottom w:val="0"/>
      <w:divBdr>
        <w:top w:val="none" w:sz="0" w:space="0" w:color="auto"/>
        <w:left w:val="none" w:sz="0" w:space="0" w:color="auto"/>
        <w:bottom w:val="none" w:sz="0" w:space="0" w:color="auto"/>
        <w:right w:val="none" w:sz="0" w:space="0" w:color="auto"/>
      </w:divBdr>
    </w:div>
    <w:div w:id="1376464566">
      <w:bodyDiv w:val="1"/>
      <w:marLeft w:val="0"/>
      <w:marRight w:val="0"/>
      <w:marTop w:val="0"/>
      <w:marBottom w:val="0"/>
      <w:divBdr>
        <w:top w:val="none" w:sz="0" w:space="0" w:color="auto"/>
        <w:left w:val="none" w:sz="0" w:space="0" w:color="auto"/>
        <w:bottom w:val="none" w:sz="0" w:space="0" w:color="auto"/>
        <w:right w:val="none" w:sz="0" w:space="0" w:color="auto"/>
      </w:divBdr>
    </w:div>
    <w:div w:id="1407920993">
      <w:bodyDiv w:val="1"/>
      <w:marLeft w:val="0"/>
      <w:marRight w:val="0"/>
      <w:marTop w:val="0"/>
      <w:marBottom w:val="0"/>
      <w:divBdr>
        <w:top w:val="none" w:sz="0" w:space="0" w:color="auto"/>
        <w:left w:val="none" w:sz="0" w:space="0" w:color="auto"/>
        <w:bottom w:val="none" w:sz="0" w:space="0" w:color="auto"/>
        <w:right w:val="none" w:sz="0" w:space="0" w:color="auto"/>
      </w:divBdr>
    </w:div>
    <w:div w:id="1423334282">
      <w:bodyDiv w:val="1"/>
      <w:marLeft w:val="0"/>
      <w:marRight w:val="0"/>
      <w:marTop w:val="0"/>
      <w:marBottom w:val="0"/>
      <w:divBdr>
        <w:top w:val="none" w:sz="0" w:space="0" w:color="auto"/>
        <w:left w:val="none" w:sz="0" w:space="0" w:color="auto"/>
        <w:bottom w:val="none" w:sz="0" w:space="0" w:color="auto"/>
        <w:right w:val="none" w:sz="0" w:space="0" w:color="auto"/>
      </w:divBdr>
    </w:div>
    <w:div w:id="1454906528">
      <w:bodyDiv w:val="1"/>
      <w:marLeft w:val="0"/>
      <w:marRight w:val="0"/>
      <w:marTop w:val="0"/>
      <w:marBottom w:val="0"/>
      <w:divBdr>
        <w:top w:val="none" w:sz="0" w:space="0" w:color="auto"/>
        <w:left w:val="none" w:sz="0" w:space="0" w:color="auto"/>
        <w:bottom w:val="none" w:sz="0" w:space="0" w:color="auto"/>
        <w:right w:val="none" w:sz="0" w:space="0" w:color="auto"/>
      </w:divBdr>
    </w:div>
    <w:div w:id="1490706850">
      <w:bodyDiv w:val="1"/>
      <w:marLeft w:val="0"/>
      <w:marRight w:val="0"/>
      <w:marTop w:val="0"/>
      <w:marBottom w:val="0"/>
      <w:divBdr>
        <w:top w:val="none" w:sz="0" w:space="0" w:color="auto"/>
        <w:left w:val="none" w:sz="0" w:space="0" w:color="auto"/>
        <w:bottom w:val="none" w:sz="0" w:space="0" w:color="auto"/>
        <w:right w:val="none" w:sz="0" w:space="0" w:color="auto"/>
      </w:divBdr>
    </w:div>
    <w:div w:id="1516964254">
      <w:bodyDiv w:val="1"/>
      <w:marLeft w:val="0"/>
      <w:marRight w:val="0"/>
      <w:marTop w:val="0"/>
      <w:marBottom w:val="0"/>
      <w:divBdr>
        <w:top w:val="none" w:sz="0" w:space="0" w:color="auto"/>
        <w:left w:val="none" w:sz="0" w:space="0" w:color="auto"/>
        <w:bottom w:val="none" w:sz="0" w:space="0" w:color="auto"/>
        <w:right w:val="none" w:sz="0" w:space="0" w:color="auto"/>
      </w:divBdr>
    </w:div>
    <w:div w:id="1520896180">
      <w:bodyDiv w:val="1"/>
      <w:marLeft w:val="0"/>
      <w:marRight w:val="0"/>
      <w:marTop w:val="0"/>
      <w:marBottom w:val="0"/>
      <w:divBdr>
        <w:top w:val="none" w:sz="0" w:space="0" w:color="auto"/>
        <w:left w:val="none" w:sz="0" w:space="0" w:color="auto"/>
        <w:bottom w:val="none" w:sz="0" w:space="0" w:color="auto"/>
        <w:right w:val="none" w:sz="0" w:space="0" w:color="auto"/>
      </w:divBdr>
    </w:div>
    <w:div w:id="1548950026">
      <w:bodyDiv w:val="1"/>
      <w:marLeft w:val="0"/>
      <w:marRight w:val="0"/>
      <w:marTop w:val="0"/>
      <w:marBottom w:val="0"/>
      <w:divBdr>
        <w:top w:val="none" w:sz="0" w:space="0" w:color="auto"/>
        <w:left w:val="none" w:sz="0" w:space="0" w:color="auto"/>
        <w:bottom w:val="none" w:sz="0" w:space="0" w:color="auto"/>
        <w:right w:val="none" w:sz="0" w:space="0" w:color="auto"/>
      </w:divBdr>
    </w:div>
    <w:div w:id="1583878229">
      <w:bodyDiv w:val="1"/>
      <w:marLeft w:val="0"/>
      <w:marRight w:val="0"/>
      <w:marTop w:val="0"/>
      <w:marBottom w:val="0"/>
      <w:divBdr>
        <w:top w:val="none" w:sz="0" w:space="0" w:color="auto"/>
        <w:left w:val="none" w:sz="0" w:space="0" w:color="auto"/>
        <w:bottom w:val="none" w:sz="0" w:space="0" w:color="auto"/>
        <w:right w:val="none" w:sz="0" w:space="0" w:color="auto"/>
      </w:divBdr>
    </w:div>
    <w:div w:id="1621648720">
      <w:bodyDiv w:val="1"/>
      <w:marLeft w:val="0"/>
      <w:marRight w:val="0"/>
      <w:marTop w:val="0"/>
      <w:marBottom w:val="0"/>
      <w:divBdr>
        <w:top w:val="none" w:sz="0" w:space="0" w:color="auto"/>
        <w:left w:val="none" w:sz="0" w:space="0" w:color="auto"/>
        <w:bottom w:val="none" w:sz="0" w:space="0" w:color="auto"/>
        <w:right w:val="none" w:sz="0" w:space="0" w:color="auto"/>
      </w:divBdr>
    </w:div>
    <w:div w:id="1624117632">
      <w:bodyDiv w:val="1"/>
      <w:marLeft w:val="0"/>
      <w:marRight w:val="0"/>
      <w:marTop w:val="0"/>
      <w:marBottom w:val="0"/>
      <w:divBdr>
        <w:top w:val="none" w:sz="0" w:space="0" w:color="auto"/>
        <w:left w:val="none" w:sz="0" w:space="0" w:color="auto"/>
        <w:bottom w:val="none" w:sz="0" w:space="0" w:color="auto"/>
        <w:right w:val="none" w:sz="0" w:space="0" w:color="auto"/>
      </w:divBdr>
    </w:div>
    <w:div w:id="1651129430">
      <w:bodyDiv w:val="1"/>
      <w:marLeft w:val="0"/>
      <w:marRight w:val="0"/>
      <w:marTop w:val="0"/>
      <w:marBottom w:val="0"/>
      <w:divBdr>
        <w:top w:val="none" w:sz="0" w:space="0" w:color="auto"/>
        <w:left w:val="none" w:sz="0" w:space="0" w:color="auto"/>
        <w:bottom w:val="none" w:sz="0" w:space="0" w:color="auto"/>
        <w:right w:val="none" w:sz="0" w:space="0" w:color="auto"/>
      </w:divBdr>
    </w:div>
    <w:div w:id="1702166886">
      <w:bodyDiv w:val="1"/>
      <w:marLeft w:val="0"/>
      <w:marRight w:val="0"/>
      <w:marTop w:val="0"/>
      <w:marBottom w:val="0"/>
      <w:divBdr>
        <w:top w:val="none" w:sz="0" w:space="0" w:color="auto"/>
        <w:left w:val="none" w:sz="0" w:space="0" w:color="auto"/>
        <w:bottom w:val="none" w:sz="0" w:space="0" w:color="auto"/>
        <w:right w:val="none" w:sz="0" w:space="0" w:color="auto"/>
      </w:divBdr>
    </w:div>
    <w:div w:id="1733428410">
      <w:bodyDiv w:val="1"/>
      <w:marLeft w:val="0"/>
      <w:marRight w:val="0"/>
      <w:marTop w:val="0"/>
      <w:marBottom w:val="0"/>
      <w:divBdr>
        <w:top w:val="none" w:sz="0" w:space="0" w:color="auto"/>
        <w:left w:val="none" w:sz="0" w:space="0" w:color="auto"/>
        <w:bottom w:val="none" w:sz="0" w:space="0" w:color="auto"/>
        <w:right w:val="none" w:sz="0" w:space="0" w:color="auto"/>
      </w:divBdr>
    </w:div>
    <w:div w:id="1765878610">
      <w:bodyDiv w:val="1"/>
      <w:marLeft w:val="0"/>
      <w:marRight w:val="0"/>
      <w:marTop w:val="0"/>
      <w:marBottom w:val="0"/>
      <w:divBdr>
        <w:top w:val="none" w:sz="0" w:space="0" w:color="auto"/>
        <w:left w:val="none" w:sz="0" w:space="0" w:color="auto"/>
        <w:bottom w:val="none" w:sz="0" w:space="0" w:color="auto"/>
        <w:right w:val="none" w:sz="0" w:space="0" w:color="auto"/>
      </w:divBdr>
    </w:div>
    <w:div w:id="1826513300">
      <w:bodyDiv w:val="1"/>
      <w:marLeft w:val="0"/>
      <w:marRight w:val="0"/>
      <w:marTop w:val="0"/>
      <w:marBottom w:val="0"/>
      <w:divBdr>
        <w:top w:val="none" w:sz="0" w:space="0" w:color="auto"/>
        <w:left w:val="none" w:sz="0" w:space="0" w:color="auto"/>
        <w:bottom w:val="none" w:sz="0" w:space="0" w:color="auto"/>
        <w:right w:val="none" w:sz="0" w:space="0" w:color="auto"/>
      </w:divBdr>
    </w:div>
    <w:div w:id="1858693509">
      <w:bodyDiv w:val="1"/>
      <w:marLeft w:val="0"/>
      <w:marRight w:val="0"/>
      <w:marTop w:val="0"/>
      <w:marBottom w:val="0"/>
      <w:divBdr>
        <w:top w:val="none" w:sz="0" w:space="0" w:color="auto"/>
        <w:left w:val="none" w:sz="0" w:space="0" w:color="auto"/>
        <w:bottom w:val="none" w:sz="0" w:space="0" w:color="auto"/>
        <w:right w:val="none" w:sz="0" w:space="0" w:color="auto"/>
      </w:divBdr>
    </w:div>
    <w:div w:id="1909878040">
      <w:bodyDiv w:val="1"/>
      <w:marLeft w:val="0"/>
      <w:marRight w:val="0"/>
      <w:marTop w:val="0"/>
      <w:marBottom w:val="0"/>
      <w:divBdr>
        <w:top w:val="none" w:sz="0" w:space="0" w:color="auto"/>
        <w:left w:val="none" w:sz="0" w:space="0" w:color="auto"/>
        <w:bottom w:val="none" w:sz="0" w:space="0" w:color="auto"/>
        <w:right w:val="none" w:sz="0" w:space="0" w:color="auto"/>
      </w:divBdr>
    </w:div>
    <w:div w:id="1934120422">
      <w:bodyDiv w:val="1"/>
      <w:marLeft w:val="0"/>
      <w:marRight w:val="0"/>
      <w:marTop w:val="0"/>
      <w:marBottom w:val="0"/>
      <w:divBdr>
        <w:top w:val="none" w:sz="0" w:space="0" w:color="auto"/>
        <w:left w:val="none" w:sz="0" w:space="0" w:color="auto"/>
        <w:bottom w:val="none" w:sz="0" w:space="0" w:color="auto"/>
        <w:right w:val="none" w:sz="0" w:space="0" w:color="auto"/>
      </w:divBdr>
    </w:div>
    <w:div w:id="1990357880">
      <w:bodyDiv w:val="1"/>
      <w:marLeft w:val="0"/>
      <w:marRight w:val="0"/>
      <w:marTop w:val="0"/>
      <w:marBottom w:val="0"/>
      <w:divBdr>
        <w:top w:val="none" w:sz="0" w:space="0" w:color="auto"/>
        <w:left w:val="none" w:sz="0" w:space="0" w:color="auto"/>
        <w:bottom w:val="none" w:sz="0" w:space="0" w:color="auto"/>
        <w:right w:val="none" w:sz="0" w:space="0" w:color="auto"/>
      </w:divBdr>
    </w:div>
    <w:div w:id="2014263380">
      <w:bodyDiv w:val="1"/>
      <w:marLeft w:val="0"/>
      <w:marRight w:val="0"/>
      <w:marTop w:val="0"/>
      <w:marBottom w:val="0"/>
      <w:divBdr>
        <w:top w:val="none" w:sz="0" w:space="0" w:color="auto"/>
        <w:left w:val="none" w:sz="0" w:space="0" w:color="auto"/>
        <w:bottom w:val="none" w:sz="0" w:space="0" w:color="auto"/>
        <w:right w:val="none" w:sz="0" w:space="0" w:color="auto"/>
      </w:divBdr>
    </w:div>
    <w:div w:id="2017268741">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44497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857</TotalTime>
  <Pages>1</Pages>
  <Words>677</Words>
  <Characters>3861</Characters>
  <Application>Microsoft Office Word</Application>
  <DocSecurity>0</DocSecurity>
  <Lines>32</Lines>
  <Paragraphs>9</Paragraphs>
  <ScaleCrop>false</ScaleCrop>
  <Company/>
  <LinksUpToDate>false</LinksUpToDate>
  <CharactersWithSpaces>4529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307</cp:revision>
  <cp:lastPrinted>2021-06-03T04:20:00Z</cp:lastPrinted>
  <dcterms:created xsi:type="dcterms:W3CDTF">2008-09-11T17:20:00Z</dcterms:created>
  <dcterms:modified xsi:type="dcterms:W3CDTF">2024-02-29T08:13:00Z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