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utoSpaceDE/>
        <w:autoSpaceDN/>
        <w:adjustRightInd w:val="0"/>
        <w:snapToGrid w:val="0"/>
        <w:spacing w:before="100" w:beforeAutospacing="1" w:after="225"/>
        <w:jc w:val="center"/>
        <w:outlineLvl w:val="1"/>
        <w:rPr>
          <w:b/>
          <w:kern w:val="36"/>
          <w:sz w:val="32"/>
          <w:szCs w:val="21"/>
          <w:lang w:val="en-US" w:bidi="ar-SA"/>
        </w:rPr>
      </w:pPr>
      <w:r>
        <w:rPr>
          <w:rFonts w:hint="eastAsia"/>
          <w:b/>
          <w:kern w:val="36"/>
          <w:sz w:val="32"/>
          <w:szCs w:val="21"/>
          <w:lang w:val="en-US" w:bidi="ar-SA"/>
        </w:rPr>
        <w:t>关于【兴业银行天天万利宝稳利2号净值型理财产品C款】节假日申购安排调整的公告</w:t>
      </w:r>
    </w:p>
    <w:p>
      <w:pPr>
        <w:widowControl/>
        <w:autoSpaceDE/>
        <w:autoSpaceDN/>
        <w:adjustRightInd w:val="0"/>
        <w:snapToGrid w:val="0"/>
        <w:spacing w:before="150" w:after="150"/>
        <w:rPr>
          <w:sz w:val="21"/>
          <w:szCs w:val="21"/>
          <w:lang w:val="en-US" w:bidi="ar-SA"/>
        </w:rPr>
      </w:pPr>
      <w:r>
        <w:rPr>
          <w:rFonts w:hint="eastAsia"/>
          <w:sz w:val="21"/>
          <w:szCs w:val="21"/>
          <w:lang w:val="en-US" w:bidi="ar-SA"/>
        </w:rPr>
        <w:t>尊敬的客户：</w:t>
      </w:r>
    </w:p>
    <w:p>
      <w:pPr>
        <w:widowControl/>
        <w:autoSpaceDE/>
        <w:autoSpaceDN/>
        <w:adjustRightInd w:val="0"/>
        <w:snapToGrid w:val="0"/>
        <w:spacing w:before="150"/>
        <w:ind w:firstLine="480"/>
        <w:rPr>
          <w:sz w:val="21"/>
          <w:szCs w:val="21"/>
          <w:lang w:val="en-US" w:bidi="ar-SA"/>
        </w:rPr>
      </w:pPr>
      <w:r>
        <w:rPr>
          <w:rFonts w:hint="eastAsia"/>
          <w:sz w:val="21"/>
          <w:szCs w:val="21"/>
          <w:lang w:val="en-US" w:bidi="ar-SA"/>
        </w:rPr>
        <w:t>因2024年节假日安排，根据销售文件约定，如遇节假日可调整预约赎回期，对部分理财产品的预约赎回安排做出调整，具体安排如下：</w:t>
      </w:r>
    </w:p>
    <w:tbl>
      <w:tblPr>
        <w:tblStyle w:val="9"/>
        <w:tblW w:w="8407" w:type="dxa"/>
        <w:jc w:val="cente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82"/>
        <w:gridCol w:w="2521"/>
        <w:gridCol w:w="1688"/>
        <w:gridCol w:w="1658"/>
        <w:gridCol w:w="1658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2" w:hRule="atLeast"/>
          <w:jc w:val="center"/>
        </w:trPr>
        <w:tc>
          <w:tcPr>
            <w:tcW w:w="882" w:type="dxa"/>
            <w:tcBorders>
              <w:top w:val="single" w:color="0077CC" w:sz="6" w:space="0"/>
              <w:left w:val="single" w:color="0077CC" w:sz="6" w:space="0"/>
              <w:bottom w:val="single" w:color="0077CC" w:sz="6" w:space="0"/>
              <w:right w:val="single" w:color="0077CC" w:sz="6" w:space="0"/>
            </w:tcBorders>
            <w:vAlign w:val="center"/>
          </w:tcPr>
          <w:p>
            <w:pPr>
              <w:widowControl/>
              <w:autoSpaceDE/>
              <w:autoSpaceDN/>
              <w:adjustRightInd w:val="0"/>
              <w:snapToGrid w:val="0"/>
              <w:jc w:val="center"/>
              <w:rPr>
                <w:sz w:val="21"/>
                <w:szCs w:val="21"/>
                <w:lang w:val="en-US" w:bidi="ar-SA"/>
              </w:rPr>
            </w:pPr>
            <w:r>
              <w:rPr>
                <w:rFonts w:hint="eastAsia"/>
                <w:sz w:val="21"/>
                <w:szCs w:val="21"/>
                <w:lang w:val="en-US" w:bidi="ar-SA"/>
              </w:rPr>
              <w:t>产品代码</w:t>
            </w:r>
          </w:p>
        </w:tc>
        <w:tc>
          <w:tcPr>
            <w:tcW w:w="2521" w:type="dxa"/>
            <w:tcBorders>
              <w:top w:val="single" w:color="0077CC" w:sz="6" w:space="0"/>
              <w:left w:val="single" w:color="0077CC" w:sz="6" w:space="0"/>
              <w:bottom w:val="single" w:color="0077CC" w:sz="6" w:space="0"/>
              <w:right w:val="single" w:color="0077CC" w:sz="6" w:space="0"/>
            </w:tcBorders>
            <w:vAlign w:val="center"/>
          </w:tcPr>
          <w:p>
            <w:pPr>
              <w:widowControl/>
              <w:autoSpaceDE/>
              <w:autoSpaceDN/>
              <w:adjustRightInd w:val="0"/>
              <w:snapToGrid w:val="0"/>
              <w:jc w:val="center"/>
              <w:rPr>
                <w:sz w:val="21"/>
                <w:szCs w:val="21"/>
                <w:lang w:val="en-US" w:bidi="ar-SA"/>
              </w:rPr>
            </w:pPr>
            <w:r>
              <w:rPr>
                <w:rFonts w:hint="eastAsia"/>
                <w:sz w:val="21"/>
                <w:szCs w:val="21"/>
              </w:rPr>
              <w:t>理财产品名称</w:t>
            </w:r>
          </w:p>
        </w:tc>
        <w:tc>
          <w:tcPr>
            <w:tcW w:w="1688" w:type="dxa"/>
            <w:tcBorders>
              <w:top w:val="single" w:color="0077CC" w:sz="6" w:space="0"/>
              <w:left w:val="single" w:color="0077CC" w:sz="6" w:space="0"/>
              <w:bottom w:val="single" w:color="0077CC" w:sz="6" w:space="0"/>
              <w:right w:val="single" w:color="0077CC" w:sz="6" w:space="0"/>
            </w:tcBorders>
            <w:vAlign w:val="center"/>
          </w:tcPr>
          <w:p>
            <w:pPr>
              <w:widowControl/>
              <w:autoSpaceDE/>
              <w:autoSpaceDN/>
              <w:adjustRightInd w:val="0"/>
              <w:snapToGrid w:val="0"/>
              <w:jc w:val="center"/>
              <w:rPr>
                <w:sz w:val="21"/>
                <w:szCs w:val="21"/>
                <w:lang w:val="en-US" w:bidi="ar-SA"/>
              </w:rPr>
            </w:pPr>
            <w:r>
              <w:rPr>
                <w:rFonts w:hint="eastAsia"/>
                <w:sz w:val="21"/>
                <w:szCs w:val="21"/>
                <w:lang w:val="en-US" w:bidi="ar-SA"/>
              </w:rPr>
              <w:t>原预约赎回期</w:t>
            </w:r>
          </w:p>
          <w:p>
            <w:pPr>
              <w:widowControl/>
              <w:autoSpaceDE/>
              <w:autoSpaceDN/>
              <w:adjustRightInd w:val="0"/>
              <w:snapToGrid w:val="0"/>
              <w:jc w:val="center"/>
              <w:rPr>
                <w:sz w:val="21"/>
                <w:szCs w:val="21"/>
                <w:lang w:val="en-US" w:bidi="ar-SA"/>
              </w:rPr>
            </w:pPr>
          </w:p>
        </w:tc>
        <w:tc>
          <w:tcPr>
            <w:tcW w:w="1658" w:type="dxa"/>
            <w:tcBorders>
              <w:top w:val="single" w:color="0077CC" w:sz="6" w:space="0"/>
              <w:left w:val="single" w:color="0077CC" w:sz="6" w:space="0"/>
              <w:bottom w:val="single" w:color="0077CC" w:sz="6" w:space="0"/>
              <w:right w:val="single" w:color="0077CC" w:sz="6" w:space="0"/>
            </w:tcBorders>
          </w:tcPr>
          <w:p>
            <w:pPr>
              <w:widowControl/>
              <w:autoSpaceDE/>
              <w:autoSpaceDN/>
              <w:adjustRightInd w:val="0"/>
              <w:snapToGrid w:val="0"/>
              <w:jc w:val="center"/>
              <w:rPr>
                <w:b/>
                <w:bCs/>
                <w:sz w:val="21"/>
                <w:szCs w:val="21"/>
                <w:lang w:val="en-US" w:bidi="ar-SA"/>
              </w:rPr>
            </w:pPr>
          </w:p>
          <w:p>
            <w:pPr>
              <w:widowControl/>
              <w:autoSpaceDE/>
              <w:autoSpaceDN/>
              <w:adjustRightInd w:val="0"/>
              <w:snapToGrid w:val="0"/>
              <w:jc w:val="center"/>
              <w:rPr>
                <w:sz w:val="21"/>
                <w:szCs w:val="21"/>
                <w:lang w:val="en-US" w:bidi="ar-SA"/>
              </w:rPr>
            </w:pPr>
            <w:r>
              <w:rPr>
                <w:rFonts w:hint="eastAsia"/>
                <w:sz w:val="21"/>
                <w:szCs w:val="21"/>
                <w:lang w:val="en-US" w:bidi="ar-SA"/>
              </w:rPr>
              <w:t>调整后预约赎回期</w:t>
            </w:r>
          </w:p>
          <w:p>
            <w:pPr>
              <w:widowControl/>
              <w:autoSpaceDE/>
              <w:autoSpaceDN/>
              <w:adjustRightInd w:val="0"/>
              <w:snapToGrid w:val="0"/>
              <w:jc w:val="center"/>
              <w:rPr>
                <w:b/>
                <w:sz w:val="21"/>
                <w:szCs w:val="21"/>
                <w:lang w:val="en-US" w:bidi="ar-SA"/>
              </w:rPr>
            </w:pPr>
          </w:p>
        </w:tc>
        <w:tc>
          <w:tcPr>
            <w:tcW w:w="1658" w:type="dxa"/>
            <w:tcBorders>
              <w:top w:val="single" w:color="0077CC" w:sz="6" w:space="0"/>
              <w:left w:val="single" w:color="0077CC" w:sz="6" w:space="0"/>
              <w:bottom w:val="single" w:color="0077CC" w:sz="6" w:space="0"/>
              <w:right w:val="single" w:color="0077CC" w:sz="6" w:space="0"/>
            </w:tcBorders>
          </w:tcPr>
          <w:p>
            <w:pPr>
              <w:widowControl/>
              <w:autoSpaceDE/>
              <w:autoSpaceDN/>
              <w:adjustRightInd w:val="0"/>
              <w:snapToGrid w:val="0"/>
              <w:jc w:val="center"/>
              <w:rPr>
                <w:sz w:val="21"/>
                <w:szCs w:val="21"/>
                <w:lang w:val="en-US" w:bidi="ar-SA"/>
              </w:rPr>
            </w:pPr>
            <w:r>
              <w:rPr>
                <w:rFonts w:hint="eastAsia"/>
                <w:sz w:val="21"/>
                <w:szCs w:val="21"/>
                <w:lang w:val="en-US" w:bidi="ar-SA"/>
              </w:rPr>
              <w:t>赎回确认日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8" w:hRule="atLeast"/>
          <w:jc w:val="center"/>
        </w:trPr>
        <w:tc>
          <w:tcPr>
            <w:tcW w:w="882" w:type="dxa"/>
            <w:tcBorders>
              <w:top w:val="single" w:color="0077CC" w:sz="6" w:space="0"/>
              <w:left w:val="single" w:color="0077CC" w:sz="6" w:space="0"/>
              <w:bottom w:val="single" w:color="0077CC" w:sz="6" w:space="0"/>
              <w:right w:val="single" w:color="0077CC" w:sz="6" w:space="0"/>
            </w:tcBorders>
          </w:tcPr>
          <w:p>
            <w:pPr>
              <w:rPr>
                <w:rFonts w:cs="Arial"/>
                <w:sz w:val="21"/>
                <w:szCs w:val="21"/>
              </w:rPr>
            </w:pPr>
            <w:r>
              <w:rPr>
                <w:rFonts w:hint="eastAsia" w:cs="Arial"/>
                <w:sz w:val="21"/>
                <w:szCs w:val="21"/>
              </w:rPr>
              <w:t>9K218023</w:t>
            </w:r>
          </w:p>
        </w:tc>
        <w:tc>
          <w:tcPr>
            <w:tcW w:w="2521" w:type="dxa"/>
            <w:tcBorders>
              <w:top w:val="single" w:color="0077CC" w:sz="6" w:space="0"/>
              <w:left w:val="single" w:color="0077CC" w:sz="6" w:space="0"/>
              <w:bottom w:val="single" w:color="0077CC" w:sz="6" w:space="0"/>
              <w:right w:val="single" w:color="0077CC" w:sz="6" w:space="0"/>
            </w:tcBorders>
          </w:tcPr>
          <w:p>
            <w:pPr>
              <w:widowControl/>
              <w:autoSpaceDE/>
              <w:autoSpaceDN/>
              <w:adjustRightInd w:val="0"/>
              <w:snapToGrid w:val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兴业银行天天万利宝稳利2号净值型理财产品C款</w:t>
            </w:r>
          </w:p>
        </w:tc>
        <w:tc>
          <w:tcPr>
            <w:tcW w:w="1688" w:type="dxa"/>
            <w:tcBorders>
              <w:top w:val="single" w:color="0077CC" w:sz="6" w:space="0"/>
              <w:left w:val="single" w:color="0077CC" w:sz="6" w:space="0"/>
              <w:bottom w:val="single" w:color="0077CC" w:sz="6" w:space="0"/>
              <w:right w:val="single" w:color="0077CC" w:sz="6" w:space="0"/>
            </w:tcBorders>
          </w:tcPr>
          <w:p>
            <w:pPr>
              <w:widowControl/>
              <w:autoSpaceDE/>
              <w:autoSpaceDN/>
              <w:adjustRightInd w:val="0"/>
              <w:snapToGrid w:val="0"/>
              <w:jc w:val="center"/>
              <w:rPr>
                <w:sz w:val="21"/>
                <w:szCs w:val="21"/>
                <w:lang w:val="en-US" w:bidi="ar-SA"/>
              </w:rPr>
            </w:pPr>
            <w:r>
              <w:rPr>
                <w:rFonts w:hint="eastAsia"/>
                <w:sz w:val="21"/>
                <w:szCs w:val="21"/>
              </w:rPr>
              <w:t>【2024】年【02】月【1</w:t>
            </w:r>
            <w:r>
              <w:rPr>
                <w:sz w:val="21"/>
                <w:szCs w:val="21"/>
              </w:rPr>
              <w:t>6</w:t>
            </w:r>
            <w:r>
              <w:rPr>
                <w:rFonts w:hint="eastAsia"/>
                <w:sz w:val="21"/>
                <w:szCs w:val="21"/>
              </w:rPr>
              <w:t>】日00:00至【2024】年【02】月【26】日15:45</w:t>
            </w:r>
          </w:p>
        </w:tc>
        <w:tc>
          <w:tcPr>
            <w:tcW w:w="1658" w:type="dxa"/>
            <w:tcBorders>
              <w:top w:val="single" w:color="0077CC" w:sz="6" w:space="0"/>
              <w:left w:val="single" w:color="0077CC" w:sz="6" w:space="0"/>
              <w:bottom w:val="single" w:color="0077CC" w:sz="6" w:space="0"/>
              <w:right w:val="single" w:color="0077CC" w:sz="6" w:space="0"/>
            </w:tcBorders>
          </w:tcPr>
          <w:p>
            <w:pPr>
              <w:widowControl/>
              <w:autoSpaceDE/>
              <w:autoSpaceDN/>
              <w:adjustRightInd w:val="0"/>
              <w:snapToGrid w:val="0"/>
              <w:jc w:val="center"/>
              <w:rPr>
                <w:b/>
                <w:sz w:val="21"/>
                <w:szCs w:val="21"/>
                <w:lang w:val="en-US"/>
              </w:rPr>
            </w:pPr>
            <w:r>
              <w:rPr>
                <w:rFonts w:hint="eastAsia"/>
                <w:sz w:val="21"/>
                <w:szCs w:val="21"/>
                <w:lang w:val="en-US"/>
              </w:rPr>
              <w:t>【2024】年【02】月【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09</w:t>
            </w:r>
            <w:r>
              <w:rPr>
                <w:rFonts w:hint="eastAsia"/>
                <w:sz w:val="21"/>
                <w:szCs w:val="21"/>
                <w:lang w:val="en-US"/>
              </w:rPr>
              <w:t>】日00:00至【2024】年【02】月【26】日15:45</w:t>
            </w:r>
          </w:p>
        </w:tc>
        <w:tc>
          <w:tcPr>
            <w:tcW w:w="1658" w:type="dxa"/>
            <w:tcBorders>
              <w:top w:val="single" w:color="0077CC" w:sz="6" w:space="0"/>
              <w:left w:val="single" w:color="0077CC" w:sz="6" w:space="0"/>
              <w:bottom w:val="single" w:color="0077CC" w:sz="6" w:space="0"/>
              <w:right w:val="single" w:color="0077CC" w:sz="6" w:space="0"/>
            </w:tcBorders>
          </w:tcPr>
          <w:p>
            <w:pPr>
              <w:widowControl/>
              <w:autoSpaceDE/>
              <w:autoSpaceDN/>
              <w:adjustRightInd w:val="0"/>
              <w:snapToGrid w:val="0"/>
              <w:jc w:val="center"/>
              <w:rPr>
                <w:rFonts w:cs="Times New Roman" w:asciiTheme="minorEastAsia" w:hAnsiTheme="minorEastAsia" w:eastAsiaTheme="minorEastAsia"/>
                <w:bCs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bidi="ar-SA"/>
              </w:rPr>
              <w:t>赎回</w:t>
            </w:r>
            <w:r>
              <w:rPr>
                <w:sz w:val="21"/>
                <w:szCs w:val="21"/>
              </w:rPr>
              <w:t>日后【2】个工作日内</w:t>
            </w:r>
          </w:p>
        </w:tc>
      </w:tr>
    </w:tbl>
    <w:p>
      <w:pPr>
        <w:widowControl/>
        <w:autoSpaceDE/>
        <w:autoSpaceDN/>
        <w:adjustRightInd w:val="0"/>
        <w:snapToGrid w:val="0"/>
        <w:spacing w:before="150" w:after="150"/>
        <w:ind w:firstLine="480"/>
        <w:rPr>
          <w:sz w:val="21"/>
          <w:szCs w:val="21"/>
          <w:lang w:val="en-US" w:bidi="ar-SA"/>
        </w:rPr>
      </w:pPr>
    </w:p>
    <w:p>
      <w:pPr>
        <w:widowControl/>
        <w:autoSpaceDE/>
        <w:autoSpaceDN/>
        <w:adjustRightInd w:val="0"/>
        <w:snapToGrid w:val="0"/>
        <w:spacing w:before="150" w:after="150"/>
        <w:ind w:firstLine="480"/>
        <w:rPr>
          <w:sz w:val="21"/>
          <w:szCs w:val="21"/>
          <w:lang w:val="en-US" w:bidi="ar-SA"/>
        </w:rPr>
      </w:pPr>
    </w:p>
    <w:p>
      <w:pPr>
        <w:widowControl/>
        <w:autoSpaceDE/>
        <w:autoSpaceDN/>
        <w:adjustRightInd w:val="0"/>
        <w:snapToGrid w:val="0"/>
        <w:spacing w:before="150" w:after="150"/>
        <w:ind w:firstLine="480"/>
        <w:rPr>
          <w:sz w:val="21"/>
          <w:szCs w:val="21"/>
          <w:lang w:val="en-US" w:bidi="ar-SA"/>
        </w:rPr>
      </w:pPr>
      <w:r>
        <w:rPr>
          <w:rFonts w:hint="eastAsia"/>
          <w:sz w:val="21"/>
          <w:szCs w:val="21"/>
          <w:lang w:val="en-US" w:bidi="ar-SA"/>
        </w:rPr>
        <w:t>如有其它调整事项，将另行公告。</w:t>
      </w:r>
    </w:p>
    <w:p>
      <w:pPr>
        <w:widowControl/>
        <w:autoSpaceDE/>
        <w:autoSpaceDN/>
        <w:adjustRightInd w:val="0"/>
        <w:snapToGrid w:val="0"/>
        <w:spacing w:before="150" w:after="150"/>
        <w:ind w:firstLine="480"/>
        <w:rPr>
          <w:sz w:val="21"/>
          <w:szCs w:val="21"/>
          <w:lang w:val="en-US" w:bidi="ar-SA"/>
        </w:rPr>
      </w:pPr>
      <w:r>
        <w:rPr>
          <w:rFonts w:hint="eastAsia"/>
          <w:sz w:val="21"/>
          <w:szCs w:val="21"/>
          <w:lang w:val="en-US" w:bidi="ar-SA"/>
        </w:rPr>
        <w:t>感谢您一直以来对兴银理财的支持！敬请继续关注兴银理财的理财产品。</w:t>
      </w:r>
    </w:p>
    <w:p>
      <w:pPr>
        <w:widowControl/>
        <w:autoSpaceDE/>
        <w:autoSpaceDN/>
        <w:adjustRightInd w:val="0"/>
        <w:snapToGrid w:val="0"/>
        <w:spacing w:before="150" w:after="150"/>
        <w:ind w:firstLine="480"/>
        <w:rPr>
          <w:sz w:val="21"/>
          <w:szCs w:val="21"/>
          <w:lang w:val="en-US" w:bidi="ar-SA"/>
        </w:rPr>
      </w:pPr>
    </w:p>
    <w:p>
      <w:pPr>
        <w:widowControl/>
        <w:autoSpaceDE/>
        <w:autoSpaceDN/>
        <w:adjustRightInd w:val="0"/>
        <w:snapToGrid w:val="0"/>
        <w:spacing w:before="150" w:after="150"/>
        <w:ind w:firstLine="480"/>
        <w:jc w:val="right"/>
        <w:rPr>
          <w:sz w:val="21"/>
          <w:szCs w:val="21"/>
          <w:lang w:val="en-US" w:bidi="ar-SA"/>
        </w:rPr>
      </w:pPr>
      <w:r>
        <w:rPr>
          <w:rFonts w:hint="eastAsia"/>
          <w:sz w:val="21"/>
          <w:szCs w:val="21"/>
          <w:lang w:val="en-US" w:bidi="ar-SA"/>
        </w:rPr>
        <w:t>兴银理财有限责任公司</w:t>
      </w:r>
    </w:p>
    <w:p>
      <w:pPr>
        <w:wordWrap w:val="0"/>
        <w:adjustRightInd w:val="0"/>
        <w:snapToGrid w:val="0"/>
        <w:jc w:val="right"/>
        <w:rPr>
          <w:sz w:val="21"/>
          <w:szCs w:val="21"/>
          <w:lang w:val="en-US"/>
        </w:rPr>
      </w:pPr>
      <w:r>
        <w:rPr>
          <w:sz w:val="21"/>
          <w:szCs w:val="21"/>
          <w:lang w:val="en-US" w:bidi="ar-SA"/>
        </w:rPr>
        <w:t>202</w:t>
      </w:r>
      <w:r>
        <w:rPr>
          <w:rFonts w:hint="eastAsia"/>
          <w:sz w:val="21"/>
          <w:szCs w:val="21"/>
          <w:lang w:val="en-US" w:eastAsia="zh-CN" w:bidi="ar-SA"/>
        </w:rPr>
        <w:t>4</w:t>
      </w:r>
      <w:r>
        <w:rPr>
          <w:rFonts w:hint="eastAsia"/>
          <w:sz w:val="21"/>
          <w:szCs w:val="21"/>
          <w:lang w:val="en-US" w:bidi="ar-SA"/>
        </w:rPr>
        <w:t>年</w:t>
      </w:r>
      <w:r>
        <w:rPr>
          <w:rFonts w:hint="eastAsia"/>
          <w:sz w:val="21"/>
          <w:szCs w:val="21"/>
          <w:lang w:val="en-US" w:eastAsia="zh-CN" w:bidi="ar-SA"/>
        </w:rPr>
        <w:t>02</w:t>
      </w:r>
      <w:r>
        <w:rPr>
          <w:rFonts w:hint="eastAsia"/>
          <w:sz w:val="21"/>
          <w:szCs w:val="21"/>
          <w:lang w:val="en-US" w:bidi="ar-SA"/>
        </w:rPr>
        <w:t>月</w:t>
      </w:r>
      <w:r>
        <w:rPr>
          <w:rFonts w:hint="eastAsia"/>
          <w:sz w:val="21"/>
          <w:szCs w:val="21"/>
          <w:lang w:val="en-US" w:eastAsia="zh-CN" w:bidi="ar-SA"/>
        </w:rPr>
        <w:t>05</w:t>
      </w:r>
      <w:bookmarkStart w:id="0" w:name="_GoBack"/>
      <w:bookmarkEnd w:id="0"/>
      <w:r>
        <w:rPr>
          <w:rFonts w:hint="eastAsia"/>
          <w:sz w:val="21"/>
          <w:szCs w:val="21"/>
          <w:lang w:val="en-US" w:bidi="ar-SA"/>
        </w:rPr>
        <w:t xml:space="preserve">日 </w:t>
      </w:r>
      <w:r>
        <w:rPr>
          <w:sz w:val="21"/>
          <w:szCs w:val="21"/>
          <w:lang w:val="en-US" w:bidi="ar-SA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5451"/>
    <w:rsid w:val="0001343A"/>
    <w:rsid w:val="000963BE"/>
    <w:rsid w:val="0017488E"/>
    <w:rsid w:val="001E5476"/>
    <w:rsid w:val="0023101D"/>
    <w:rsid w:val="002E3C2F"/>
    <w:rsid w:val="0034738D"/>
    <w:rsid w:val="00350A92"/>
    <w:rsid w:val="0044391F"/>
    <w:rsid w:val="004A09C0"/>
    <w:rsid w:val="004A0F82"/>
    <w:rsid w:val="004E1010"/>
    <w:rsid w:val="005A6DB6"/>
    <w:rsid w:val="00707746"/>
    <w:rsid w:val="00761974"/>
    <w:rsid w:val="00780E6B"/>
    <w:rsid w:val="007956D7"/>
    <w:rsid w:val="00795DC7"/>
    <w:rsid w:val="007F0D34"/>
    <w:rsid w:val="007F531D"/>
    <w:rsid w:val="0080019A"/>
    <w:rsid w:val="00815366"/>
    <w:rsid w:val="00844C3D"/>
    <w:rsid w:val="008A56CA"/>
    <w:rsid w:val="00955451"/>
    <w:rsid w:val="00A529B4"/>
    <w:rsid w:val="00A80368"/>
    <w:rsid w:val="00B23451"/>
    <w:rsid w:val="00BF6CC7"/>
    <w:rsid w:val="00C74951"/>
    <w:rsid w:val="00C8642D"/>
    <w:rsid w:val="00C9057F"/>
    <w:rsid w:val="00CC46A1"/>
    <w:rsid w:val="00DC6625"/>
    <w:rsid w:val="00DD2C2D"/>
    <w:rsid w:val="00EC0B16"/>
    <w:rsid w:val="00F32D87"/>
    <w:rsid w:val="018047DD"/>
    <w:rsid w:val="01DD56B6"/>
    <w:rsid w:val="01F41C37"/>
    <w:rsid w:val="0263003E"/>
    <w:rsid w:val="1A890EA6"/>
    <w:rsid w:val="1BE512E7"/>
    <w:rsid w:val="2044057A"/>
    <w:rsid w:val="252F3055"/>
    <w:rsid w:val="26AB6813"/>
    <w:rsid w:val="2A357CF9"/>
    <w:rsid w:val="2DD37149"/>
    <w:rsid w:val="37B8520F"/>
    <w:rsid w:val="3AF02FA6"/>
    <w:rsid w:val="49EB6FC4"/>
    <w:rsid w:val="4C7723CF"/>
    <w:rsid w:val="4D260EA3"/>
    <w:rsid w:val="51692AC5"/>
    <w:rsid w:val="56D31908"/>
    <w:rsid w:val="626B2A8B"/>
    <w:rsid w:val="6D5B2320"/>
    <w:rsid w:val="6E380DE4"/>
    <w:rsid w:val="74A66115"/>
    <w:rsid w:val="756A6EE9"/>
    <w:rsid w:val="7B846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nhideWhenUsed="0" w:uiPriority="1" w:semiHidden="0" w:name="heading 3"/>
    <w:lsdException w:qFormat="1" w:unhideWhenUsed="0" w:uiPriority="1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link w:val="13"/>
    <w:qFormat/>
    <w:uiPriority w:val="1"/>
    <w:pPr>
      <w:ind w:left="10"/>
      <w:jc w:val="center"/>
      <w:outlineLvl w:val="0"/>
    </w:pPr>
    <w:rPr>
      <w:rFonts w:ascii="Microsoft JhengHei" w:hAnsi="Microsoft JhengHei" w:eastAsia="Microsoft JhengHei" w:cs="Microsoft JhengHei"/>
      <w:b/>
      <w:bCs/>
      <w:sz w:val="44"/>
      <w:szCs w:val="44"/>
    </w:rPr>
  </w:style>
  <w:style w:type="paragraph" w:styleId="3">
    <w:name w:val="heading 2"/>
    <w:basedOn w:val="1"/>
    <w:next w:val="1"/>
    <w:link w:val="14"/>
    <w:qFormat/>
    <w:uiPriority w:val="1"/>
    <w:pPr>
      <w:ind w:left="232"/>
      <w:outlineLvl w:val="1"/>
    </w:pPr>
    <w:rPr>
      <w:rFonts w:ascii="Microsoft JhengHei" w:hAnsi="Microsoft JhengHei" w:eastAsia="Microsoft JhengHei" w:cs="Microsoft JhengHei"/>
      <w:b/>
      <w:bCs/>
      <w:sz w:val="28"/>
      <w:szCs w:val="28"/>
    </w:rPr>
  </w:style>
  <w:style w:type="paragraph" w:styleId="4">
    <w:name w:val="heading 3"/>
    <w:basedOn w:val="1"/>
    <w:next w:val="1"/>
    <w:link w:val="15"/>
    <w:qFormat/>
    <w:uiPriority w:val="1"/>
    <w:pPr>
      <w:spacing w:before="99"/>
      <w:ind w:left="715"/>
      <w:outlineLvl w:val="2"/>
    </w:pPr>
    <w:rPr>
      <w:rFonts w:ascii="Microsoft JhengHei" w:hAnsi="Microsoft JhengHei" w:eastAsia="Microsoft JhengHei" w:cs="Microsoft JhengHei"/>
      <w:b/>
      <w:bCs/>
      <w:sz w:val="24"/>
      <w:szCs w:val="24"/>
    </w:rPr>
  </w:style>
  <w:style w:type="paragraph" w:styleId="5">
    <w:name w:val="heading 4"/>
    <w:basedOn w:val="1"/>
    <w:next w:val="1"/>
    <w:link w:val="16"/>
    <w:qFormat/>
    <w:uiPriority w:val="1"/>
    <w:pPr>
      <w:spacing w:line="314" w:lineRule="exact"/>
      <w:ind w:left="550"/>
      <w:outlineLvl w:val="3"/>
    </w:pPr>
    <w:rPr>
      <w:rFonts w:ascii="Microsoft JhengHei" w:hAnsi="Microsoft JhengHei" w:eastAsia="Microsoft JhengHei" w:cs="Microsoft JhengHei"/>
      <w:b/>
      <w:bCs/>
      <w:sz w:val="21"/>
      <w:szCs w:val="21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link w:val="17"/>
    <w:qFormat/>
    <w:uiPriority w:val="1"/>
    <w:pPr>
      <w:ind w:left="232"/>
    </w:pPr>
    <w:rPr>
      <w:sz w:val="21"/>
      <w:szCs w:val="21"/>
    </w:rPr>
  </w:style>
  <w:style w:type="paragraph" w:styleId="7">
    <w:name w:val="footer"/>
    <w:basedOn w:val="1"/>
    <w:link w:val="20"/>
    <w:unhideWhenUs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8">
    <w:name w:val="header"/>
    <w:basedOn w:val="1"/>
    <w:link w:val="1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1">
    <w:name w:val="Strong"/>
    <w:basedOn w:val="10"/>
    <w:qFormat/>
    <w:uiPriority w:val="22"/>
    <w:rPr>
      <w:b/>
      <w:bCs/>
    </w:rPr>
  </w:style>
  <w:style w:type="paragraph" w:customStyle="1" w:styleId="12">
    <w:name w:val="Table Paragraph"/>
    <w:basedOn w:val="1"/>
    <w:qFormat/>
    <w:uiPriority w:val="1"/>
  </w:style>
  <w:style w:type="character" w:customStyle="1" w:styleId="13">
    <w:name w:val="标题 1 Char"/>
    <w:basedOn w:val="10"/>
    <w:link w:val="2"/>
    <w:qFormat/>
    <w:uiPriority w:val="1"/>
    <w:rPr>
      <w:rFonts w:ascii="Microsoft JhengHei" w:hAnsi="Microsoft JhengHei" w:eastAsia="Microsoft JhengHei" w:cs="Microsoft JhengHei"/>
      <w:b/>
      <w:bCs/>
      <w:sz w:val="44"/>
      <w:szCs w:val="44"/>
      <w:lang w:val="zh-CN" w:bidi="zh-CN"/>
    </w:rPr>
  </w:style>
  <w:style w:type="character" w:customStyle="1" w:styleId="14">
    <w:name w:val="标题 2 Char"/>
    <w:basedOn w:val="10"/>
    <w:link w:val="3"/>
    <w:uiPriority w:val="1"/>
    <w:rPr>
      <w:rFonts w:ascii="Microsoft JhengHei" w:hAnsi="Microsoft JhengHei" w:eastAsia="Microsoft JhengHei" w:cs="Microsoft JhengHei"/>
      <w:b/>
      <w:bCs/>
      <w:sz w:val="28"/>
      <w:szCs w:val="28"/>
      <w:lang w:val="zh-CN" w:bidi="zh-CN"/>
    </w:rPr>
  </w:style>
  <w:style w:type="character" w:customStyle="1" w:styleId="15">
    <w:name w:val="标题 3 Char"/>
    <w:basedOn w:val="10"/>
    <w:link w:val="4"/>
    <w:uiPriority w:val="1"/>
    <w:rPr>
      <w:rFonts w:ascii="Microsoft JhengHei" w:hAnsi="Microsoft JhengHei" w:eastAsia="Microsoft JhengHei" w:cs="Microsoft JhengHei"/>
      <w:b/>
      <w:bCs/>
      <w:sz w:val="24"/>
      <w:szCs w:val="24"/>
      <w:lang w:val="zh-CN" w:bidi="zh-CN"/>
    </w:rPr>
  </w:style>
  <w:style w:type="character" w:customStyle="1" w:styleId="16">
    <w:name w:val="标题 4 Char"/>
    <w:basedOn w:val="10"/>
    <w:link w:val="5"/>
    <w:uiPriority w:val="1"/>
    <w:rPr>
      <w:rFonts w:ascii="Microsoft JhengHei" w:hAnsi="Microsoft JhengHei" w:eastAsia="Microsoft JhengHei" w:cs="Microsoft JhengHei"/>
      <w:b/>
      <w:bCs/>
      <w:sz w:val="21"/>
      <w:szCs w:val="21"/>
      <w:lang w:val="zh-CN" w:bidi="zh-CN"/>
    </w:rPr>
  </w:style>
  <w:style w:type="character" w:customStyle="1" w:styleId="17">
    <w:name w:val="正文文本 Char"/>
    <w:basedOn w:val="10"/>
    <w:link w:val="6"/>
    <w:uiPriority w:val="1"/>
    <w:rPr>
      <w:rFonts w:ascii="宋体" w:hAnsi="宋体" w:eastAsia="宋体" w:cs="宋体"/>
      <w:sz w:val="21"/>
      <w:szCs w:val="21"/>
      <w:lang w:val="zh-CN" w:bidi="zh-CN"/>
    </w:rPr>
  </w:style>
  <w:style w:type="paragraph" w:styleId="18">
    <w:name w:val="List Paragraph"/>
    <w:basedOn w:val="1"/>
    <w:qFormat/>
    <w:uiPriority w:val="1"/>
    <w:pPr>
      <w:ind w:left="1076" w:hanging="530"/>
    </w:pPr>
  </w:style>
  <w:style w:type="character" w:customStyle="1" w:styleId="19">
    <w:name w:val="页眉 Char"/>
    <w:basedOn w:val="10"/>
    <w:link w:val="8"/>
    <w:uiPriority w:val="99"/>
    <w:rPr>
      <w:rFonts w:ascii="宋体" w:hAnsi="宋体" w:eastAsia="宋体" w:cs="宋体"/>
      <w:sz w:val="18"/>
      <w:szCs w:val="18"/>
      <w:lang w:val="zh-CN" w:bidi="zh-CN"/>
    </w:rPr>
  </w:style>
  <w:style w:type="character" w:customStyle="1" w:styleId="20">
    <w:name w:val="页脚 Char"/>
    <w:basedOn w:val="10"/>
    <w:link w:val="7"/>
    <w:uiPriority w:val="99"/>
    <w:rPr>
      <w:rFonts w:ascii="宋体" w:hAnsi="宋体" w:eastAsia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蓝绿色">
      <a:dk1>
        <a:sysClr val="windowText" lastClr="000000"/>
      </a:dk1>
      <a:lt1>
        <a:sysClr val="window" lastClr="FFFFFF"/>
      </a:lt1>
      <a:dk2>
        <a:srgbClr val="373545"/>
      </a:dk2>
      <a:lt2>
        <a:srgbClr val="CEDBE6"/>
      </a:lt2>
      <a:accent1>
        <a:srgbClr val="3494BA"/>
      </a:accent1>
      <a:accent2>
        <a:srgbClr val="58B6C0"/>
      </a:accent2>
      <a:accent3>
        <a:srgbClr val="75BDA7"/>
      </a:accent3>
      <a:accent4>
        <a:srgbClr val="7A8C8E"/>
      </a:accent4>
      <a:accent5>
        <a:srgbClr val="84ACB6"/>
      </a:accent5>
      <a:accent6>
        <a:srgbClr val="2683C6"/>
      </a:accent6>
      <a:hlink>
        <a:srgbClr val="6B9F25"/>
      </a:hlink>
      <a:folHlink>
        <a:srgbClr val="9F6715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54</Words>
  <Characters>310</Characters>
  <Lines>2</Lines>
  <Paragraphs>1</Paragraphs>
  <TotalTime>2</TotalTime>
  <ScaleCrop>false</ScaleCrop>
  <LinksUpToDate>false</LinksUpToDate>
  <CharactersWithSpaces>363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2022-09-01T07:18:00Z</dcterms:created>
  <dc:creator>gaocx</dc:creator>
  <cp:lastModifiedBy>cib</cp:lastModifiedBy>
  <dcterms:modified xsi:type="dcterms:W3CDTF">2024-02-05T02:44:34Z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