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7C4" w:rsidRPr="00A03549" w:rsidRDefault="004B07C4">
      <w:pPr>
        <w:rPr>
          <w:rFonts w:ascii="宋体" w:eastAsia="宋体" w:hAnsi="宋体" w:cs="Times New Roman"/>
          <w:color w:val="auto"/>
          <w:sz w:val="2"/>
          <w:szCs w:val="2"/>
        </w:rPr>
      </w:pPr>
      <w:bookmarkStart w:id="0" w:name="_GoBack"/>
      <w:bookmarkEnd w:id="0"/>
    </w:p>
    <w:tbl>
      <w:tblPr>
        <w:tblW w:w="11009" w:type="dxa"/>
        <w:tblInd w:w="5" w:type="dxa"/>
        <w:tblLayout w:type="fixed"/>
        <w:tblCellMar>
          <w:left w:w="0" w:type="dxa"/>
          <w:right w:w="0" w:type="dxa"/>
        </w:tblCellMar>
        <w:tblLook w:val="0000" w:firstRow="0" w:lastRow="0" w:firstColumn="0" w:lastColumn="0" w:noHBand="0" w:noVBand="0"/>
      </w:tblPr>
      <w:tblGrid>
        <w:gridCol w:w="397"/>
        <w:gridCol w:w="817"/>
        <w:gridCol w:w="817"/>
        <w:gridCol w:w="816"/>
        <w:gridCol w:w="1225"/>
        <w:gridCol w:w="408"/>
        <w:gridCol w:w="408"/>
        <w:gridCol w:w="408"/>
        <w:gridCol w:w="816"/>
        <w:gridCol w:w="816"/>
        <w:gridCol w:w="816"/>
        <w:gridCol w:w="408"/>
        <w:gridCol w:w="816"/>
        <w:gridCol w:w="408"/>
        <w:gridCol w:w="1633"/>
      </w:tblGrid>
      <w:tr w:rsidR="004B07C4" w:rsidRPr="00A03549">
        <w:tblPrEx>
          <w:tblCellMar>
            <w:top w:w="0" w:type="dxa"/>
            <w:bottom w:w="0" w:type="dxa"/>
          </w:tblCellMar>
        </w:tblPrEx>
        <w:trPr>
          <w:trHeight w:hRule="exact" w:val="1700"/>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r>
      <w:tr w:rsidR="004B07C4" w:rsidRPr="00A03549">
        <w:tblPrEx>
          <w:tblCellMar>
            <w:top w:w="0" w:type="dxa"/>
            <w:bottom w:w="0" w:type="dxa"/>
          </w:tblCellMar>
        </w:tblPrEx>
        <w:trPr>
          <w:trHeight w:hRule="exact" w:val="1133"/>
        </w:trPr>
        <w:tc>
          <w:tcPr>
            <w:tcW w:w="396"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spacing w:line="540" w:lineRule="exact"/>
              <w:ind w:left="20"/>
              <w:jc w:val="center"/>
              <w:rPr>
                <w:rFonts w:ascii="宋体" w:eastAsia="宋体" w:hAnsi="宋体" w:cs="微软雅黑"/>
                <w:sz w:val="40"/>
                <w:szCs w:val="40"/>
              </w:rPr>
            </w:pPr>
            <w:r w:rsidRPr="00A03549">
              <w:rPr>
                <w:rFonts w:ascii="宋体" w:eastAsia="宋体" w:hAnsi="宋体" w:cs="微软雅黑" w:hint="eastAsia"/>
                <w:sz w:val="40"/>
                <w:szCs w:val="40"/>
              </w:rPr>
              <w:t>“惠盈利</w:t>
            </w:r>
            <w:r w:rsidRPr="00A03549">
              <w:rPr>
                <w:rFonts w:ascii="宋体" w:eastAsia="宋体" w:hAnsi="宋体" w:cs="微软雅黑"/>
                <w:sz w:val="40"/>
                <w:szCs w:val="40"/>
              </w:rPr>
              <w:t>1</w:t>
            </w:r>
            <w:r w:rsidRPr="00A03549">
              <w:rPr>
                <w:rFonts w:ascii="宋体" w:eastAsia="宋体" w:hAnsi="宋体" w:cs="微软雅黑" w:hint="eastAsia"/>
                <w:sz w:val="40"/>
                <w:szCs w:val="40"/>
              </w:rPr>
              <w:t>号”周期型开放式净值型人民币理财产品</w:t>
            </w:r>
          </w:p>
        </w:tc>
      </w:tr>
      <w:tr w:rsidR="004B07C4" w:rsidRPr="00A03549">
        <w:tblPrEx>
          <w:tblCellMar>
            <w:top w:w="0" w:type="dxa"/>
            <w:bottom w:w="0" w:type="dxa"/>
          </w:tblCellMar>
        </w:tblPrEx>
        <w:trPr>
          <w:trHeight w:hRule="exact" w:val="1133"/>
        </w:trPr>
        <w:tc>
          <w:tcPr>
            <w:tcW w:w="396"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spacing w:line="540" w:lineRule="exact"/>
              <w:ind w:left="20"/>
              <w:jc w:val="center"/>
              <w:rPr>
                <w:rFonts w:ascii="宋体" w:eastAsia="宋体" w:hAnsi="宋体" w:cs="微软雅黑"/>
                <w:sz w:val="40"/>
                <w:szCs w:val="40"/>
              </w:rPr>
            </w:pPr>
            <w:r w:rsidRPr="00A03549">
              <w:rPr>
                <w:rFonts w:ascii="宋体" w:eastAsia="宋体" w:hAnsi="宋体" w:cs="微软雅黑"/>
                <w:sz w:val="40"/>
                <w:szCs w:val="40"/>
              </w:rPr>
              <w:t>2025</w:t>
            </w:r>
            <w:r w:rsidRPr="00A03549">
              <w:rPr>
                <w:rFonts w:ascii="宋体" w:eastAsia="宋体" w:hAnsi="宋体" w:cs="微软雅黑" w:hint="eastAsia"/>
                <w:sz w:val="40"/>
                <w:szCs w:val="40"/>
              </w:rPr>
              <w:t>年年度报告</w:t>
            </w:r>
          </w:p>
        </w:tc>
      </w:tr>
      <w:tr w:rsidR="004B07C4" w:rsidRPr="00A03549">
        <w:tblPrEx>
          <w:tblCellMar>
            <w:top w:w="0" w:type="dxa"/>
            <w:bottom w:w="0" w:type="dxa"/>
          </w:tblCellMar>
        </w:tblPrEx>
        <w:trPr>
          <w:trHeight w:hRule="exact" w:val="1133"/>
        </w:trPr>
        <w:tc>
          <w:tcPr>
            <w:tcW w:w="396"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r>
      <w:tr w:rsidR="004B07C4" w:rsidRPr="00A03549">
        <w:tblPrEx>
          <w:tblCellMar>
            <w:top w:w="0" w:type="dxa"/>
            <w:bottom w:w="0" w:type="dxa"/>
          </w:tblCellMar>
        </w:tblPrEx>
        <w:trPr>
          <w:trHeight w:hRule="exact" w:val="1133"/>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产品过往业绩并不代表其未来表现。理财非存款，产品有风险，投资需谨慎。</w:t>
            </w:r>
          </w:p>
        </w:tc>
      </w:tr>
      <w:tr w:rsidR="004B07C4" w:rsidRPr="00A03549">
        <w:tblPrEx>
          <w:tblCellMar>
            <w:top w:w="0" w:type="dxa"/>
            <w:bottom w:w="0" w:type="dxa"/>
          </w:tblCellMar>
        </w:tblPrEx>
        <w:trPr>
          <w:trHeight w:hRule="exact" w:val="2267"/>
        </w:trPr>
        <w:tc>
          <w:tcPr>
            <w:tcW w:w="396"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vMerge w:val="restart"/>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r>
      <w:tr w:rsidR="004B07C4" w:rsidRPr="00A03549">
        <w:tblPrEx>
          <w:tblCellMar>
            <w:top w:w="0" w:type="dxa"/>
            <w:bottom w:w="0" w:type="dxa"/>
          </w:tblCellMar>
        </w:tblPrEx>
        <w:trPr>
          <w:trHeight w:hRule="exact" w:val="2267"/>
        </w:trPr>
        <w:tc>
          <w:tcPr>
            <w:tcW w:w="396"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vMerge/>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r>
      <w:tr w:rsidR="004B07C4" w:rsidRPr="00A03549">
        <w:tblPrEx>
          <w:tblCellMar>
            <w:top w:w="0" w:type="dxa"/>
            <w:bottom w:w="0" w:type="dxa"/>
          </w:tblCellMar>
        </w:tblPrEx>
        <w:trPr>
          <w:trHeight w:hRule="exact" w:val="1133"/>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632" w:type="dxa"/>
            <w:gridSpan w:val="2"/>
            <w:vMerge w:val="restart"/>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7344" w:type="dxa"/>
            <w:gridSpan w:val="11"/>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spacing w:line="420" w:lineRule="exact"/>
              <w:ind w:left="20"/>
              <w:jc w:val="center"/>
              <w:rPr>
                <w:rFonts w:ascii="宋体" w:eastAsia="宋体" w:hAnsi="宋体" w:cs="微软雅黑"/>
                <w:sz w:val="30"/>
                <w:szCs w:val="30"/>
              </w:rPr>
            </w:pPr>
            <w:r w:rsidRPr="00A03549">
              <w:rPr>
                <w:rFonts w:ascii="宋体" w:eastAsia="宋体" w:hAnsi="宋体" w:cs="微软雅黑" w:hint="eastAsia"/>
                <w:sz w:val="30"/>
                <w:szCs w:val="30"/>
              </w:rPr>
              <w:t>产品管理人：江苏太仓农村商业银行股份有限公司</w:t>
            </w:r>
          </w:p>
        </w:tc>
        <w:tc>
          <w:tcPr>
            <w:tcW w:w="1632" w:type="dxa"/>
            <w:vMerge w:val="restart"/>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r>
      <w:tr w:rsidR="004B07C4" w:rsidRPr="00A03549">
        <w:tblPrEx>
          <w:tblCellMar>
            <w:top w:w="0" w:type="dxa"/>
            <w:bottom w:w="0" w:type="dxa"/>
          </w:tblCellMar>
        </w:tblPrEx>
        <w:trPr>
          <w:trHeight w:hRule="exact" w:val="1133"/>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632" w:type="dxa"/>
            <w:gridSpan w:val="2"/>
            <w:vMerge/>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7344" w:type="dxa"/>
            <w:gridSpan w:val="11"/>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spacing w:line="420" w:lineRule="exact"/>
              <w:ind w:left="20"/>
              <w:jc w:val="center"/>
              <w:rPr>
                <w:rFonts w:ascii="宋体" w:eastAsia="宋体" w:hAnsi="宋体" w:cs="微软雅黑"/>
                <w:sz w:val="30"/>
                <w:szCs w:val="30"/>
              </w:rPr>
            </w:pPr>
            <w:r w:rsidRPr="00A03549">
              <w:rPr>
                <w:rFonts w:ascii="宋体" w:eastAsia="宋体" w:hAnsi="宋体" w:cs="微软雅黑" w:hint="eastAsia"/>
                <w:sz w:val="30"/>
                <w:szCs w:val="30"/>
              </w:rPr>
              <w:t>产品托管人：南京银行股份有限公司</w:t>
            </w:r>
          </w:p>
        </w:tc>
        <w:tc>
          <w:tcPr>
            <w:tcW w:w="1632" w:type="dxa"/>
            <w:vMerge/>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微软雅黑"/>
                <w:sz w:val="30"/>
                <w:szCs w:val="30"/>
              </w:rPr>
            </w:pPr>
          </w:p>
        </w:tc>
      </w:tr>
      <w:tr w:rsidR="004B07C4" w:rsidRPr="00A03549">
        <w:tblPrEx>
          <w:tblCellMar>
            <w:top w:w="0" w:type="dxa"/>
            <w:bottom w:w="0" w:type="dxa"/>
          </w:tblCellMar>
        </w:tblPrEx>
        <w:trPr>
          <w:trHeight w:hRule="exact" w:val="1133"/>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632" w:type="dxa"/>
            <w:gridSpan w:val="2"/>
            <w:vMerge/>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7344" w:type="dxa"/>
            <w:gridSpan w:val="11"/>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spacing w:line="420" w:lineRule="exact"/>
              <w:ind w:left="20"/>
              <w:jc w:val="center"/>
              <w:rPr>
                <w:rFonts w:ascii="宋体" w:eastAsia="宋体" w:hAnsi="宋体" w:cs="微软雅黑"/>
                <w:sz w:val="30"/>
                <w:szCs w:val="30"/>
              </w:rPr>
            </w:pPr>
            <w:r w:rsidRPr="00A03549">
              <w:rPr>
                <w:rFonts w:ascii="宋体" w:eastAsia="宋体" w:hAnsi="宋体" w:cs="微软雅黑" w:hint="eastAsia"/>
                <w:sz w:val="30"/>
                <w:szCs w:val="30"/>
              </w:rPr>
              <w:t>报告期：</w:t>
            </w:r>
            <w:r w:rsidRPr="00A03549">
              <w:rPr>
                <w:rFonts w:ascii="宋体" w:eastAsia="宋体" w:hAnsi="宋体" w:cs="微软雅黑"/>
                <w:sz w:val="30"/>
                <w:szCs w:val="30"/>
              </w:rPr>
              <w:t>2025</w:t>
            </w:r>
            <w:r w:rsidRPr="00A03549">
              <w:rPr>
                <w:rFonts w:ascii="宋体" w:eastAsia="宋体" w:hAnsi="宋体" w:cs="微软雅黑" w:hint="eastAsia"/>
                <w:sz w:val="30"/>
                <w:szCs w:val="30"/>
              </w:rPr>
              <w:t>年</w:t>
            </w:r>
            <w:r w:rsidRPr="00A03549">
              <w:rPr>
                <w:rFonts w:ascii="宋体" w:eastAsia="宋体" w:hAnsi="宋体" w:cs="微软雅黑"/>
                <w:sz w:val="30"/>
                <w:szCs w:val="30"/>
              </w:rPr>
              <w:t>01</w:t>
            </w:r>
            <w:r w:rsidRPr="00A03549">
              <w:rPr>
                <w:rFonts w:ascii="宋体" w:eastAsia="宋体" w:hAnsi="宋体" w:cs="微软雅黑" w:hint="eastAsia"/>
                <w:sz w:val="30"/>
                <w:szCs w:val="30"/>
              </w:rPr>
              <w:t>月</w:t>
            </w:r>
            <w:r w:rsidRPr="00A03549">
              <w:rPr>
                <w:rFonts w:ascii="宋体" w:eastAsia="宋体" w:hAnsi="宋体" w:cs="微软雅黑"/>
                <w:sz w:val="30"/>
                <w:szCs w:val="30"/>
              </w:rPr>
              <w:t>01</w:t>
            </w:r>
            <w:r w:rsidRPr="00A03549">
              <w:rPr>
                <w:rFonts w:ascii="宋体" w:eastAsia="宋体" w:hAnsi="宋体" w:cs="微软雅黑" w:hint="eastAsia"/>
                <w:sz w:val="30"/>
                <w:szCs w:val="30"/>
              </w:rPr>
              <w:t>日至</w:t>
            </w:r>
            <w:r w:rsidRPr="00A03549">
              <w:rPr>
                <w:rFonts w:ascii="宋体" w:eastAsia="宋体" w:hAnsi="宋体" w:cs="微软雅黑"/>
                <w:sz w:val="30"/>
                <w:szCs w:val="30"/>
              </w:rPr>
              <w:t>2025</w:t>
            </w:r>
            <w:r w:rsidRPr="00A03549">
              <w:rPr>
                <w:rFonts w:ascii="宋体" w:eastAsia="宋体" w:hAnsi="宋体" w:cs="微软雅黑" w:hint="eastAsia"/>
                <w:sz w:val="30"/>
                <w:szCs w:val="30"/>
              </w:rPr>
              <w:t>年</w:t>
            </w:r>
            <w:r w:rsidRPr="00A03549">
              <w:rPr>
                <w:rFonts w:ascii="宋体" w:eastAsia="宋体" w:hAnsi="宋体" w:cs="微软雅黑"/>
                <w:sz w:val="30"/>
                <w:szCs w:val="30"/>
              </w:rPr>
              <w:t>12</w:t>
            </w:r>
            <w:r w:rsidRPr="00A03549">
              <w:rPr>
                <w:rFonts w:ascii="宋体" w:eastAsia="宋体" w:hAnsi="宋体" w:cs="微软雅黑" w:hint="eastAsia"/>
                <w:sz w:val="30"/>
                <w:szCs w:val="30"/>
              </w:rPr>
              <w:t>月</w:t>
            </w:r>
            <w:r w:rsidRPr="00A03549">
              <w:rPr>
                <w:rFonts w:ascii="宋体" w:eastAsia="宋体" w:hAnsi="宋体" w:cs="微软雅黑"/>
                <w:sz w:val="30"/>
                <w:szCs w:val="30"/>
              </w:rPr>
              <w:t>31</w:t>
            </w:r>
            <w:r w:rsidRPr="00A03549">
              <w:rPr>
                <w:rFonts w:ascii="宋体" w:eastAsia="宋体" w:hAnsi="宋体" w:cs="微软雅黑" w:hint="eastAsia"/>
                <w:sz w:val="30"/>
                <w:szCs w:val="30"/>
              </w:rPr>
              <w:t>日</w:t>
            </w:r>
          </w:p>
        </w:tc>
        <w:tc>
          <w:tcPr>
            <w:tcW w:w="1632" w:type="dxa"/>
            <w:vMerge/>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微软雅黑"/>
                <w:sz w:val="30"/>
                <w:szCs w:val="30"/>
              </w:rPr>
            </w:pPr>
          </w:p>
        </w:tc>
      </w:tr>
      <w:tr w:rsidR="004B07C4" w:rsidRPr="00A03549">
        <w:tblPrEx>
          <w:tblCellMar>
            <w:top w:w="0" w:type="dxa"/>
            <w:bottom w:w="0" w:type="dxa"/>
          </w:tblCellMar>
        </w:tblPrEx>
        <w:trPr>
          <w:trHeight w:hRule="exact" w:val="850"/>
        </w:trPr>
        <w:tc>
          <w:tcPr>
            <w:tcW w:w="396"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vMerge w:val="restart"/>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r>
      <w:tr w:rsidR="004B07C4" w:rsidRPr="00A03549">
        <w:tblPrEx>
          <w:tblCellMar>
            <w:top w:w="0" w:type="dxa"/>
            <w:bottom w:w="0" w:type="dxa"/>
          </w:tblCellMar>
        </w:tblPrEx>
        <w:trPr>
          <w:trHeight w:hRule="exact" w:val="850"/>
        </w:trPr>
        <w:tc>
          <w:tcPr>
            <w:tcW w:w="396"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vMerge/>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r>
      <w:tr w:rsidR="004B07C4" w:rsidRPr="00A03549">
        <w:tblPrEx>
          <w:tblCellMar>
            <w:top w:w="0" w:type="dxa"/>
            <w:bottom w:w="0" w:type="dxa"/>
          </w:tblCellMar>
        </w:tblPrEx>
        <w:trPr>
          <w:trHeight w:hRule="exact" w:val="453"/>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spacing w:line="375" w:lineRule="exact"/>
              <w:ind w:left="20"/>
              <w:jc w:val="center"/>
              <w:rPr>
                <w:rFonts w:ascii="宋体" w:eastAsia="宋体" w:hAnsi="宋体" w:cs="微软雅黑"/>
                <w:sz w:val="28"/>
                <w:szCs w:val="28"/>
              </w:rPr>
            </w:pPr>
            <w:r w:rsidRPr="00A03549">
              <w:rPr>
                <w:rFonts w:ascii="宋体" w:eastAsia="宋体" w:hAnsi="宋体" w:cs="微软雅黑" w:hint="eastAsia"/>
                <w:b/>
                <w:bCs/>
                <w:sz w:val="28"/>
                <w:szCs w:val="28"/>
              </w:rPr>
              <w:t>第一章</w:t>
            </w:r>
            <w:r w:rsidRPr="00A03549">
              <w:rPr>
                <w:rFonts w:ascii="宋体" w:eastAsia="宋体" w:hAnsi="宋体" w:cs="微软雅黑"/>
                <w:b/>
                <w:bCs/>
                <w:sz w:val="28"/>
                <w:szCs w:val="28"/>
              </w:rPr>
              <w:t xml:space="preserve"> </w:t>
            </w:r>
            <w:r w:rsidRPr="00A03549">
              <w:rPr>
                <w:rFonts w:ascii="宋体" w:eastAsia="宋体" w:hAnsi="宋体" w:cs="微软雅黑" w:hint="eastAsia"/>
                <w:b/>
                <w:bCs/>
                <w:sz w:val="28"/>
                <w:szCs w:val="28"/>
              </w:rPr>
              <w:t>基本信息</w:t>
            </w:r>
          </w:p>
        </w:tc>
      </w:tr>
      <w:tr w:rsidR="004B07C4" w:rsidRPr="00A03549">
        <w:tblPrEx>
          <w:tblCellMar>
            <w:top w:w="0" w:type="dxa"/>
            <w:bottom w:w="0" w:type="dxa"/>
          </w:tblCellMar>
        </w:tblPrEx>
        <w:trPr>
          <w:trHeight w:hRule="exact" w:val="283"/>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r>
      <w:tr w:rsidR="004B07C4" w:rsidRPr="00A03549">
        <w:tblPrEx>
          <w:tblCellMar>
            <w:top w:w="0" w:type="dxa"/>
            <w:bottom w:w="0" w:type="dxa"/>
          </w:tblCellMar>
        </w:tblPrEx>
        <w:trPr>
          <w:trHeight w:hRule="exact" w:val="566"/>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3672"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120"/>
              <w:jc w:val="center"/>
              <w:rPr>
                <w:rFonts w:ascii="宋体" w:eastAsia="宋体" w:hAnsi="宋体" w:cs="微软雅黑"/>
              </w:rPr>
            </w:pPr>
            <w:r w:rsidRPr="00A03549">
              <w:rPr>
                <w:rFonts w:ascii="宋体" w:eastAsia="宋体" w:hAnsi="宋体" w:cs="微软雅黑" w:hint="eastAsia"/>
              </w:rPr>
              <w:t>产品名称</w:t>
            </w:r>
          </w:p>
        </w:tc>
        <w:tc>
          <w:tcPr>
            <w:tcW w:w="6936" w:type="dxa"/>
            <w:gridSpan w:val="10"/>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“惠盈利</w:t>
            </w:r>
            <w:r w:rsidRPr="00A03549">
              <w:rPr>
                <w:rFonts w:ascii="宋体" w:eastAsia="宋体" w:hAnsi="宋体" w:cs="微软雅黑"/>
              </w:rPr>
              <w:t>1</w:t>
            </w:r>
            <w:r w:rsidRPr="00A03549">
              <w:rPr>
                <w:rFonts w:ascii="宋体" w:eastAsia="宋体" w:hAnsi="宋体" w:cs="微软雅黑" w:hint="eastAsia"/>
              </w:rPr>
              <w:t>号”周期型开放式净值型人民币理财产品</w:t>
            </w:r>
          </w:p>
        </w:tc>
      </w:tr>
      <w:tr w:rsidR="004B07C4" w:rsidRPr="00A03549">
        <w:tblPrEx>
          <w:tblCellMar>
            <w:top w:w="0" w:type="dxa"/>
            <w:bottom w:w="0" w:type="dxa"/>
          </w:tblCellMar>
        </w:tblPrEx>
        <w:trPr>
          <w:trHeight w:hRule="exact" w:val="566"/>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3672"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120"/>
              <w:jc w:val="center"/>
              <w:rPr>
                <w:rFonts w:ascii="宋体" w:eastAsia="宋体" w:hAnsi="宋体" w:cs="微软雅黑"/>
              </w:rPr>
            </w:pPr>
            <w:r w:rsidRPr="00A03549">
              <w:rPr>
                <w:rFonts w:ascii="宋体" w:eastAsia="宋体" w:hAnsi="宋体" w:cs="微软雅黑" w:hint="eastAsia"/>
              </w:rPr>
              <w:t>产品代码</w:t>
            </w:r>
          </w:p>
        </w:tc>
        <w:tc>
          <w:tcPr>
            <w:tcW w:w="6936" w:type="dxa"/>
            <w:gridSpan w:val="10"/>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20HYL016M</w:t>
            </w:r>
          </w:p>
        </w:tc>
      </w:tr>
      <w:tr w:rsidR="004B07C4" w:rsidRPr="00A03549">
        <w:tblPrEx>
          <w:tblCellMar>
            <w:top w:w="0" w:type="dxa"/>
            <w:bottom w:w="0" w:type="dxa"/>
          </w:tblCellMar>
        </w:tblPrEx>
        <w:trPr>
          <w:trHeight w:hRule="exact" w:val="630"/>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3672"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120"/>
              <w:jc w:val="center"/>
              <w:rPr>
                <w:rFonts w:ascii="宋体" w:eastAsia="宋体" w:hAnsi="宋体" w:cs="微软雅黑"/>
              </w:rPr>
            </w:pPr>
            <w:r w:rsidRPr="00A03549">
              <w:rPr>
                <w:rFonts w:ascii="宋体" w:eastAsia="宋体" w:hAnsi="宋体" w:cs="微软雅黑" w:hint="eastAsia"/>
              </w:rPr>
              <w:t>登记编码</w:t>
            </w:r>
          </w:p>
        </w:tc>
        <w:tc>
          <w:tcPr>
            <w:tcW w:w="6936" w:type="dxa"/>
            <w:gridSpan w:val="10"/>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16" w:lineRule="exact"/>
              <w:jc w:val="center"/>
              <w:rPr>
                <w:rFonts w:ascii="宋体" w:eastAsia="宋体" w:hAnsi="宋体" w:cs="微软雅黑"/>
              </w:rPr>
            </w:pPr>
            <w:r w:rsidRPr="00A03549">
              <w:rPr>
                <w:rFonts w:ascii="宋体" w:eastAsia="宋体" w:hAnsi="宋体" w:cs="微软雅黑"/>
              </w:rPr>
              <w:t>C1115720000035</w:t>
            </w:r>
          </w:p>
          <w:p w:rsidR="004B07C4" w:rsidRPr="00A03549" w:rsidRDefault="004B07C4">
            <w:pPr>
              <w:spacing w:line="316" w:lineRule="exact"/>
              <w:jc w:val="center"/>
              <w:rPr>
                <w:rFonts w:ascii="宋体" w:eastAsia="宋体" w:hAnsi="宋体" w:cs="微软雅黑"/>
              </w:rPr>
            </w:pPr>
            <w:r w:rsidRPr="00A03549">
              <w:rPr>
                <w:rFonts w:ascii="宋体" w:eastAsia="宋体" w:hAnsi="宋体" w:cs="微软雅黑" w:hint="eastAsia"/>
              </w:rPr>
              <w:t>（可在中国理财网</w:t>
            </w:r>
            <w:r w:rsidRPr="00A03549">
              <w:rPr>
                <w:rFonts w:ascii="宋体" w:eastAsia="宋体" w:hAnsi="宋体" w:cs="微软雅黑"/>
              </w:rPr>
              <w:t>www.chinawealth.com.cn</w:t>
            </w:r>
            <w:r w:rsidRPr="00A03549">
              <w:rPr>
                <w:rFonts w:ascii="宋体" w:eastAsia="宋体" w:hAnsi="宋体" w:cs="微软雅黑" w:hint="eastAsia"/>
              </w:rPr>
              <w:t>查询产品信息）</w:t>
            </w:r>
          </w:p>
        </w:tc>
      </w:tr>
      <w:tr w:rsidR="004B07C4" w:rsidRPr="00A03549">
        <w:tblPrEx>
          <w:tblCellMar>
            <w:top w:w="0" w:type="dxa"/>
            <w:bottom w:w="0" w:type="dxa"/>
          </w:tblCellMar>
        </w:tblPrEx>
        <w:trPr>
          <w:trHeight w:hRule="exact" w:val="566"/>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3672"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120"/>
              <w:jc w:val="center"/>
              <w:rPr>
                <w:rFonts w:ascii="宋体" w:eastAsia="宋体" w:hAnsi="宋体" w:cs="微软雅黑"/>
              </w:rPr>
            </w:pPr>
            <w:r w:rsidRPr="00A03549">
              <w:rPr>
                <w:rFonts w:ascii="宋体" w:eastAsia="宋体" w:hAnsi="宋体" w:cs="微软雅黑" w:hint="eastAsia"/>
              </w:rPr>
              <w:t>托管机构</w:t>
            </w:r>
          </w:p>
        </w:tc>
        <w:tc>
          <w:tcPr>
            <w:tcW w:w="6936" w:type="dxa"/>
            <w:gridSpan w:val="10"/>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南京银行股份有限公司</w:t>
            </w:r>
          </w:p>
        </w:tc>
      </w:tr>
      <w:tr w:rsidR="004B07C4" w:rsidRPr="00A03549">
        <w:tblPrEx>
          <w:tblCellMar>
            <w:top w:w="0" w:type="dxa"/>
            <w:bottom w:w="0" w:type="dxa"/>
          </w:tblCellMar>
        </w:tblPrEx>
        <w:trPr>
          <w:trHeight w:hRule="exact" w:val="566"/>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3672"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120"/>
              <w:jc w:val="center"/>
              <w:rPr>
                <w:rFonts w:ascii="宋体" w:eastAsia="宋体" w:hAnsi="宋体" w:cs="微软雅黑"/>
              </w:rPr>
            </w:pPr>
            <w:r w:rsidRPr="00A03549">
              <w:rPr>
                <w:rFonts w:ascii="宋体" w:eastAsia="宋体" w:hAnsi="宋体" w:cs="微软雅黑" w:hint="eastAsia"/>
              </w:rPr>
              <w:t>募集方式</w:t>
            </w:r>
          </w:p>
        </w:tc>
        <w:tc>
          <w:tcPr>
            <w:tcW w:w="6936" w:type="dxa"/>
            <w:gridSpan w:val="10"/>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公募</w:t>
            </w:r>
          </w:p>
        </w:tc>
      </w:tr>
      <w:tr w:rsidR="004B07C4" w:rsidRPr="00A03549">
        <w:tblPrEx>
          <w:tblCellMar>
            <w:top w:w="0" w:type="dxa"/>
            <w:bottom w:w="0" w:type="dxa"/>
          </w:tblCellMar>
        </w:tblPrEx>
        <w:trPr>
          <w:trHeight w:hRule="exact" w:val="566"/>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3672"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120"/>
              <w:jc w:val="center"/>
              <w:rPr>
                <w:rFonts w:ascii="宋体" w:eastAsia="宋体" w:hAnsi="宋体" w:cs="微软雅黑"/>
              </w:rPr>
            </w:pPr>
            <w:r w:rsidRPr="00A03549">
              <w:rPr>
                <w:rFonts w:ascii="宋体" w:eastAsia="宋体" w:hAnsi="宋体" w:cs="微软雅黑" w:hint="eastAsia"/>
              </w:rPr>
              <w:t>运作模式</w:t>
            </w:r>
          </w:p>
        </w:tc>
        <w:tc>
          <w:tcPr>
            <w:tcW w:w="6936" w:type="dxa"/>
            <w:gridSpan w:val="10"/>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开放式净值型</w:t>
            </w:r>
          </w:p>
        </w:tc>
      </w:tr>
      <w:tr w:rsidR="004B07C4" w:rsidRPr="00A03549">
        <w:tblPrEx>
          <w:tblCellMar>
            <w:top w:w="0" w:type="dxa"/>
            <w:bottom w:w="0" w:type="dxa"/>
          </w:tblCellMar>
        </w:tblPrEx>
        <w:trPr>
          <w:trHeight w:hRule="exact" w:val="566"/>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3672"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120"/>
              <w:jc w:val="center"/>
              <w:rPr>
                <w:rFonts w:ascii="宋体" w:eastAsia="宋体" w:hAnsi="宋体" w:cs="微软雅黑"/>
              </w:rPr>
            </w:pPr>
            <w:r w:rsidRPr="00A03549">
              <w:rPr>
                <w:rFonts w:ascii="宋体" w:eastAsia="宋体" w:hAnsi="宋体" w:cs="微软雅黑" w:hint="eastAsia"/>
              </w:rPr>
              <w:t>风险等级</w:t>
            </w:r>
          </w:p>
        </w:tc>
        <w:tc>
          <w:tcPr>
            <w:tcW w:w="6936" w:type="dxa"/>
            <w:gridSpan w:val="10"/>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二级</w:t>
            </w:r>
          </w:p>
        </w:tc>
      </w:tr>
      <w:tr w:rsidR="004B07C4" w:rsidRPr="00A03549">
        <w:tblPrEx>
          <w:tblCellMar>
            <w:top w:w="0" w:type="dxa"/>
            <w:bottom w:w="0" w:type="dxa"/>
          </w:tblCellMar>
        </w:tblPrEx>
        <w:trPr>
          <w:trHeight w:hRule="exact" w:val="566"/>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3672"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120"/>
              <w:jc w:val="center"/>
              <w:rPr>
                <w:rFonts w:ascii="宋体" w:eastAsia="宋体" w:hAnsi="宋体" w:cs="微软雅黑"/>
              </w:rPr>
            </w:pPr>
            <w:r w:rsidRPr="00A03549">
              <w:rPr>
                <w:rFonts w:ascii="宋体" w:eastAsia="宋体" w:hAnsi="宋体" w:cs="微软雅黑" w:hint="eastAsia"/>
              </w:rPr>
              <w:t>投资性质</w:t>
            </w:r>
          </w:p>
        </w:tc>
        <w:tc>
          <w:tcPr>
            <w:tcW w:w="6936" w:type="dxa"/>
            <w:gridSpan w:val="10"/>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固定收益类</w:t>
            </w:r>
          </w:p>
        </w:tc>
      </w:tr>
      <w:tr w:rsidR="004B07C4" w:rsidRPr="00A03549">
        <w:tblPrEx>
          <w:tblCellMar>
            <w:top w:w="0" w:type="dxa"/>
            <w:bottom w:w="0" w:type="dxa"/>
          </w:tblCellMar>
        </w:tblPrEx>
        <w:trPr>
          <w:trHeight w:hRule="exact" w:val="566"/>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3672"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120"/>
              <w:jc w:val="center"/>
              <w:rPr>
                <w:rFonts w:ascii="宋体" w:eastAsia="宋体" w:hAnsi="宋体" w:cs="微软雅黑"/>
              </w:rPr>
            </w:pPr>
            <w:r w:rsidRPr="00A03549">
              <w:rPr>
                <w:rFonts w:ascii="宋体" w:eastAsia="宋体" w:hAnsi="宋体" w:cs="微软雅黑" w:hint="eastAsia"/>
              </w:rPr>
              <w:t>产品起始日期</w:t>
            </w:r>
          </w:p>
        </w:tc>
        <w:tc>
          <w:tcPr>
            <w:tcW w:w="6936" w:type="dxa"/>
            <w:gridSpan w:val="10"/>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2020</w:t>
            </w:r>
            <w:r w:rsidRPr="00A03549">
              <w:rPr>
                <w:rFonts w:ascii="宋体" w:eastAsia="宋体" w:hAnsi="宋体" w:cs="微软雅黑" w:hint="eastAsia"/>
              </w:rPr>
              <w:t>年</w:t>
            </w:r>
            <w:r w:rsidRPr="00A03549">
              <w:rPr>
                <w:rFonts w:ascii="宋体" w:eastAsia="宋体" w:hAnsi="宋体" w:cs="微软雅黑"/>
              </w:rPr>
              <w:t>04</w:t>
            </w:r>
            <w:r w:rsidRPr="00A03549">
              <w:rPr>
                <w:rFonts w:ascii="宋体" w:eastAsia="宋体" w:hAnsi="宋体" w:cs="微软雅黑" w:hint="eastAsia"/>
              </w:rPr>
              <w:t>月</w:t>
            </w:r>
            <w:r w:rsidRPr="00A03549">
              <w:rPr>
                <w:rFonts w:ascii="宋体" w:eastAsia="宋体" w:hAnsi="宋体" w:cs="微软雅黑"/>
              </w:rPr>
              <w:t>29</w:t>
            </w:r>
            <w:r w:rsidRPr="00A03549">
              <w:rPr>
                <w:rFonts w:ascii="宋体" w:eastAsia="宋体" w:hAnsi="宋体" w:cs="微软雅黑" w:hint="eastAsia"/>
              </w:rPr>
              <w:t>日</w:t>
            </w:r>
          </w:p>
        </w:tc>
      </w:tr>
      <w:tr w:rsidR="004B07C4" w:rsidRPr="00A03549">
        <w:tblPrEx>
          <w:tblCellMar>
            <w:top w:w="0" w:type="dxa"/>
            <w:bottom w:w="0" w:type="dxa"/>
          </w:tblCellMar>
        </w:tblPrEx>
        <w:trPr>
          <w:trHeight w:hRule="exact" w:val="566"/>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3672"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120"/>
              <w:jc w:val="center"/>
              <w:rPr>
                <w:rFonts w:ascii="宋体" w:eastAsia="宋体" w:hAnsi="宋体" w:cs="微软雅黑"/>
              </w:rPr>
            </w:pPr>
            <w:r w:rsidRPr="00A03549">
              <w:rPr>
                <w:rFonts w:ascii="宋体" w:eastAsia="宋体" w:hAnsi="宋体" w:cs="微软雅黑" w:hint="eastAsia"/>
              </w:rPr>
              <w:t>计划终止日期</w:t>
            </w:r>
          </w:p>
        </w:tc>
        <w:tc>
          <w:tcPr>
            <w:tcW w:w="6936" w:type="dxa"/>
            <w:gridSpan w:val="10"/>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2040</w:t>
            </w:r>
            <w:r w:rsidRPr="00A03549">
              <w:rPr>
                <w:rFonts w:ascii="宋体" w:eastAsia="宋体" w:hAnsi="宋体" w:cs="微软雅黑" w:hint="eastAsia"/>
              </w:rPr>
              <w:t>年</w:t>
            </w:r>
            <w:r w:rsidRPr="00A03549">
              <w:rPr>
                <w:rFonts w:ascii="宋体" w:eastAsia="宋体" w:hAnsi="宋体" w:cs="微软雅黑"/>
              </w:rPr>
              <w:t>04</w:t>
            </w:r>
            <w:r w:rsidRPr="00A03549">
              <w:rPr>
                <w:rFonts w:ascii="宋体" w:eastAsia="宋体" w:hAnsi="宋体" w:cs="微软雅黑" w:hint="eastAsia"/>
              </w:rPr>
              <w:t>月</w:t>
            </w:r>
            <w:r w:rsidRPr="00A03549">
              <w:rPr>
                <w:rFonts w:ascii="宋体" w:eastAsia="宋体" w:hAnsi="宋体" w:cs="微软雅黑"/>
              </w:rPr>
              <w:t>29</w:t>
            </w:r>
            <w:r w:rsidRPr="00A03549">
              <w:rPr>
                <w:rFonts w:ascii="宋体" w:eastAsia="宋体" w:hAnsi="宋体" w:cs="微软雅黑" w:hint="eastAsia"/>
              </w:rPr>
              <w:t>日</w:t>
            </w:r>
          </w:p>
        </w:tc>
      </w:tr>
      <w:tr w:rsidR="004B07C4" w:rsidRPr="00A03549">
        <w:tblPrEx>
          <w:tblCellMar>
            <w:top w:w="0" w:type="dxa"/>
            <w:bottom w:w="0" w:type="dxa"/>
          </w:tblCellMar>
        </w:tblPrEx>
        <w:trPr>
          <w:trHeight w:hRule="exact" w:val="283"/>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r>
      <w:tr w:rsidR="004B07C4" w:rsidRPr="00A03549">
        <w:tblPrEx>
          <w:tblCellMar>
            <w:top w:w="0" w:type="dxa"/>
            <w:bottom w:w="0" w:type="dxa"/>
          </w:tblCellMar>
        </w:tblPrEx>
        <w:trPr>
          <w:trHeight w:hRule="exact" w:val="453"/>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spacing w:line="375" w:lineRule="exact"/>
              <w:ind w:left="20"/>
              <w:jc w:val="center"/>
              <w:rPr>
                <w:rFonts w:ascii="宋体" w:eastAsia="宋体" w:hAnsi="宋体" w:cs="微软雅黑"/>
                <w:sz w:val="28"/>
                <w:szCs w:val="28"/>
              </w:rPr>
            </w:pPr>
            <w:r w:rsidRPr="00A03549">
              <w:rPr>
                <w:rFonts w:ascii="宋体" w:eastAsia="宋体" w:hAnsi="宋体" w:cs="微软雅黑" w:hint="eastAsia"/>
                <w:b/>
                <w:bCs/>
                <w:sz w:val="28"/>
                <w:szCs w:val="28"/>
              </w:rPr>
              <w:t>第二章</w:t>
            </w:r>
            <w:r w:rsidRPr="00A03549">
              <w:rPr>
                <w:rFonts w:ascii="宋体" w:eastAsia="宋体" w:hAnsi="宋体" w:cs="微软雅黑"/>
                <w:b/>
                <w:bCs/>
                <w:sz w:val="28"/>
                <w:szCs w:val="28"/>
              </w:rPr>
              <w:t xml:space="preserve"> </w:t>
            </w:r>
            <w:r w:rsidRPr="00A03549">
              <w:rPr>
                <w:rFonts w:ascii="宋体" w:eastAsia="宋体" w:hAnsi="宋体" w:cs="微软雅黑" w:hint="eastAsia"/>
                <w:b/>
                <w:bCs/>
                <w:sz w:val="28"/>
                <w:szCs w:val="28"/>
              </w:rPr>
              <w:t>收益表现</w:t>
            </w:r>
          </w:p>
        </w:tc>
      </w:tr>
      <w:tr w:rsidR="004B07C4" w:rsidRPr="00A03549">
        <w:tblPrEx>
          <w:tblCellMar>
            <w:top w:w="0" w:type="dxa"/>
            <w:bottom w:w="0" w:type="dxa"/>
          </w:tblCellMar>
        </w:tblPrEx>
        <w:trPr>
          <w:trHeight w:hRule="exact" w:val="283"/>
        </w:trPr>
        <w:tc>
          <w:tcPr>
            <w:tcW w:w="396"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r>
      <w:tr w:rsidR="004B07C4" w:rsidRPr="00A03549">
        <w:tblPrEx>
          <w:tblCellMar>
            <w:top w:w="0" w:type="dxa"/>
            <w:bottom w:w="0" w:type="dxa"/>
          </w:tblCellMar>
        </w:tblPrEx>
        <w:trPr>
          <w:trHeight w:hRule="exact" w:val="566"/>
        </w:trPr>
        <w:tc>
          <w:tcPr>
            <w:tcW w:w="396"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spacing w:line="330" w:lineRule="exact"/>
              <w:ind w:right="120"/>
              <w:jc w:val="right"/>
              <w:rPr>
                <w:rFonts w:ascii="宋体" w:eastAsia="宋体" w:hAnsi="宋体" w:cs="微软雅黑"/>
              </w:rPr>
            </w:pPr>
            <w:r w:rsidRPr="00A03549">
              <w:rPr>
                <w:rFonts w:ascii="宋体" w:eastAsia="宋体" w:hAnsi="宋体" w:cs="微软雅黑" w:hint="eastAsia"/>
              </w:rPr>
              <w:t>金额单位：元</w:t>
            </w:r>
          </w:p>
        </w:tc>
      </w:tr>
      <w:tr w:rsidR="004B07C4" w:rsidRPr="00A03549">
        <w:tblPrEx>
          <w:tblCellMar>
            <w:top w:w="0" w:type="dxa"/>
            <w:bottom w:w="0" w:type="dxa"/>
          </w:tblCellMar>
        </w:tblPrEx>
        <w:trPr>
          <w:trHeight w:hRule="exact" w:val="566"/>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7344" w:type="dxa"/>
            <w:gridSpan w:val="10"/>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时点指标</w:t>
            </w:r>
          </w:p>
        </w:tc>
        <w:tc>
          <w:tcPr>
            <w:tcW w:w="3264"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区间指标</w:t>
            </w:r>
          </w:p>
        </w:tc>
      </w:tr>
      <w:tr w:rsidR="004B07C4" w:rsidRPr="00A03549">
        <w:tblPrEx>
          <w:tblCellMar>
            <w:top w:w="0" w:type="dxa"/>
            <w:bottom w:w="0" w:type="dxa"/>
          </w:tblCellMar>
        </w:tblPrEx>
        <w:trPr>
          <w:trHeight w:hRule="exact" w:val="990"/>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份额净值</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累计净值</w:t>
            </w:r>
          </w:p>
        </w:tc>
        <w:tc>
          <w:tcPr>
            <w:tcW w:w="1632"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份额总数</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资产净值</w:t>
            </w:r>
          </w:p>
        </w:tc>
        <w:tc>
          <w:tcPr>
            <w:tcW w:w="122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c>
          <w:tcPr>
            <w:tcW w:w="20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累计净值增长率</w:t>
            </w:r>
            <w:r w:rsidRPr="00A03549">
              <w:rPr>
                <w:rFonts w:ascii="宋体" w:eastAsia="宋体" w:hAnsi="宋体" w:cs="微软雅黑"/>
              </w:rPr>
              <w:t>/</w:t>
            </w:r>
            <w:r w:rsidRPr="00A03549">
              <w:rPr>
                <w:rFonts w:ascii="宋体" w:eastAsia="宋体" w:hAnsi="宋体" w:cs="微软雅黑" w:hint="eastAsia"/>
              </w:rPr>
              <w:t>累计净值收益率</w:t>
            </w:r>
            <w:r w:rsidRPr="00A03549">
              <w:rPr>
                <w:rFonts w:ascii="宋体" w:eastAsia="宋体" w:hAnsi="宋体" w:cs="微软雅黑"/>
              </w:rPr>
              <w:t>(%)</w:t>
            </w:r>
          </w:p>
        </w:tc>
      </w:tr>
      <w:tr w:rsidR="004B07C4" w:rsidRPr="00A03549">
        <w:tblPrEx>
          <w:tblCellMar>
            <w:top w:w="0" w:type="dxa"/>
            <w:bottom w:w="0" w:type="dxa"/>
          </w:tblCellMar>
        </w:tblPrEx>
        <w:trPr>
          <w:trHeight w:hRule="exact" w:val="660"/>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报告期末</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1.23965052</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1.23965052</w:t>
            </w:r>
          </w:p>
        </w:tc>
        <w:tc>
          <w:tcPr>
            <w:tcW w:w="1632"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760,754,868.02</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943,070,164.02</w:t>
            </w:r>
          </w:p>
        </w:tc>
        <w:tc>
          <w:tcPr>
            <w:tcW w:w="122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w:t>
            </w:r>
          </w:p>
        </w:tc>
        <w:tc>
          <w:tcPr>
            <w:tcW w:w="20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w:t>
            </w:r>
          </w:p>
        </w:tc>
      </w:tr>
      <w:tr w:rsidR="004B07C4" w:rsidRPr="00A03549">
        <w:tblPrEx>
          <w:tblCellMar>
            <w:top w:w="0" w:type="dxa"/>
            <w:bottom w:w="0" w:type="dxa"/>
          </w:tblCellMar>
        </w:tblPrEx>
        <w:trPr>
          <w:trHeight w:hRule="exact" w:val="660"/>
        </w:trPr>
        <w:tc>
          <w:tcPr>
            <w:tcW w:w="396"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三个月前</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1.2323108</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1.2323108</w:t>
            </w:r>
          </w:p>
        </w:tc>
        <w:tc>
          <w:tcPr>
            <w:tcW w:w="1632"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1,027,956,254.49</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1,266,761,590.73</w:t>
            </w:r>
          </w:p>
        </w:tc>
        <w:tc>
          <w:tcPr>
            <w:tcW w:w="122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过去三个月</w:t>
            </w:r>
          </w:p>
        </w:tc>
        <w:tc>
          <w:tcPr>
            <w:tcW w:w="20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0.60</w:t>
            </w:r>
          </w:p>
        </w:tc>
      </w:tr>
      <w:tr w:rsidR="004B07C4" w:rsidRPr="00A03549">
        <w:tblPrEx>
          <w:tblCellMar>
            <w:top w:w="0" w:type="dxa"/>
            <w:bottom w:w="0" w:type="dxa"/>
          </w:tblCellMar>
        </w:tblPrEx>
        <w:trPr>
          <w:trHeight w:hRule="exact" w:val="660"/>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六个月前</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1.21746147</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1.21746147</w:t>
            </w:r>
          </w:p>
        </w:tc>
        <w:tc>
          <w:tcPr>
            <w:tcW w:w="1632"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1,167,615,572.99</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1,421,526,971.23</w:t>
            </w:r>
          </w:p>
        </w:tc>
        <w:tc>
          <w:tcPr>
            <w:tcW w:w="122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过去六个月</w:t>
            </w:r>
          </w:p>
        </w:tc>
        <w:tc>
          <w:tcPr>
            <w:tcW w:w="20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1.82</w:t>
            </w:r>
          </w:p>
        </w:tc>
      </w:tr>
      <w:tr w:rsidR="004B07C4" w:rsidRPr="00A03549">
        <w:tblPrEx>
          <w:tblCellMar>
            <w:top w:w="0" w:type="dxa"/>
            <w:bottom w:w="0" w:type="dxa"/>
          </w:tblCellMar>
        </w:tblPrEx>
        <w:trPr>
          <w:trHeight w:hRule="exact" w:val="660"/>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九个月前</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1.20775386</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1.20775386</w:t>
            </w:r>
          </w:p>
        </w:tc>
        <w:tc>
          <w:tcPr>
            <w:tcW w:w="1632"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1,222,286,755.45</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1,476,221,551.09</w:t>
            </w:r>
          </w:p>
        </w:tc>
        <w:tc>
          <w:tcPr>
            <w:tcW w:w="122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过去九个月</w:t>
            </w:r>
          </w:p>
        </w:tc>
        <w:tc>
          <w:tcPr>
            <w:tcW w:w="20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2.64</w:t>
            </w:r>
          </w:p>
        </w:tc>
      </w:tr>
      <w:tr w:rsidR="004B07C4" w:rsidRPr="00A03549">
        <w:tblPrEx>
          <w:tblCellMar>
            <w:top w:w="0" w:type="dxa"/>
            <w:bottom w:w="0" w:type="dxa"/>
          </w:tblCellMar>
        </w:tblPrEx>
        <w:trPr>
          <w:trHeight w:hRule="exact" w:val="660"/>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一年前</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1.19935711</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1.19935711</w:t>
            </w:r>
          </w:p>
        </w:tc>
        <w:tc>
          <w:tcPr>
            <w:tcW w:w="1632"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1,147,644,551.87</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1,376,435,647.57</w:t>
            </w:r>
          </w:p>
        </w:tc>
        <w:tc>
          <w:tcPr>
            <w:tcW w:w="122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过去一年</w:t>
            </w:r>
          </w:p>
          <w:p w:rsidR="004B07C4" w:rsidRPr="00A03549" w:rsidRDefault="004B07C4">
            <w:pPr>
              <w:spacing w:line="330" w:lineRule="exact"/>
              <w:ind w:left="20"/>
              <w:jc w:val="center"/>
              <w:rPr>
                <w:rFonts w:ascii="宋体" w:eastAsia="宋体" w:hAnsi="宋体" w:cs="微软雅黑"/>
              </w:rPr>
            </w:pPr>
          </w:p>
        </w:tc>
        <w:tc>
          <w:tcPr>
            <w:tcW w:w="20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3.36</w:t>
            </w:r>
          </w:p>
        </w:tc>
      </w:tr>
      <w:tr w:rsidR="004B07C4" w:rsidRPr="00A03549">
        <w:tblPrEx>
          <w:tblCellMar>
            <w:top w:w="0" w:type="dxa"/>
            <w:bottom w:w="0" w:type="dxa"/>
          </w:tblCellMar>
        </w:tblPrEx>
        <w:trPr>
          <w:trHeight w:hRule="exact" w:val="566"/>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w:t>
            </w:r>
          </w:p>
        </w:tc>
        <w:tc>
          <w:tcPr>
            <w:tcW w:w="1632"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w:t>
            </w:r>
          </w:p>
        </w:tc>
        <w:tc>
          <w:tcPr>
            <w:tcW w:w="122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成立至今</w:t>
            </w:r>
          </w:p>
          <w:p w:rsidR="004B07C4" w:rsidRPr="00A03549" w:rsidRDefault="004B07C4">
            <w:pPr>
              <w:spacing w:line="330" w:lineRule="exact"/>
              <w:ind w:left="20"/>
              <w:jc w:val="center"/>
              <w:rPr>
                <w:rFonts w:ascii="宋体" w:eastAsia="宋体" w:hAnsi="宋体" w:cs="微软雅黑"/>
              </w:rPr>
            </w:pPr>
          </w:p>
        </w:tc>
        <w:tc>
          <w:tcPr>
            <w:tcW w:w="20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23.97</w:t>
            </w:r>
          </w:p>
        </w:tc>
      </w:tr>
      <w:tr w:rsidR="004B07C4" w:rsidRPr="00A03549">
        <w:tblPrEx>
          <w:tblCellMar>
            <w:top w:w="0" w:type="dxa"/>
            <w:bottom w:w="0" w:type="dxa"/>
          </w:tblCellMar>
        </w:tblPrEx>
        <w:trPr>
          <w:trHeight w:hRule="exact" w:val="283"/>
        </w:trPr>
        <w:tc>
          <w:tcPr>
            <w:tcW w:w="396"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r>
      <w:tr w:rsidR="004B07C4" w:rsidRPr="00A03549">
        <w:tblPrEx>
          <w:tblCellMar>
            <w:top w:w="0" w:type="dxa"/>
            <w:bottom w:w="0" w:type="dxa"/>
          </w:tblCellMar>
        </w:tblPrEx>
        <w:trPr>
          <w:trHeight w:hRule="exact" w:val="453"/>
        </w:trPr>
        <w:tc>
          <w:tcPr>
            <w:tcW w:w="396"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spacing w:line="375" w:lineRule="exact"/>
              <w:ind w:left="20"/>
              <w:jc w:val="center"/>
              <w:rPr>
                <w:rFonts w:ascii="宋体" w:eastAsia="宋体" w:hAnsi="宋体" w:cs="微软雅黑"/>
                <w:sz w:val="28"/>
                <w:szCs w:val="28"/>
              </w:rPr>
            </w:pPr>
            <w:r w:rsidRPr="00A03549">
              <w:rPr>
                <w:rFonts w:ascii="宋体" w:eastAsia="宋体" w:hAnsi="宋体" w:cs="微软雅黑" w:hint="eastAsia"/>
                <w:b/>
                <w:bCs/>
                <w:sz w:val="28"/>
                <w:szCs w:val="28"/>
              </w:rPr>
              <w:t>第三章</w:t>
            </w:r>
            <w:r w:rsidRPr="00A03549">
              <w:rPr>
                <w:rFonts w:ascii="宋体" w:eastAsia="宋体" w:hAnsi="宋体" w:cs="微软雅黑"/>
                <w:b/>
                <w:bCs/>
                <w:sz w:val="28"/>
                <w:szCs w:val="28"/>
              </w:rPr>
              <w:t xml:space="preserve"> </w:t>
            </w:r>
            <w:r w:rsidRPr="00A03549">
              <w:rPr>
                <w:rFonts w:ascii="宋体" w:eastAsia="宋体" w:hAnsi="宋体" w:cs="微软雅黑" w:hint="eastAsia"/>
                <w:b/>
                <w:bCs/>
                <w:sz w:val="28"/>
                <w:szCs w:val="28"/>
              </w:rPr>
              <w:t>管理人报告</w:t>
            </w:r>
          </w:p>
        </w:tc>
      </w:tr>
      <w:tr w:rsidR="004B07C4" w:rsidRPr="00A03549">
        <w:tblPrEx>
          <w:tblCellMar>
            <w:top w:w="0" w:type="dxa"/>
            <w:bottom w:w="0" w:type="dxa"/>
          </w:tblCellMar>
        </w:tblPrEx>
        <w:trPr>
          <w:trHeight w:hRule="exact" w:val="3690"/>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16" w:lineRule="exact"/>
              <w:rPr>
                <w:rFonts w:ascii="宋体" w:eastAsia="宋体" w:hAnsi="宋体" w:cs="微软雅黑"/>
              </w:rPr>
            </w:pPr>
            <w:r w:rsidRPr="00A03549">
              <w:rPr>
                <w:rFonts w:ascii="宋体" w:eastAsia="宋体" w:hAnsi="宋体" w:cs="微软雅黑"/>
              </w:rPr>
              <w:t>      1.</w:t>
            </w:r>
            <w:r w:rsidRPr="00A03549">
              <w:rPr>
                <w:rFonts w:ascii="宋体" w:eastAsia="宋体" w:hAnsi="宋体" w:cs="微软雅黑" w:hint="eastAsia"/>
              </w:rPr>
              <w:t>报告期内本产品投资策略</w:t>
            </w:r>
          </w:p>
          <w:p w:rsidR="004B07C4" w:rsidRPr="00A03549" w:rsidRDefault="004B07C4">
            <w:pPr>
              <w:spacing w:line="316" w:lineRule="exact"/>
              <w:rPr>
                <w:rFonts w:ascii="宋体" w:eastAsia="宋体" w:hAnsi="宋体" w:cs="微软雅黑"/>
              </w:rPr>
            </w:pPr>
            <w:r w:rsidRPr="00A03549">
              <w:rPr>
                <w:rFonts w:ascii="宋体" w:eastAsia="宋体" w:hAnsi="宋体" w:cs="微软雅黑"/>
              </w:rPr>
              <w:t xml:space="preserve">      </w:t>
            </w:r>
            <w:r w:rsidRPr="00A03549">
              <w:rPr>
                <w:rFonts w:ascii="宋体" w:eastAsia="宋体" w:hAnsi="宋体" w:cs="微软雅黑" w:hint="eastAsia"/>
              </w:rPr>
              <w:t>利用定性分析和定量分析方法，通过对相关金融资产的合理配置，在确保本金安全和流动性的前提下，追求稳定合理的回报。</w:t>
            </w:r>
          </w:p>
          <w:p w:rsidR="004B07C4" w:rsidRPr="00A03549" w:rsidRDefault="004B07C4">
            <w:pPr>
              <w:spacing w:line="316" w:lineRule="exact"/>
              <w:rPr>
                <w:rFonts w:ascii="宋体" w:eastAsia="宋体" w:hAnsi="宋体" w:cs="微软雅黑"/>
              </w:rPr>
            </w:pPr>
            <w:r w:rsidRPr="00A03549">
              <w:rPr>
                <w:rFonts w:ascii="宋体" w:eastAsia="宋体" w:hAnsi="宋体" w:cs="微软雅黑"/>
              </w:rPr>
              <w:t>      2.</w:t>
            </w:r>
            <w:r w:rsidRPr="00A03549">
              <w:rPr>
                <w:rFonts w:ascii="宋体" w:eastAsia="宋体" w:hAnsi="宋体" w:cs="微软雅黑" w:hint="eastAsia"/>
              </w:rPr>
              <w:t>本产品未来表现展望</w:t>
            </w:r>
          </w:p>
          <w:p w:rsidR="004B07C4" w:rsidRPr="00A03549" w:rsidRDefault="004B07C4">
            <w:pPr>
              <w:spacing w:line="316" w:lineRule="exact"/>
              <w:rPr>
                <w:rFonts w:ascii="宋体" w:eastAsia="宋体" w:hAnsi="宋体" w:cs="微软雅黑"/>
              </w:rPr>
            </w:pPr>
            <w:r w:rsidRPr="00A03549">
              <w:rPr>
                <w:rFonts w:ascii="宋体" w:eastAsia="宋体" w:hAnsi="宋体" w:cs="微软雅黑"/>
              </w:rPr>
              <w:t xml:space="preserve">      </w:t>
            </w:r>
            <w:r w:rsidRPr="00A03549">
              <w:rPr>
                <w:rFonts w:ascii="宋体" w:eastAsia="宋体" w:hAnsi="宋体" w:cs="微软雅黑" w:hint="eastAsia"/>
              </w:rPr>
              <w:t>通过对国内外宏观经济形势、金融市场运行情况的综合分析，在严格控制风险的前提下，主动构建及调整投资组合，力争获取超额收益。</w:t>
            </w:r>
          </w:p>
          <w:p w:rsidR="004B07C4" w:rsidRPr="00A03549" w:rsidRDefault="004B07C4">
            <w:pPr>
              <w:spacing w:line="316" w:lineRule="exact"/>
              <w:rPr>
                <w:rFonts w:ascii="宋体" w:eastAsia="宋体" w:hAnsi="宋体" w:cs="微软雅黑"/>
              </w:rPr>
            </w:pPr>
            <w:r w:rsidRPr="00A03549">
              <w:rPr>
                <w:rFonts w:ascii="宋体" w:eastAsia="宋体" w:hAnsi="宋体" w:cs="微软雅黑"/>
              </w:rPr>
              <w:t>      3.</w:t>
            </w:r>
            <w:r w:rsidRPr="00A03549">
              <w:rPr>
                <w:rFonts w:ascii="宋体" w:eastAsia="宋体" w:hAnsi="宋体" w:cs="微软雅黑" w:hint="eastAsia"/>
              </w:rPr>
              <w:t>报告期内本产品运作遵规守信情况</w:t>
            </w:r>
          </w:p>
          <w:p w:rsidR="004B07C4" w:rsidRPr="00A03549" w:rsidRDefault="004B07C4">
            <w:pPr>
              <w:spacing w:line="316" w:lineRule="exact"/>
              <w:rPr>
                <w:rFonts w:ascii="宋体" w:eastAsia="宋体" w:hAnsi="宋体" w:cs="微软雅黑"/>
              </w:rPr>
            </w:pPr>
            <w:r w:rsidRPr="00A03549">
              <w:rPr>
                <w:rFonts w:ascii="宋体" w:eastAsia="宋体" w:hAnsi="宋体" w:cs="微软雅黑"/>
              </w:rPr>
              <w:t xml:space="preserve">      </w:t>
            </w:r>
            <w:r w:rsidRPr="00A03549">
              <w:rPr>
                <w:rFonts w:ascii="宋体" w:eastAsia="宋体" w:hAnsi="宋体" w:cs="微软雅黑" w:hint="eastAsia"/>
              </w:rPr>
              <w:t>江苏太仓农村商业银行股份有限公司：</w:t>
            </w:r>
          </w:p>
          <w:p w:rsidR="004B07C4" w:rsidRPr="00A03549" w:rsidRDefault="004B07C4">
            <w:pPr>
              <w:spacing w:line="316" w:lineRule="exact"/>
              <w:rPr>
                <w:rFonts w:ascii="宋体" w:eastAsia="宋体" w:hAnsi="宋体" w:cs="微软雅黑"/>
              </w:rPr>
            </w:pPr>
            <w:r w:rsidRPr="00A03549">
              <w:rPr>
                <w:rFonts w:ascii="宋体" w:eastAsia="宋体" w:hAnsi="宋体" w:cs="微软雅黑"/>
              </w:rPr>
              <w:t xml:space="preserve">      </w:t>
            </w:r>
            <w:r w:rsidRPr="00A03549">
              <w:rPr>
                <w:rFonts w:ascii="宋体" w:eastAsia="宋体" w:hAnsi="宋体" w:cs="微软雅黑" w:hint="eastAsia"/>
              </w:rPr>
              <w:t>作为理财产品管理人，在报告期内产品运作严格遵守《关于规范金融机构资产管理业务的指导意见》《商业银行理财业务监督管理办法》等法律法规、部门规章，依照诚实信用、勤勉尽责、安全高效的原则，在认真控制产品投资风险的基础上，为产品持有人谋求最大利益。</w:t>
            </w:r>
          </w:p>
        </w:tc>
      </w:tr>
      <w:tr w:rsidR="004B07C4" w:rsidRPr="00A03549">
        <w:tblPrEx>
          <w:tblCellMar>
            <w:top w:w="0" w:type="dxa"/>
            <w:bottom w:w="0" w:type="dxa"/>
          </w:tblCellMar>
        </w:tblPrEx>
        <w:trPr>
          <w:trHeight w:hRule="exact" w:val="283"/>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r>
      <w:tr w:rsidR="004B07C4" w:rsidRPr="00A03549">
        <w:tblPrEx>
          <w:tblCellMar>
            <w:top w:w="0" w:type="dxa"/>
            <w:bottom w:w="0" w:type="dxa"/>
          </w:tblCellMar>
        </w:tblPrEx>
        <w:trPr>
          <w:trHeight w:hRule="exact" w:val="453"/>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spacing w:line="375" w:lineRule="exact"/>
              <w:ind w:left="20"/>
              <w:jc w:val="center"/>
              <w:rPr>
                <w:rFonts w:ascii="宋体" w:eastAsia="宋体" w:hAnsi="宋体" w:cs="微软雅黑"/>
                <w:sz w:val="28"/>
                <w:szCs w:val="28"/>
              </w:rPr>
            </w:pPr>
            <w:r w:rsidRPr="00A03549">
              <w:rPr>
                <w:rFonts w:ascii="宋体" w:eastAsia="宋体" w:hAnsi="宋体" w:cs="微软雅黑" w:hint="eastAsia"/>
                <w:b/>
                <w:bCs/>
                <w:sz w:val="28"/>
                <w:szCs w:val="28"/>
              </w:rPr>
              <w:t>第四章</w:t>
            </w:r>
            <w:r w:rsidRPr="00A03549">
              <w:rPr>
                <w:rFonts w:ascii="宋体" w:eastAsia="宋体" w:hAnsi="宋体" w:cs="微软雅黑"/>
                <w:b/>
                <w:bCs/>
                <w:sz w:val="28"/>
                <w:szCs w:val="28"/>
              </w:rPr>
              <w:t xml:space="preserve"> </w:t>
            </w:r>
            <w:r w:rsidRPr="00A03549">
              <w:rPr>
                <w:rFonts w:ascii="宋体" w:eastAsia="宋体" w:hAnsi="宋体" w:cs="微软雅黑" w:hint="eastAsia"/>
                <w:b/>
                <w:bCs/>
                <w:sz w:val="28"/>
                <w:szCs w:val="28"/>
              </w:rPr>
              <w:t>托管人报告</w:t>
            </w:r>
          </w:p>
        </w:tc>
      </w:tr>
      <w:tr w:rsidR="004B07C4" w:rsidRPr="00A03549">
        <w:tblPrEx>
          <w:tblCellMar>
            <w:top w:w="0" w:type="dxa"/>
            <w:bottom w:w="0" w:type="dxa"/>
          </w:tblCellMar>
        </w:tblPrEx>
        <w:trPr>
          <w:trHeight w:hRule="exact" w:val="3045"/>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16" w:lineRule="exact"/>
              <w:rPr>
                <w:rFonts w:ascii="宋体" w:eastAsia="宋体" w:hAnsi="宋体" w:cs="微软雅黑"/>
              </w:rPr>
            </w:pPr>
            <w:r w:rsidRPr="00A03549">
              <w:rPr>
                <w:rFonts w:ascii="宋体" w:eastAsia="宋体" w:hAnsi="宋体" w:cs="微软雅黑"/>
              </w:rPr>
              <w:t xml:space="preserve">      </w:t>
            </w:r>
            <w:r w:rsidRPr="00A03549">
              <w:rPr>
                <w:rFonts w:ascii="宋体" w:eastAsia="宋体" w:hAnsi="宋体" w:cs="微软雅黑" w:hint="eastAsia"/>
              </w:rPr>
              <w:t>南京银行股份有限公司声明：</w:t>
            </w:r>
          </w:p>
          <w:p w:rsidR="004B07C4" w:rsidRPr="00A03549" w:rsidRDefault="004B07C4">
            <w:pPr>
              <w:spacing w:line="316" w:lineRule="exact"/>
              <w:rPr>
                <w:rFonts w:ascii="宋体" w:eastAsia="宋体" w:hAnsi="宋体" w:cs="微软雅黑"/>
              </w:rPr>
            </w:pPr>
            <w:r w:rsidRPr="00A03549">
              <w:rPr>
                <w:rFonts w:ascii="宋体" w:eastAsia="宋体" w:hAnsi="宋体" w:cs="微软雅黑"/>
              </w:rPr>
              <w:t xml:space="preserve">      </w:t>
            </w:r>
            <w:r w:rsidRPr="00A03549">
              <w:rPr>
                <w:rFonts w:ascii="宋体" w:eastAsia="宋体" w:hAnsi="宋体" w:cs="微软雅黑" w:hint="eastAsia"/>
              </w:rPr>
              <w:t>在报告期内，南京银行股份有限公司作为产品的托管人，严格遵守《关于规范金融机构资产管理业务的指导意见》《商业银行理财业务监督管理办法》等法律法规、部门规章，依照诚实信用、勤勉尽责、安全高效的原则，不存在任何损害产品份额持有人利益的行为，完全尽职尽责地履行了产品托管人应尽的义务。</w:t>
            </w:r>
          </w:p>
          <w:p w:rsidR="004B07C4" w:rsidRPr="00A03549" w:rsidRDefault="004B07C4">
            <w:pPr>
              <w:spacing w:line="316" w:lineRule="exact"/>
              <w:rPr>
                <w:rFonts w:ascii="宋体" w:eastAsia="宋体" w:hAnsi="宋体" w:cs="微软雅黑"/>
              </w:rPr>
            </w:pPr>
            <w:r w:rsidRPr="00A03549">
              <w:rPr>
                <w:rFonts w:ascii="宋体" w:eastAsia="宋体" w:hAnsi="宋体" w:cs="微软雅黑"/>
              </w:rPr>
              <w:t xml:space="preserve">      </w:t>
            </w:r>
            <w:r w:rsidRPr="00A03549">
              <w:rPr>
                <w:rFonts w:ascii="宋体" w:eastAsia="宋体" w:hAnsi="宋体" w:cs="微软雅黑" w:hint="eastAsia"/>
              </w:rPr>
              <w:t>在报告期内，江苏太仓农村商业银行股份有限公司作为产品的管理人，在资金的投资运作、净值计算、利润分配、费用开支等问题上，严格遵守《关于规范金融机构资产管理业务的指导意见》《商业银行理财业务监督管理办法》等法律法规、部门规章。</w:t>
            </w:r>
          </w:p>
          <w:p w:rsidR="004B07C4" w:rsidRPr="00A03549" w:rsidRDefault="004B07C4">
            <w:pPr>
              <w:spacing w:line="316" w:lineRule="exact"/>
              <w:rPr>
                <w:rFonts w:ascii="宋体" w:eastAsia="宋体" w:hAnsi="宋体" w:cs="微软雅黑"/>
              </w:rPr>
            </w:pPr>
          </w:p>
        </w:tc>
      </w:tr>
      <w:tr w:rsidR="004B07C4" w:rsidRPr="00A03549">
        <w:tblPrEx>
          <w:tblCellMar>
            <w:top w:w="0" w:type="dxa"/>
            <w:bottom w:w="0" w:type="dxa"/>
          </w:tblCellMar>
        </w:tblPrEx>
        <w:trPr>
          <w:trHeight w:hRule="exact" w:val="283"/>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r>
      <w:tr w:rsidR="004B07C4" w:rsidRPr="00A03549">
        <w:tblPrEx>
          <w:tblCellMar>
            <w:top w:w="0" w:type="dxa"/>
            <w:bottom w:w="0" w:type="dxa"/>
          </w:tblCellMar>
        </w:tblPrEx>
        <w:trPr>
          <w:trHeight w:hRule="exact" w:val="453"/>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spacing w:line="375" w:lineRule="exact"/>
              <w:ind w:left="20"/>
              <w:jc w:val="center"/>
              <w:rPr>
                <w:rFonts w:ascii="宋体" w:eastAsia="宋体" w:hAnsi="宋体" w:cs="微软雅黑"/>
                <w:sz w:val="28"/>
                <w:szCs w:val="28"/>
              </w:rPr>
            </w:pPr>
            <w:r w:rsidRPr="00A03549">
              <w:rPr>
                <w:rFonts w:ascii="宋体" w:eastAsia="宋体" w:hAnsi="宋体" w:cs="微软雅黑" w:hint="eastAsia"/>
                <w:b/>
                <w:bCs/>
                <w:sz w:val="28"/>
                <w:szCs w:val="28"/>
              </w:rPr>
              <w:t>第五章</w:t>
            </w:r>
            <w:r w:rsidRPr="00A03549">
              <w:rPr>
                <w:rFonts w:ascii="宋体" w:eastAsia="宋体" w:hAnsi="宋体" w:cs="微软雅黑"/>
                <w:b/>
                <w:bCs/>
                <w:sz w:val="28"/>
                <w:szCs w:val="28"/>
              </w:rPr>
              <w:t xml:space="preserve"> </w:t>
            </w:r>
            <w:r w:rsidRPr="00A03549">
              <w:rPr>
                <w:rFonts w:ascii="宋体" w:eastAsia="宋体" w:hAnsi="宋体" w:cs="微软雅黑" w:hint="eastAsia"/>
                <w:b/>
                <w:bCs/>
                <w:sz w:val="28"/>
                <w:szCs w:val="28"/>
              </w:rPr>
              <w:t>资产持仓</w:t>
            </w:r>
          </w:p>
        </w:tc>
      </w:tr>
      <w:tr w:rsidR="004B07C4" w:rsidRPr="00A03549">
        <w:tblPrEx>
          <w:tblCellMar>
            <w:top w:w="0" w:type="dxa"/>
            <w:bottom w:w="0" w:type="dxa"/>
          </w:tblCellMar>
        </w:tblPrEx>
        <w:trPr>
          <w:trHeight w:hRule="exact" w:val="510"/>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spacing w:line="375" w:lineRule="exact"/>
              <w:ind w:left="20"/>
              <w:rPr>
                <w:rFonts w:ascii="宋体" w:eastAsia="宋体" w:hAnsi="宋体" w:cs="微软雅黑"/>
                <w:sz w:val="28"/>
                <w:szCs w:val="28"/>
              </w:rPr>
            </w:pPr>
            <w:r w:rsidRPr="00A03549">
              <w:rPr>
                <w:rFonts w:ascii="宋体" w:eastAsia="宋体" w:hAnsi="宋体" w:cs="微软雅黑"/>
                <w:b/>
                <w:bCs/>
                <w:sz w:val="28"/>
                <w:szCs w:val="28"/>
              </w:rPr>
              <w:t xml:space="preserve">5.1 </w:t>
            </w:r>
            <w:r w:rsidRPr="00A03549">
              <w:rPr>
                <w:rFonts w:ascii="宋体" w:eastAsia="宋体" w:hAnsi="宋体" w:cs="微软雅黑" w:hint="eastAsia"/>
                <w:b/>
                <w:bCs/>
                <w:sz w:val="28"/>
                <w:szCs w:val="28"/>
              </w:rPr>
              <w:t>报告期末持有资产情况</w:t>
            </w:r>
          </w:p>
        </w:tc>
      </w:tr>
      <w:tr w:rsidR="004B07C4" w:rsidRPr="00A03549">
        <w:tblPrEx>
          <w:tblCellMar>
            <w:top w:w="0" w:type="dxa"/>
            <w:bottom w:w="0" w:type="dxa"/>
          </w:tblCellMar>
        </w:tblPrEx>
        <w:trPr>
          <w:trHeight w:hRule="exact" w:val="793"/>
        </w:trPr>
        <w:tc>
          <w:tcPr>
            <w:tcW w:w="396"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序号</w:t>
            </w:r>
          </w:p>
        </w:tc>
        <w:tc>
          <w:tcPr>
            <w:tcW w:w="4080"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资产代码</w:t>
            </w:r>
          </w:p>
        </w:tc>
        <w:tc>
          <w:tcPr>
            <w:tcW w:w="285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穿透前占总资产比例（</w:t>
            </w:r>
            <w:r w:rsidRPr="00A03549">
              <w:rPr>
                <w:rFonts w:ascii="宋体" w:eastAsia="宋体" w:hAnsi="宋体" w:cs="微软雅黑"/>
              </w:rPr>
              <w:t>%</w:t>
            </w:r>
            <w:r w:rsidRPr="00A03549">
              <w:rPr>
                <w:rFonts w:ascii="宋体" w:eastAsia="宋体" w:hAnsi="宋体" w:cs="微软雅黑" w:hint="eastAsia"/>
              </w:rPr>
              <w:t>）</w:t>
            </w:r>
          </w:p>
        </w:tc>
        <w:tc>
          <w:tcPr>
            <w:tcW w:w="285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穿透后占总资产比例（</w:t>
            </w:r>
            <w:r w:rsidRPr="00A03549">
              <w:rPr>
                <w:rFonts w:ascii="宋体" w:eastAsia="宋体" w:hAnsi="宋体" w:cs="微软雅黑"/>
              </w:rPr>
              <w:t>%</w:t>
            </w:r>
            <w:r w:rsidRPr="00A03549">
              <w:rPr>
                <w:rFonts w:ascii="宋体" w:eastAsia="宋体" w:hAnsi="宋体" w:cs="微软雅黑" w:hint="eastAsia"/>
              </w:rPr>
              <w:t>）</w:t>
            </w:r>
          </w:p>
        </w:tc>
      </w:tr>
      <w:tr w:rsidR="004B07C4" w:rsidRPr="00A03549">
        <w:tblPrEx>
          <w:tblCellMar>
            <w:top w:w="0" w:type="dxa"/>
            <w:bottom w:w="0" w:type="dxa"/>
          </w:tblCellMar>
        </w:tblPrEx>
        <w:trPr>
          <w:trHeight w:hRule="exact" w:val="566"/>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w:t>
            </w:r>
          </w:p>
        </w:tc>
        <w:tc>
          <w:tcPr>
            <w:tcW w:w="4080"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现金及银行存款</w:t>
            </w:r>
          </w:p>
        </w:tc>
        <w:tc>
          <w:tcPr>
            <w:tcW w:w="285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0.83</w:t>
            </w:r>
          </w:p>
        </w:tc>
        <w:tc>
          <w:tcPr>
            <w:tcW w:w="285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1.32</w:t>
            </w:r>
          </w:p>
        </w:tc>
      </w:tr>
      <w:tr w:rsidR="004B07C4" w:rsidRPr="00A03549">
        <w:tblPrEx>
          <w:tblCellMar>
            <w:top w:w="0" w:type="dxa"/>
            <w:bottom w:w="0" w:type="dxa"/>
          </w:tblCellMar>
        </w:tblPrEx>
        <w:trPr>
          <w:trHeight w:hRule="exact" w:val="566"/>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2</w:t>
            </w:r>
          </w:p>
        </w:tc>
        <w:tc>
          <w:tcPr>
            <w:tcW w:w="4080"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同业存单</w:t>
            </w:r>
          </w:p>
        </w:tc>
        <w:tc>
          <w:tcPr>
            <w:tcW w:w="285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0.00</w:t>
            </w:r>
          </w:p>
        </w:tc>
        <w:tc>
          <w:tcPr>
            <w:tcW w:w="285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0.00</w:t>
            </w:r>
          </w:p>
        </w:tc>
      </w:tr>
      <w:tr w:rsidR="004B07C4" w:rsidRPr="00A03549">
        <w:tblPrEx>
          <w:tblCellMar>
            <w:top w:w="0" w:type="dxa"/>
            <w:bottom w:w="0" w:type="dxa"/>
          </w:tblCellMar>
        </w:tblPrEx>
        <w:trPr>
          <w:trHeight w:hRule="exact" w:val="566"/>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3</w:t>
            </w:r>
          </w:p>
        </w:tc>
        <w:tc>
          <w:tcPr>
            <w:tcW w:w="4080"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拆放同业及债券买入返售</w:t>
            </w:r>
          </w:p>
        </w:tc>
        <w:tc>
          <w:tcPr>
            <w:tcW w:w="285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9.49</w:t>
            </w:r>
          </w:p>
        </w:tc>
        <w:tc>
          <w:tcPr>
            <w:tcW w:w="285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6.63</w:t>
            </w:r>
          </w:p>
        </w:tc>
      </w:tr>
      <w:tr w:rsidR="004B07C4" w:rsidRPr="00A03549">
        <w:tblPrEx>
          <w:tblCellMar>
            <w:top w:w="0" w:type="dxa"/>
            <w:bottom w:w="0" w:type="dxa"/>
          </w:tblCellMar>
        </w:tblPrEx>
        <w:trPr>
          <w:trHeight w:hRule="exact" w:val="566"/>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4</w:t>
            </w:r>
          </w:p>
        </w:tc>
        <w:tc>
          <w:tcPr>
            <w:tcW w:w="4080"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债券</w:t>
            </w:r>
          </w:p>
        </w:tc>
        <w:tc>
          <w:tcPr>
            <w:tcW w:w="285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78.60</w:t>
            </w:r>
          </w:p>
        </w:tc>
        <w:tc>
          <w:tcPr>
            <w:tcW w:w="285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92.05</w:t>
            </w:r>
          </w:p>
        </w:tc>
      </w:tr>
      <w:tr w:rsidR="004B07C4" w:rsidRPr="00A03549">
        <w:tblPrEx>
          <w:tblCellMar>
            <w:top w:w="0" w:type="dxa"/>
            <w:bottom w:w="0" w:type="dxa"/>
          </w:tblCellMar>
        </w:tblPrEx>
        <w:trPr>
          <w:trHeight w:hRule="exact" w:val="566"/>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5</w:t>
            </w:r>
          </w:p>
        </w:tc>
        <w:tc>
          <w:tcPr>
            <w:tcW w:w="4080"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非标准化债权类资产</w:t>
            </w:r>
          </w:p>
        </w:tc>
        <w:tc>
          <w:tcPr>
            <w:tcW w:w="285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0.00</w:t>
            </w:r>
          </w:p>
        </w:tc>
        <w:tc>
          <w:tcPr>
            <w:tcW w:w="285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0.00</w:t>
            </w:r>
          </w:p>
        </w:tc>
      </w:tr>
      <w:tr w:rsidR="004B07C4" w:rsidRPr="00A03549">
        <w:tblPrEx>
          <w:tblCellMar>
            <w:top w:w="0" w:type="dxa"/>
            <w:bottom w:w="0" w:type="dxa"/>
          </w:tblCellMar>
        </w:tblPrEx>
        <w:trPr>
          <w:trHeight w:hRule="exact" w:val="566"/>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6</w:t>
            </w:r>
          </w:p>
        </w:tc>
        <w:tc>
          <w:tcPr>
            <w:tcW w:w="4080"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权益类资产</w:t>
            </w:r>
          </w:p>
        </w:tc>
        <w:tc>
          <w:tcPr>
            <w:tcW w:w="285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0.00</w:t>
            </w:r>
          </w:p>
        </w:tc>
        <w:tc>
          <w:tcPr>
            <w:tcW w:w="285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0.00</w:t>
            </w:r>
          </w:p>
        </w:tc>
      </w:tr>
      <w:tr w:rsidR="004B07C4" w:rsidRPr="00A03549">
        <w:tblPrEx>
          <w:tblCellMar>
            <w:top w:w="0" w:type="dxa"/>
            <w:bottom w:w="0" w:type="dxa"/>
          </w:tblCellMar>
        </w:tblPrEx>
        <w:trPr>
          <w:trHeight w:hRule="exact" w:val="566"/>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7</w:t>
            </w:r>
          </w:p>
        </w:tc>
        <w:tc>
          <w:tcPr>
            <w:tcW w:w="4080"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金融衍生品</w:t>
            </w:r>
          </w:p>
        </w:tc>
        <w:tc>
          <w:tcPr>
            <w:tcW w:w="285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0.00</w:t>
            </w:r>
          </w:p>
        </w:tc>
        <w:tc>
          <w:tcPr>
            <w:tcW w:w="285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0.00</w:t>
            </w:r>
          </w:p>
        </w:tc>
      </w:tr>
      <w:tr w:rsidR="004B07C4" w:rsidRPr="00A03549">
        <w:tblPrEx>
          <w:tblCellMar>
            <w:top w:w="0" w:type="dxa"/>
            <w:bottom w:w="0" w:type="dxa"/>
          </w:tblCellMar>
        </w:tblPrEx>
        <w:trPr>
          <w:trHeight w:hRule="exact" w:val="566"/>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8</w:t>
            </w:r>
          </w:p>
        </w:tc>
        <w:tc>
          <w:tcPr>
            <w:tcW w:w="4080"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代客境外理财投资</w:t>
            </w:r>
            <w:r w:rsidRPr="00A03549">
              <w:rPr>
                <w:rFonts w:ascii="宋体" w:eastAsia="宋体" w:hAnsi="宋体" w:cs="微软雅黑"/>
              </w:rPr>
              <w:t>QDII</w:t>
            </w:r>
          </w:p>
        </w:tc>
        <w:tc>
          <w:tcPr>
            <w:tcW w:w="285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0.00</w:t>
            </w:r>
          </w:p>
        </w:tc>
        <w:tc>
          <w:tcPr>
            <w:tcW w:w="285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0.00</w:t>
            </w:r>
          </w:p>
        </w:tc>
      </w:tr>
      <w:tr w:rsidR="004B07C4" w:rsidRPr="00A03549">
        <w:tblPrEx>
          <w:tblCellMar>
            <w:top w:w="0" w:type="dxa"/>
            <w:bottom w:w="0" w:type="dxa"/>
          </w:tblCellMar>
        </w:tblPrEx>
        <w:trPr>
          <w:trHeight w:hRule="exact" w:val="566"/>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9</w:t>
            </w:r>
          </w:p>
        </w:tc>
        <w:tc>
          <w:tcPr>
            <w:tcW w:w="4080"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商品类资产</w:t>
            </w:r>
          </w:p>
        </w:tc>
        <w:tc>
          <w:tcPr>
            <w:tcW w:w="285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0.00</w:t>
            </w:r>
          </w:p>
        </w:tc>
        <w:tc>
          <w:tcPr>
            <w:tcW w:w="285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0.00</w:t>
            </w:r>
          </w:p>
        </w:tc>
      </w:tr>
      <w:tr w:rsidR="004B07C4" w:rsidRPr="00A03549">
        <w:tblPrEx>
          <w:tblCellMar>
            <w:top w:w="0" w:type="dxa"/>
            <w:bottom w:w="0" w:type="dxa"/>
          </w:tblCellMar>
        </w:tblPrEx>
        <w:trPr>
          <w:trHeight w:hRule="exact" w:val="566"/>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10</w:t>
            </w:r>
          </w:p>
        </w:tc>
        <w:tc>
          <w:tcPr>
            <w:tcW w:w="4080"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另类资产</w:t>
            </w:r>
          </w:p>
        </w:tc>
        <w:tc>
          <w:tcPr>
            <w:tcW w:w="285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0.00</w:t>
            </w:r>
          </w:p>
        </w:tc>
        <w:tc>
          <w:tcPr>
            <w:tcW w:w="285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0.00</w:t>
            </w:r>
          </w:p>
        </w:tc>
      </w:tr>
      <w:tr w:rsidR="004B07C4" w:rsidRPr="00A03549">
        <w:tblPrEx>
          <w:tblCellMar>
            <w:top w:w="0" w:type="dxa"/>
            <w:bottom w:w="0" w:type="dxa"/>
          </w:tblCellMar>
        </w:tblPrEx>
        <w:trPr>
          <w:trHeight w:hRule="exact" w:val="566"/>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11</w:t>
            </w:r>
          </w:p>
        </w:tc>
        <w:tc>
          <w:tcPr>
            <w:tcW w:w="4080"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公募基金</w:t>
            </w:r>
          </w:p>
        </w:tc>
        <w:tc>
          <w:tcPr>
            <w:tcW w:w="285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0.00</w:t>
            </w:r>
          </w:p>
        </w:tc>
        <w:tc>
          <w:tcPr>
            <w:tcW w:w="285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0.00</w:t>
            </w:r>
          </w:p>
        </w:tc>
      </w:tr>
      <w:tr w:rsidR="004B07C4" w:rsidRPr="00A03549">
        <w:tblPrEx>
          <w:tblCellMar>
            <w:top w:w="0" w:type="dxa"/>
            <w:bottom w:w="0" w:type="dxa"/>
          </w:tblCellMar>
        </w:tblPrEx>
        <w:trPr>
          <w:trHeight w:hRule="exact" w:val="566"/>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12</w:t>
            </w:r>
          </w:p>
        </w:tc>
        <w:tc>
          <w:tcPr>
            <w:tcW w:w="4080"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私募基金</w:t>
            </w:r>
          </w:p>
        </w:tc>
        <w:tc>
          <w:tcPr>
            <w:tcW w:w="285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0.00</w:t>
            </w:r>
          </w:p>
        </w:tc>
        <w:tc>
          <w:tcPr>
            <w:tcW w:w="285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0.00</w:t>
            </w:r>
          </w:p>
        </w:tc>
      </w:tr>
      <w:tr w:rsidR="004B07C4" w:rsidRPr="00A03549">
        <w:tblPrEx>
          <w:tblCellMar>
            <w:top w:w="0" w:type="dxa"/>
            <w:bottom w:w="0" w:type="dxa"/>
          </w:tblCellMar>
        </w:tblPrEx>
        <w:trPr>
          <w:trHeight w:hRule="exact" w:val="566"/>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13</w:t>
            </w:r>
          </w:p>
        </w:tc>
        <w:tc>
          <w:tcPr>
            <w:tcW w:w="4080"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资产管理产品</w:t>
            </w:r>
          </w:p>
        </w:tc>
        <w:tc>
          <w:tcPr>
            <w:tcW w:w="285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11.08</w:t>
            </w:r>
          </w:p>
        </w:tc>
        <w:tc>
          <w:tcPr>
            <w:tcW w:w="285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0.00</w:t>
            </w:r>
          </w:p>
        </w:tc>
      </w:tr>
      <w:tr w:rsidR="004B07C4" w:rsidRPr="00A03549">
        <w:tblPrEx>
          <w:tblCellMar>
            <w:top w:w="0" w:type="dxa"/>
            <w:bottom w:w="0" w:type="dxa"/>
          </w:tblCellMar>
        </w:tblPrEx>
        <w:trPr>
          <w:trHeight w:hRule="exact" w:val="566"/>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14</w:t>
            </w:r>
          </w:p>
        </w:tc>
        <w:tc>
          <w:tcPr>
            <w:tcW w:w="4080"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委外投资</w:t>
            </w:r>
            <w:r w:rsidRPr="00A03549">
              <w:rPr>
                <w:rFonts w:ascii="宋体" w:eastAsia="宋体" w:hAnsi="宋体" w:cs="微软雅黑"/>
              </w:rPr>
              <w:t>——</w:t>
            </w:r>
            <w:r w:rsidRPr="00A03549">
              <w:rPr>
                <w:rFonts w:ascii="宋体" w:eastAsia="宋体" w:hAnsi="宋体" w:cs="微软雅黑" w:hint="eastAsia"/>
              </w:rPr>
              <w:t>协议方式</w:t>
            </w:r>
          </w:p>
        </w:tc>
        <w:tc>
          <w:tcPr>
            <w:tcW w:w="2856"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0.00</w:t>
            </w:r>
          </w:p>
        </w:tc>
        <w:tc>
          <w:tcPr>
            <w:tcW w:w="2856"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0.00</w:t>
            </w:r>
          </w:p>
        </w:tc>
      </w:tr>
      <w:tr w:rsidR="004B07C4" w:rsidRPr="00A03549">
        <w:tblPrEx>
          <w:tblCellMar>
            <w:top w:w="0" w:type="dxa"/>
            <w:bottom w:w="0" w:type="dxa"/>
          </w:tblCellMar>
        </w:tblPrEx>
        <w:trPr>
          <w:trHeight w:hRule="exact" w:val="566"/>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spacing w:line="375" w:lineRule="exact"/>
              <w:ind w:left="20"/>
              <w:rPr>
                <w:rFonts w:ascii="宋体" w:eastAsia="宋体" w:hAnsi="宋体" w:cs="微软雅黑"/>
                <w:sz w:val="28"/>
                <w:szCs w:val="28"/>
              </w:rPr>
            </w:pPr>
            <w:r w:rsidRPr="00A03549">
              <w:rPr>
                <w:rFonts w:ascii="宋体" w:eastAsia="宋体" w:hAnsi="宋体" w:cs="微软雅黑" w:hint="eastAsia"/>
                <w:sz w:val="28"/>
                <w:szCs w:val="28"/>
              </w:rPr>
              <w:t>本产品截至报告期末的杠杆率为</w:t>
            </w:r>
            <w:r w:rsidRPr="00A03549">
              <w:rPr>
                <w:rFonts w:ascii="宋体" w:eastAsia="宋体" w:hAnsi="宋体" w:cs="微软雅黑"/>
                <w:sz w:val="28"/>
                <w:szCs w:val="28"/>
              </w:rPr>
              <w:t>100.61%</w:t>
            </w:r>
          </w:p>
        </w:tc>
      </w:tr>
      <w:tr w:rsidR="004B07C4" w:rsidRPr="00A03549">
        <w:tblPrEx>
          <w:tblCellMar>
            <w:top w:w="0" w:type="dxa"/>
            <w:bottom w:w="0" w:type="dxa"/>
          </w:tblCellMar>
        </w:tblPrEx>
        <w:trPr>
          <w:trHeight w:hRule="exact" w:val="283"/>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r>
      <w:tr w:rsidR="004B07C4" w:rsidRPr="00A03549">
        <w:tblPrEx>
          <w:tblCellMar>
            <w:top w:w="0" w:type="dxa"/>
            <w:bottom w:w="0" w:type="dxa"/>
          </w:tblCellMar>
        </w:tblPrEx>
        <w:trPr>
          <w:trHeight w:hRule="exact" w:val="510"/>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spacing w:line="375" w:lineRule="exact"/>
              <w:ind w:left="20"/>
              <w:rPr>
                <w:rFonts w:ascii="宋体" w:eastAsia="宋体" w:hAnsi="宋体" w:cs="微软雅黑"/>
                <w:sz w:val="28"/>
                <w:szCs w:val="28"/>
              </w:rPr>
            </w:pPr>
            <w:r w:rsidRPr="00A03549">
              <w:rPr>
                <w:rFonts w:ascii="宋体" w:eastAsia="宋体" w:hAnsi="宋体" w:cs="微软雅黑"/>
                <w:b/>
                <w:bCs/>
                <w:sz w:val="28"/>
                <w:szCs w:val="28"/>
              </w:rPr>
              <w:t xml:space="preserve">5.2 </w:t>
            </w:r>
            <w:r w:rsidRPr="00A03549">
              <w:rPr>
                <w:rFonts w:ascii="宋体" w:eastAsia="宋体" w:hAnsi="宋体" w:cs="微软雅黑" w:hint="eastAsia"/>
                <w:b/>
                <w:bCs/>
                <w:sz w:val="28"/>
                <w:szCs w:val="28"/>
              </w:rPr>
              <w:t>报告期末持有前十项资产情况</w:t>
            </w:r>
          </w:p>
        </w:tc>
      </w:tr>
      <w:tr w:rsidR="004B07C4" w:rsidRPr="00A03549">
        <w:tblPrEx>
          <w:tblCellMar>
            <w:top w:w="0" w:type="dxa"/>
            <w:bottom w:w="0" w:type="dxa"/>
          </w:tblCellMar>
        </w:tblPrEx>
        <w:trPr>
          <w:trHeight w:hRule="exact" w:val="793"/>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序号</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资产名称</w:t>
            </w:r>
          </w:p>
        </w:tc>
        <w:tc>
          <w:tcPr>
            <w:tcW w:w="204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资产类别</w:t>
            </w:r>
          </w:p>
        </w:tc>
        <w:tc>
          <w:tcPr>
            <w:tcW w:w="204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资产代码</w:t>
            </w:r>
          </w:p>
        </w:tc>
        <w:tc>
          <w:tcPr>
            <w:tcW w:w="204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持有金额（元）</w:t>
            </w:r>
          </w:p>
        </w:tc>
        <w:tc>
          <w:tcPr>
            <w:tcW w:w="20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占总资产的比例（</w:t>
            </w:r>
            <w:r w:rsidRPr="00A03549">
              <w:rPr>
                <w:rFonts w:ascii="宋体" w:eastAsia="宋体" w:hAnsi="宋体" w:cs="微软雅黑"/>
              </w:rPr>
              <w:t>%</w:t>
            </w:r>
            <w:r w:rsidRPr="00A03549">
              <w:rPr>
                <w:rFonts w:ascii="宋体" w:eastAsia="宋体" w:hAnsi="宋体" w:cs="微软雅黑" w:hint="eastAsia"/>
              </w:rPr>
              <w:t>）</w:t>
            </w:r>
          </w:p>
        </w:tc>
      </w:tr>
      <w:tr w:rsidR="004B07C4" w:rsidRPr="00A03549">
        <w:tblPrEx>
          <w:tblCellMar>
            <w:top w:w="0" w:type="dxa"/>
            <w:bottom w:w="0" w:type="dxa"/>
          </w:tblCellMar>
        </w:tblPrEx>
        <w:trPr>
          <w:trHeight w:hRule="exact" w:val="990"/>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华润信托惠鑫</w:t>
            </w:r>
            <w:r w:rsidRPr="00A03549">
              <w:rPr>
                <w:rFonts w:ascii="宋体" w:eastAsia="宋体" w:hAnsi="宋体" w:cs="微软雅黑"/>
              </w:rPr>
              <w:t>1</w:t>
            </w:r>
            <w:r w:rsidRPr="00A03549">
              <w:rPr>
                <w:rFonts w:ascii="宋体" w:eastAsia="宋体" w:hAnsi="宋体" w:cs="微软雅黑" w:hint="eastAsia"/>
              </w:rPr>
              <w:t>号单一资金信托计划</w:t>
            </w:r>
          </w:p>
        </w:tc>
        <w:tc>
          <w:tcPr>
            <w:tcW w:w="204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理财信托</w:t>
            </w:r>
          </w:p>
        </w:tc>
        <w:tc>
          <w:tcPr>
            <w:tcW w:w="204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HRXTHX1H</w:t>
            </w:r>
          </w:p>
        </w:tc>
        <w:tc>
          <w:tcPr>
            <w:tcW w:w="204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105,082,990.36</w:t>
            </w:r>
          </w:p>
        </w:tc>
        <w:tc>
          <w:tcPr>
            <w:tcW w:w="20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11.08</w:t>
            </w:r>
          </w:p>
        </w:tc>
      </w:tr>
      <w:tr w:rsidR="004B07C4" w:rsidRPr="00A03549">
        <w:tblPrEx>
          <w:tblCellMar>
            <w:top w:w="0" w:type="dxa"/>
            <w:bottom w:w="0" w:type="dxa"/>
          </w:tblCellMar>
        </w:tblPrEx>
        <w:trPr>
          <w:trHeight w:hRule="exact" w:val="566"/>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2</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R014</w:t>
            </w:r>
          </w:p>
        </w:tc>
        <w:tc>
          <w:tcPr>
            <w:tcW w:w="204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逆回购</w:t>
            </w:r>
          </w:p>
        </w:tc>
        <w:tc>
          <w:tcPr>
            <w:tcW w:w="204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R014</w:t>
            </w:r>
          </w:p>
        </w:tc>
        <w:tc>
          <w:tcPr>
            <w:tcW w:w="204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90,035,650.44</w:t>
            </w:r>
          </w:p>
        </w:tc>
        <w:tc>
          <w:tcPr>
            <w:tcW w:w="20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9.49</w:t>
            </w:r>
          </w:p>
        </w:tc>
      </w:tr>
      <w:tr w:rsidR="004B07C4" w:rsidRPr="00A03549">
        <w:tblPrEx>
          <w:tblCellMar>
            <w:top w:w="0" w:type="dxa"/>
            <w:bottom w:w="0" w:type="dxa"/>
          </w:tblCellMar>
        </w:tblPrEx>
        <w:trPr>
          <w:trHeight w:hRule="exact" w:val="566"/>
        </w:trPr>
        <w:tc>
          <w:tcPr>
            <w:tcW w:w="396"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3</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21</w:t>
            </w:r>
            <w:r w:rsidRPr="00A03549">
              <w:rPr>
                <w:rFonts w:ascii="宋体" w:eastAsia="宋体" w:hAnsi="宋体" w:cs="微软雅黑" w:hint="eastAsia"/>
              </w:rPr>
              <w:t>柯城</w:t>
            </w:r>
            <w:r w:rsidRPr="00A03549">
              <w:rPr>
                <w:rFonts w:ascii="宋体" w:eastAsia="宋体" w:hAnsi="宋体" w:cs="微软雅黑"/>
              </w:rPr>
              <w:t>01</w:t>
            </w:r>
          </w:p>
        </w:tc>
        <w:tc>
          <w:tcPr>
            <w:tcW w:w="204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私募债券</w:t>
            </w:r>
          </w:p>
        </w:tc>
        <w:tc>
          <w:tcPr>
            <w:tcW w:w="204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178347</w:t>
            </w:r>
          </w:p>
        </w:tc>
        <w:tc>
          <w:tcPr>
            <w:tcW w:w="204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51,080,821.92</w:t>
            </w:r>
          </w:p>
        </w:tc>
        <w:tc>
          <w:tcPr>
            <w:tcW w:w="20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5.38</w:t>
            </w:r>
          </w:p>
        </w:tc>
      </w:tr>
      <w:tr w:rsidR="004B07C4" w:rsidRPr="00A03549">
        <w:tblPrEx>
          <w:tblCellMar>
            <w:top w:w="0" w:type="dxa"/>
            <w:bottom w:w="0" w:type="dxa"/>
          </w:tblCellMar>
        </w:tblPrEx>
        <w:trPr>
          <w:trHeight w:hRule="exact" w:val="566"/>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4</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25</w:t>
            </w:r>
            <w:r w:rsidRPr="00A03549">
              <w:rPr>
                <w:rFonts w:ascii="宋体" w:eastAsia="宋体" w:hAnsi="宋体" w:cs="微软雅黑" w:hint="eastAsia"/>
              </w:rPr>
              <w:t>农发</w:t>
            </w:r>
            <w:r w:rsidRPr="00A03549">
              <w:rPr>
                <w:rFonts w:ascii="宋体" w:eastAsia="宋体" w:hAnsi="宋体" w:cs="微软雅黑"/>
              </w:rPr>
              <w:t>21</w:t>
            </w:r>
          </w:p>
        </w:tc>
        <w:tc>
          <w:tcPr>
            <w:tcW w:w="204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政策性金融债</w:t>
            </w:r>
          </w:p>
        </w:tc>
        <w:tc>
          <w:tcPr>
            <w:tcW w:w="204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250421</w:t>
            </w:r>
          </w:p>
        </w:tc>
        <w:tc>
          <w:tcPr>
            <w:tcW w:w="204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40,322,496.44</w:t>
            </w:r>
          </w:p>
        </w:tc>
        <w:tc>
          <w:tcPr>
            <w:tcW w:w="20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4.25</w:t>
            </w:r>
          </w:p>
        </w:tc>
      </w:tr>
      <w:tr w:rsidR="004B07C4" w:rsidRPr="00A03549">
        <w:tblPrEx>
          <w:tblCellMar>
            <w:top w:w="0" w:type="dxa"/>
            <w:bottom w:w="0" w:type="dxa"/>
          </w:tblCellMar>
        </w:tblPrEx>
        <w:trPr>
          <w:trHeight w:hRule="exact" w:val="566"/>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5</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22</w:t>
            </w:r>
            <w:r w:rsidRPr="00A03549">
              <w:rPr>
                <w:rFonts w:ascii="宋体" w:eastAsia="宋体" w:hAnsi="宋体" w:cs="微软雅黑" w:hint="eastAsia"/>
              </w:rPr>
              <w:t>安控</w:t>
            </w:r>
            <w:r w:rsidRPr="00A03549">
              <w:rPr>
                <w:rFonts w:ascii="宋体" w:eastAsia="宋体" w:hAnsi="宋体" w:cs="微软雅黑"/>
              </w:rPr>
              <w:t>02</w:t>
            </w:r>
          </w:p>
        </w:tc>
        <w:tc>
          <w:tcPr>
            <w:tcW w:w="204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私募债券</w:t>
            </w:r>
          </w:p>
        </w:tc>
        <w:tc>
          <w:tcPr>
            <w:tcW w:w="204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194545</w:t>
            </w:r>
          </w:p>
        </w:tc>
        <w:tc>
          <w:tcPr>
            <w:tcW w:w="204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40,301,400.00</w:t>
            </w:r>
          </w:p>
        </w:tc>
        <w:tc>
          <w:tcPr>
            <w:tcW w:w="20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4.25</w:t>
            </w:r>
          </w:p>
        </w:tc>
      </w:tr>
      <w:tr w:rsidR="004B07C4" w:rsidRPr="00A03549">
        <w:tblPrEx>
          <w:tblCellMar>
            <w:top w:w="0" w:type="dxa"/>
            <w:bottom w:w="0" w:type="dxa"/>
          </w:tblCellMar>
        </w:tblPrEx>
        <w:trPr>
          <w:trHeight w:hRule="exact" w:val="566"/>
        </w:trPr>
        <w:tc>
          <w:tcPr>
            <w:tcW w:w="396"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6</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25</w:t>
            </w:r>
            <w:r w:rsidRPr="00A03549">
              <w:rPr>
                <w:rFonts w:ascii="宋体" w:eastAsia="宋体" w:hAnsi="宋体" w:cs="微软雅黑" w:hint="eastAsia"/>
              </w:rPr>
              <w:t>湖经</w:t>
            </w:r>
            <w:r w:rsidRPr="00A03549">
              <w:rPr>
                <w:rFonts w:ascii="宋体" w:eastAsia="宋体" w:hAnsi="宋体" w:cs="微软雅黑"/>
              </w:rPr>
              <w:t>02</w:t>
            </w:r>
          </w:p>
        </w:tc>
        <w:tc>
          <w:tcPr>
            <w:tcW w:w="204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私募债券</w:t>
            </w:r>
          </w:p>
        </w:tc>
        <w:tc>
          <w:tcPr>
            <w:tcW w:w="204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257252</w:t>
            </w:r>
          </w:p>
        </w:tc>
        <w:tc>
          <w:tcPr>
            <w:tcW w:w="204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30,698,904.11</w:t>
            </w:r>
          </w:p>
        </w:tc>
        <w:tc>
          <w:tcPr>
            <w:tcW w:w="20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3.24</w:t>
            </w:r>
          </w:p>
        </w:tc>
      </w:tr>
      <w:tr w:rsidR="004B07C4" w:rsidRPr="00A03549">
        <w:tblPrEx>
          <w:tblCellMar>
            <w:top w:w="0" w:type="dxa"/>
            <w:bottom w:w="0" w:type="dxa"/>
          </w:tblCellMar>
        </w:tblPrEx>
        <w:trPr>
          <w:trHeight w:hRule="exact" w:val="566"/>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7</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25</w:t>
            </w:r>
            <w:r w:rsidRPr="00A03549">
              <w:rPr>
                <w:rFonts w:ascii="宋体" w:eastAsia="宋体" w:hAnsi="宋体" w:cs="微软雅黑" w:hint="eastAsia"/>
              </w:rPr>
              <w:t>浙商</w:t>
            </w:r>
            <w:r w:rsidRPr="00A03549">
              <w:rPr>
                <w:rFonts w:ascii="宋体" w:eastAsia="宋体" w:hAnsi="宋体" w:cs="微软雅黑"/>
              </w:rPr>
              <w:t>F2</w:t>
            </w:r>
          </w:p>
        </w:tc>
        <w:tc>
          <w:tcPr>
            <w:tcW w:w="204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公司债券</w:t>
            </w:r>
          </w:p>
        </w:tc>
        <w:tc>
          <w:tcPr>
            <w:tcW w:w="204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258158</w:t>
            </w:r>
          </w:p>
        </w:tc>
        <w:tc>
          <w:tcPr>
            <w:tcW w:w="204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30,448,347.95</w:t>
            </w:r>
          </w:p>
        </w:tc>
        <w:tc>
          <w:tcPr>
            <w:tcW w:w="20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3.21</w:t>
            </w:r>
          </w:p>
        </w:tc>
      </w:tr>
      <w:tr w:rsidR="004B07C4" w:rsidRPr="00A03549">
        <w:tblPrEx>
          <w:tblCellMar>
            <w:top w:w="0" w:type="dxa"/>
            <w:bottom w:w="0" w:type="dxa"/>
          </w:tblCellMar>
        </w:tblPrEx>
        <w:trPr>
          <w:trHeight w:hRule="exact" w:val="566"/>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8</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25</w:t>
            </w:r>
            <w:r w:rsidRPr="00A03549">
              <w:rPr>
                <w:rFonts w:ascii="宋体" w:eastAsia="宋体" w:hAnsi="宋体" w:cs="微软雅黑" w:hint="eastAsia"/>
              </w:rPr>
              <w:t>云潮</w:t>
            </w:r>
            <w:r w:rsidRPr="00A03549">
              <w:rPr>
                <w:rFonts w:ascii="宋体" w:eastAsia="宋体" w:hAnsi="宋体" w:cs="微软雅黑"/>
              </w:rPr>
              <w:t>01</w:t>
            </w:r>
          </w:p>
        </w:tc>
        <w:tc>
          <w:tcPr>
            <w:tcW w:w="204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私募债券</w:t>
            </w:r>
          </w:p>
        </w:tc>
        <w:tc>
          <w:tcPr>
            <w:tcW w:w="204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134445</w:t>
            </w:r>
          </w:p>
        </w:tc>
        <w:tc>
          <w:tcPr>
            <w:tcW w:w="204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30,278,827.40</w:t>
            </w:r>
          </w:p>
        </w:tc>
        <w:tc>
          <w:tcPr>
            <w:tcW w:w="20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3.19</w:t>
            </w:r>
          </w:p>
        </w:tc>
      </w:tr>
      <w:tr w:rsidR="004B07C4" w:rsidRPr="00A03549">
        <w:tblPrEx>
          <w:tblCellMar>
            <w:top w:w="0" w:type="dxa"/>
            <w:bottom w:w="0" w:type="dxa"/>
          </w:tblCellMar>
        </w:tblPrEx>
        <w:trPr>
          <w:trHeight w:hRule="exact" w:val="660"/>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9</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22</w:t>
            </w:r>
            <w:r w:rsidRPr="00A03549">
              <w:rPr>
                <w:rFonts w:ascii="宋体" w:eastAsia="宋体" w:hAnsi="宋体" w:cs="微软雅黑" w:hint="eastAsia"/>
              </w:rPr>
              <w:t>建设银行二级</w:t>
            </w:r>
            <w:r w:rsidRPr="00A03549">
              <w:rPr>
                <w:rFonts w:ascii="宋体" w:eastAsia="宋体" w:hAnsi="宋体" w:cs="微软雅黑"/>
              </w:rPr>
              <w:t>01</w:t>
            </w:r>
          </w:p>
        </w:tc>
        <w:tc>
          <w:tcPr>
            <w:tcW w:w="204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次级债</w:t>
            </w:r>
          </w:p>
        </w:tc>
        <w:tc>
          <w:tcPr>
            <w:tcW w:w="204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2228039</w:t>
            </w:r>
          </w:p>
        </w:tc>
        <w:tc>
          <w:tcPr>
            <w:tcW w:w="204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20,854,361.37</w:t>
            </w:r>
          </w:p>
        </w:tc>
        <w:tc>
          <w:tcPr>
            <w:tcW w:w="20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2.20</w:t>
            </w:r>
          </w:p>
        </w:tc>
      </w:tr>
      <w:tr w:rsidR="004B07C4" w:rsidRPr="00A03549">
        <w:tblPrEx>
          <w:tblCellMar>
            <w:top w:w="0" w:type="dxa"/>
            <w:bottom w:w="0" w:type="dxa"/>
          </w:tblCellMar>
        </w:tblPrEx>
        <w:trPr>
          <w:trHeight w:hRule="exact" w:val="660"/>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10</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24</w:t>
            </w:r>
            <w:r w:rsidRPr="00A03549">
              <w:rPr>
                <w:rFonts w:ascii="宋体" w:eastAsia="宋体" w:hAnsi="宋体" w:cs="微软雅黑" w:hint="eastAsia"/>
              </w:rPr>
              <w:t>盐城高新</w:t>
            </w:r>
            <w:r w:rsidRPr="00A03549">
              <w:rPr>
                <w:rFonts w:ascii="宋体" w:eastAsia="宋体" w:hAnsi="宋体" w:cs="微软雅黑"/>
              </w:rPr>
              <w:t>PPN002</w:t>
            </w:r>
          </w:p>
        </w:tc>
        <w:tc>
          <w:tcPr>
            <w:tcW w:w="204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定向工具</w:t>
            </w:r>
          </w:p>
        </w:tc>
        <w:tc>
          <w:tcPr>
            <w:tcW w:w="204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032480082</w:t>
            </w:r>
          </w:p>
        </w:tc>
        <w:tc>
          <w:tcPr>
            <w:tcW w:w="204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20,614,734.25</w:t>
            </w:r>
          </w:p>
        </w:tc>
        <w:tc>
          <w:tcPr>
            <w:tcW w:w="20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2.17</w:t>
            </w:r>
          </w:p>
        </w:tc>
      </w:tr>
      <w:tr w:rsidR="004B07C4" w:rsidRPr="00A03549">
        <w:tblPrEx>
          <w:tblCellMar>
            <w:top w:w="0" w:type="dxa"/>
            <w:bottom w:w="0" w:type="dxa"/>
          </w:tblCellMar>
        </w:tblPrEx>
        <w:trPr>
          <w:trHeight w:hRule="exact" w:val="283"/>
        </w:trPr>
        <w:tc>
          <w:tcPr>
            <w:tcW w:w="396"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r>
      <w:tr w:rsidR="004B07C4" w:rsidRPr="00A03549">
        <w:tblPrEx>
          <w:tblCellMar>
            <w:top w:w="0" w:type="dxa"/>
            <w:bottom w:w="0" w:type="dxa"/>
          </w:tblCellMar>
        </w:tblPrEx>
        <w:trPr>
          <w:trHeight w:hRule="exact" w:val="510"/>
        </w:trPr>
        <w:tc>
          <w:tcPr>
            <w:tcW w:w="396"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spacing w:line="375" w:lineRule="exact"/>
              <w:ind w:left="20"/>
              <w:rPr>
                <w:rFonts w:ascii="宋体" w:eastAsia="宋体" w:hAnsi="宋体" w:cs="微软雅黑"/>
                <w:sz w:val="28"/>
                <w:szCs w:val="28"/>
              </w:rPr>
            </w:pPr>
            <w:r w:rsidRPr="00A03549">
              <w:rPr>
                <w:rFonts w:ascii="宋体" w:eastAsia="宋体" w:hAnsi="宋体" w:cs="微软雅黑"/>
                <w:b/>
                <w:bCs/>
                <w:sz w:val="28"/>
                <w:szCs w:val="28"/>
              </w:rPr>
              <w:t xml:space="preserve">5.3 </w:t>
            </w:r>
            <w:r w:rsidRPr="00A03549">
              <w:rPr>
                <w:rFonts w:ascii="宋体" w:eastAsia="宋体" w:hAnsi="宋体" w:cs="微软雅黑" w:hint="eastAsia"/>
                <w:b/>
                <w:bCs/>
                <w:sz w:val="28"/>
                <w:szCs w:val="28"/>
              </w:rPr>
              <w:t>报告期末持有非标准化债权类资产情况</w:t>
            </w:r>
          </w:p>
        </w:tc>
      </w:tr>
      <w:tr w:rsidR="004B07C4" w:rsidRPr="00A03549">
        <w:tblPrEx>
          <w:tblCellMar>
            <w:top w:w="0" w:type="dxa"/>
            <w:bottom w:w="0" w:type="dxa"/>
          </w:tblCellMar>
        </w:tblPrEx>
        <w:trPr>
          <w:trHeight w:hRule="exact" w:val="660"/>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序号</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融资客户</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项目名称</w:t>
            </w:r>
          </w:p>
        </w:tc>
        <w:tc>
          <w:tcPr>
            <w:tcW w:w="1632"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剩余期限（天）</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年化收益率</w:t>
            </w:r>
          </w:p>
        </w:tc>
        <w:tc>
          <w:tcPr>
            <w:tcW w:w="1632"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交易结构</w:t>
            </w:r>
          </w:p>
        </w:tc>
        <w:tc>
          <w:tcPr>
            <w:tcW w:w="16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风险情况</w:t>
            </w:r>
          </w:p>
        </w:tc>
      </w:tr>
      <w:tr w:rsidR="004B07C4" w:rsidRPr="00A03549">
        <w:tblPrEx>
          <w:tblCellMar>
            <w:top w:w="0" w:type="dxa"/>
            <w:bottom w:w="0" w:type="dxa"/>
          </w:tblCellMar>
        </w:tblPrEx>
        <w:trPr>
          <w:trHeight w:hRule="exact" w:val="566"/>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c>
          <w:tcPr>
            <w:tcW w:w="1632"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c>
          <w:tcPr>
            <w:tcW w:w="1632"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c>
          <w:tcPr>
            <w:tcW w:w="163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r>
      <w:tr w:rsidR="004B07C4" w:rsidRPr="00A03549">
        <w:tblPrEx>
          <w:tblCellMar>
            <w:top w:w="0" w:type="dxa"/>
            <w:bottom w:w="0" w:type="dxa"/>
          </w:tblCellMar>
        </w:tblPrEx>
        <w:trPr>
          <w:trHeight w:hRule="exact" w:val="285"/>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r>
      <w:tr w:rsidR="004B07C4" w:rsidRPr="00A03549">
        <w:tblPrEx>
          <w:tblCellMar>
            <w:top w:w="0" w:type="dxa"/>
            <w:bottom w:w="0" w:type="dxa"/>
          </w:tblCellMar>
        </w:tblPrEx>
        <w:trPr>
          <w:trHeight w:hRule="exact" w:val="510"/>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spacing w:line="375" w:lineRule="exact"/>
              <w:ind w:left="20"/>
              <w:rPr>
                <w:rFonts w:ascii="宋体" w:eastAsia="宋体" w:hAnsi="宋体" w:cs="微软雅黑"/>
                <w:sz w:val="28"/>
                <w:szCs w:val="28"/>
              </w:rPr>
            </w:pPr>
            <w:r w:rsidRPr="00A03549">
              <w:rPr>
                <w:rFonts w:ascii="宋体" w:eastAsia="宋体" w:hAnsi="宋体" w:cs="微软雅黑"/>
                <w:b/>
                <w:bCs/>
                <w:sz w:val="28"/>
                <w:szCs w:val="28"/>
              </w:rPr>
              <w:t xml:space="preserve">5.4 </w:t>
            </w:r>
            <w:r w:rsidRPr="00A03549">
              <w:rPr>
                <w:rFonts w:ascii="宋体" w:eastAsia="宋体" w:hAnsi="宋体" w:cs="微软雅黑" w:hint="eastAsia"/>
                <w:b/>
                <w:bCs/>
                <w:sz w:val="28"/>
                <w:szCs w:val="28"/>
              </w:rPr>
              <w:t>报告期内关联交易情况</w:t>
            </w:r>
          </w:p>
        </w:tc>
      </w:tr>
      <w:tr w:rsidR="004B07C4" w:rsidRPr="00A03549">
        <w:tblPrEx>
          <w:tblCellMar>
            <w:top w:w="0" w:type="dxa"/>
            <w:bottom w:w="0" w:type="dxa"/>
          </w:tblCellMar>
        </w:tblPrEx>
        <w:trPr>
          <w:trHeight w:hRule="exact" w:val="566"/>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序号</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关联方名称</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资产</w:t>
            </w:r>
            <w:r w:rsidRPr="00A03549">
              <w:rPr>
                <w:rFonts w:ascii="宋体" w:eastAsia="宋体" w:hAnsi="宋体" w:cs="微软雅黑"/>
              </w:rPr>
              <w:t>/</w:t>
            </w:r>
            <w:r w:rsidRPr="00A03549">
              <w:rPr>
                <w:rFonts w:ascii="宋体" w:eastAsia="宋体" w:hAnsi="宋体" w:cs="微软雅黑" w:hint="eastAsia"/>
              </w:rPr>
              <w:t>服务名称</w:t>
            </w:r>
          </w:p>
        </w:tc>
        <w:tc>
          <w:tcPr>
            <w:tcW w:w="1632"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资产</w:t>
            </w:r>
            <w:r w:rsidRPr="00A03549">
              <w:rPr>
                <w:rFonts w:ascii="宋体" w:eastAsia="宋体" w:hAnsi="宋体" w:cs="微软雅黑"/>
              </w:rPr>
              <w:t>/</w:t>
            </w:r>
            <w:r w:rsidRPr="00A03549">
              <w:rPr>
                <w:rFonts w:ascii="宋体" w:eastAsia="宋体" w:hAnsi="宋体" w:cs="微软雅黑" w:hint="eastAsia"/>
              </w:rPr>
              <w:t>服务类别</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资产代码</w:t>
            </w:r>
          </w:p>
        </w:tc>
        <w:tc>
          <w:tcPr>
            <w:tcW w:w="122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交易数量</w:t>
            </w:r>
          </w:p>
        </w:tc>
        <w:tc>
          <w:tcPr>
            <w:tcW w:w="20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交易金额</w:t>
            </w:r>
          </w:p>
        </w:tc>
      </w:tr>
      <w:tr w:rsidR="004B07C4" w:rsidRPr="00A03549">
        <w:tblPrEx>
          <w:tblCellMar>
            <w:top w:w="0" w:type="dxa"/>
            <w:bottom w:w="0" w:type="dxa"/>
          </w:tblCellMar>
        </w:tblPrEx>
        <w:trPr>
          <w:trHeight w:hRule="exact" w:val="566"/>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w:t>
            </w: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c>
          <w:tcPr>
            <w:tcW w:w="1632"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c>
          <w:tcPr>
            <w:tcW w:w="1224"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c>
          <w:tcPr>
            <w:tcW w:w="20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r>
      <w:tr w:rsidR="004B07C4" w:rsidRPr="00A03549">
        <w:tblPrEx>
          <w:tblCellMar>
            <w:top w:w="0" w:type="dxa"/>
            <w:bottom w:w="0" w:type="dxa"/>
          </w:tblCellMar>
        </w:tblPrEx>
        <w:trPr>
          <w:trHeight w:hRule="exact" w:val="285"/>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r>
      <w:tr w:rsidR="004B07C4" w:rsidRPr="00A03549">
        <w:tblPrEx>
          <w:tblCellMar>
            <w:top w:w="0" w:type="dxa"/>
            <w:bottom w:w="0" w:type="dxa"/>
          </w:tblCellMar>
        </w:tblPrEx>
        <w:trPr>
          <w:trHeight w:hRule="exact" w:val="510"/>
        </w:trPr>
        <w:tc>
          <w:tcPr>
            <w:tcW w:w="396"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spacing w:line="375" w:lineRule="exact"/>
              <w:ind w:left="20"/>
              <w:rPr>
                <w:rFonts w:ascii="宋体" w:eastAsia="宋体" w:hAnsi="宋体" w:cs="微软雅黑"/>
                <w:sz w:val="28"/>
                <w:szCs w:val="28"/>
              </w:rPr>
            </w:pPr>
            <w:r w:rsidRPr="00A03549">
              <w:rPr>
                <w:rFonts w:ascii="宋体" w:eastAsia="宋体" w:hAnsi="宋体" w:cs="微软雅黑"/>
                <w:b/>
                <w:bCs/>
                <w:sz w:val="28"/>
                <w:szCs w:val="28"/>
              </w:rPr>
              <w:t xml:space="preserve">5.5 </w:t>
            </w:r>
            <w:r w:rsidRPr="00A03549">
              <w:rPr>
                <w:rFonts w:ascii="宋体" w:eastAsia="宋体" w:hAnsi="宋体" w:cs="微软雅黑" w:hint="eastAsia"/>
                <w:b/>
                <w:bCs/>
                <w:sz w:val="28"/>
                <w:szCs w:val="28"/>
              </w:rPr>
              <w:t>报告期内投资的资管计划底层资产信息</w:t>
            </w:r>
          </w:p>
        </w:tc>
      </w:tr>
      <w:tr w:rsidR="004B07C4" w:rsidRPr="00A03549">
        <w:tblPrEx>
          <w:tblCellMar>
            <w:top w:w="0" w:type="dxa"/>
            <w:bottom w:w="0" w:type="dxa"/>
          </w:tblCellMar>
        </w:tblPrEx>
        <w:trPr>
          <w:trHeight w:hRule="exact" w:val="793"/>
        </w:trPr>
        <w:tc>
          <w:tcPr>
            <w:tcW w:w="396"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序号</w:t>
            </w:r>
          </w:p>
        </w:tc>
        <w:tc>
          <w:tcPr>
            <w:tcW w:w="4896"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资产类别</w:t>
            </w:r>
          </w:p>
        </w:tc>
        <w:tc>
          <w:tcPr>
            <w:tcW w:w="4896"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占总资产的比例（</w:t>
            </w:r>
            <w:r w:rsidRPr="00A03549">
              <w:rPr>
                <w:rFonts w:ascii="宋体" w:eastAsia="宋体" w:hAnsi="宋体" w:cs="微软雅黑"/>
              </w:rPr>
              <w:t>%</w:t>
            </w:r>
            <w:r w:rsidRPr="00A03549">
              <w:rPr>
                <w:rFonts w:ascii="宋体" w:eastAsia="宋体" w:hAnsi="宋体" w:cs="微软雅黑" w:hint="eastAsia"/>
              </w:rPr>
              <w:t>）</w:t>
            </w:r>
          </w:p>
        </w:tc>
      </w:tr>
      <w:tr w:rsidR="004B07C4" w:rsidRPr="00A03549">
        <w:tblPrEx>
          <w:tblCellMar>
            <w:top w:w="0" w:type="dxa"/>
            <w:bottom w:w="0" w:type="dxa"/>
          </w:tblCellMar>
        </w:tblPrEx>
        <w:trPr>
          <w:trHeight w:hRule="exact" w:val="566"/>
        </w:trPr>
        <w:tc>
          <w:tcPr>
            <w:tcW w:w="396"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w:t>
            </w:r>
          </w:p>
        </w:tc>
        <w:tc>
          <w:tcPr>
            <w:tcW w:w="4896"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银行存款及存出保证金</w:t>
            </w:r>
          </w:p>
        </w:tc>
        <w:tc>
          <w:tcPr>
            <w:tcW w:w="4896"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1.32</w:t>
            </w:r>
          </w:p>
        </w:tc>
      </w:tr>
      <w:tr w:rsidR="004B07C4" w:rsidRPr="00A03549">
        <w:tblPrEx>
          <w:tblCellMar>
            <w:top w:w="0" w:type="dxa"/>
            <w:bottom w:w="0" w:type="dxa"/>
          </w:tblCellMar>
        </w:tblPrEx>
        <w:trPr>
          <w:trHeight w:hRule="exact" w:val="566"/>
        </w:trPr>
        <w:tc>
          <w:tcPr>
            <w:tcW w:w="396"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2</w:t>
            </w:r>
          </w:p>
        </w:tc>
        <w:tc>
          <w:tcPr>
            <w:tcW w:w="4896"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同业存单</w:t>
            </w:r>
          </w:p>
        </w:tc>
        <w:tc>
          <w:tcPr>
            <w:tcW w:w="4896"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0</w:t>
            </w:r>
          </w:p>
        </w:tc>
      </w:tr>
      <w:tr w:rsidR="004B07C4" w:rsidRPr="00A03549">
        <w:tblPrEx>
          <w:tblCellMar>
            <w:top w:w="0" w:type="dxa"/>
            <w:bottom w:w="0" w:type="dxa"/>
          </w:tblCellMar>
        </w:tblPrEx>
        <w:trPr>
          <w:trHeight w:hRule="exact" w:val="566"/>
        </w:trPr>
        <w:tc>
          <w:tcPr>
            <w:tcW w:w="396"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3</w:t>
            </w:r>
          </w:p>
        </w:tc>
        <w:tc>
          <w:tcPr>
            <w:tcW w:w="4896"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买入返售证券</w:t>
            </w:r>
          </w:p>
        </w:tc>
        <w:tc>
          <w:tcPr>
            <w:tcW w:w="4896"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6.63</w:t>
            </w:r>
          </w:p>
        </w:tc>
      </w:tr>
      <w:tr w:rsidR="004B07C4" w:rsidRPr="00A03549">
        <w:tblPrEx>
          <w:tblCellMar>
            <w:top w:w="0" w:type="dxa"/>
            <w:bottom w:w="0" w:type="dxa"/>
          </w:tblCellMar>
        </w:tblPrEx>
        <w:trPr>
          <w:trHeight w:hRule="exact" w:val="566"/>
        </w:trPr>
        <w:tc>
          <w:tcPr>
            <w:tcW w:w="396"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4</w:t>
            </w:r>
          </w:p>
        </w:tc>
        <w:tc>
          <w:tcPr>
            <w:tcW w:w="4896"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债券（含资产支持证券）</w:t>
            </w:r>
          </w:p>
        </w:tc>
        <w:tc>
          <w:tcPr>
            <w:tcW w:w="4896"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92.05</w:t>
            </w:r>
          </w:p>
        </w:tc>
      </w:tr>
      <w:tr w:rsidR="004B07C4" w:rsidRPr="00A03549">
        <w:tblPrEx>
          <w:tblCellMar>
            <w:top w:w="0" w:type="dxa"/>
            <w:bottom w:w="0" w:type="dxa"/>
          </w:tblCellMar>
        </w:tblPrEx>
        <w:trPr>
          <w:trHeight w:hRule="exact" w:val="566"/>
        </w:trPr>
        <w:tc>
          <w:tcPr>
            <w:tcW w:w="396"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5</w:t>
            </w:r>
          </w:p>
        </w:tc>
        <w:tc>
          <w:tcPr>
            <w:tcW w:w="4896"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非标准化债权投资</w:t>
            </w:r>
          </w:p>
        </w:tc>
        <w:tc>
          <w:tcPr>
            <w:tcW w:w="4896"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0</w:t>
            </w:r>
          </w:p>
        </w:tc>
      </w:tr>
      <w:tr w:rsidR="004B07C4" w:rsidRPr="00A03549">
        <w:tblPrEx>
          <w:tblCellMar>
            <w:top w:w="0" w:type="dxa"/>
            <w:bottom w:w="0" w:type="dxa"/>
          </w:tblCellMar>
        </w:tblPrEx>
        <w:trPr>
          <w:trHeight w:hRule="exact" w:val="566"/>
        </w:trPr>
        <w:tc>
          <w:tcPr>
            <w:tcW w:w="396"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6</w:t>
            </w:r>
          </w:p>
        </w:tc>
        <w:tc>
          <w:tcPr>
            <w:tcW w:w="4896"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其他资产</w:t>
            </w:r>
          </w:p>
        </w:tc>
        <w:tc>
          <w:tcPr>
            <w:tcW w:w="4896"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0</w:t>
            </w:r>
          </w:p>
        </w:tc>
      </w:tr>
      <w:tr w:rsidR="004B07C4" w:rsidRPr="00A03549">
        <w:tblPrEx>
          <w:tblCellMar>
            <w:top w:w="0" w:type="dxa"/>
            <w:bottom w:w="0" w:type="dxa"/>
          </w:tblCellMar>
        </w:tblPrEx>
        <w:trPr>
          <w:trHeight w:hRule="exact" w:val="566"/>
        </w:trPr>
        <w:tc>
          <w:tcPr>
            <w:tcW w:w="396"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5712"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合计</w:t>
            </w:r>
          </w:p>
        </w:tc>
        <w:tc>
          <w:tcPr>
            <w:tcW w:w="4896"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100</w:t>
            </w:r>
          </w:p>
        </w:tc>
      </w:tr>
      <w:tr w:rsidR="004B07C4" w:rsidRPr="00A03549">
        <w:tblPrEx>
          <w:tblCellMar>
            <w:top w:w="0" w:type="dxa"/>
            <w:bottom w:w="0" w:type="dxa"/>
          </w:tblCellMar>
        </w:tblPrEx>
        <w:trPr>
          <w:trHeight w:hRule="exact" w:val="285"/>
        </w:trPr>
        <w:tc>
          <w:tcPr>
            <w:tcW w:w="396"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r>
      <w:tr w:rsidR="004B07C4" w:rsidRPr="00A03549">
        <w:tblPrEx>
          <w:tblCellMar>
            <w:top w:w="0" w:type="dxa"/>
            <w:bottom w:w="0" w:type="dxa"/>
          </w:tblCellMar>
        </w:tblPrEx>
        <w:trPr>
          <w:trHeight w:hRule="exact" w:val="510"/>
        </w:trPr>
        <w:tc>
          <w:tcPr>
            <w:tcW w:w="396"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spacing w:line="375" w:lineRule="exact"/>
              <w:ind w:left="20"/>
              <w:rPr>
                <w:rFonts w:ascii="宋体" w:eastAsia="宋体" w:hAnsi="宋体" w:cs="微软雅黑"/>
                <w:sz w:val="28"/>
                <w:szCs w:val="28"/>
              </w:rPr>
            </w:pPr>
            <w:r w:rsidRPr="00A03549">
              <w:rPr>
                <w:rFonts w:ascii="宋体" w:eastAsia="宋体" w:hAnsi="宋体" w:cs="微软雅黑"/>
                <w:b/>
                <w:bCs/>
                <w:sz w:val="28"/>
                <w:szCs w:val="28"/>
              </w:rPr>
              <w:t xml:space="preserve">5.6 </w:t>
            </w:r>
            <w:r w:rsidRPr="00A03549">
              <w:rPr>
                <w:rFonts w:ascii="宋体" w:eastAsia="宋体" w:hAnsi="宋体" w:cs="微软雅黑" w:hint="eastAsia"/>
                <w:b/>
                <w:bCs/>
                <w:sz w:val="28"/>
                <w:szCs w:val="28"/>
              </w:rPr>
              <w:t>理财产品份额变动情况</w:t>
            </w:r>
          </w:p>
        </w:tc>
      </w:tr>
      <w:tr w:rsidR="004B07C4" w:rsidRPr="00A03549">
        <w:tblPrEx>
          <w:tblCellMar>
            <w:top w:w="0" w:type="dxa"/>
            <w:bottom w:w="0" w:type="dxa"/>
          </w:tblCellMar>
        </w:tblPrEx>
        <w:trPr>
          <w:trHeight w:hRule="exact" w:val="510"/>
        </w:trPr>
        <w:tc>
          <w:tcPr>
            <w:tcW w:w="396"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spacing w:line="330" w:lineRule="exact"/>
              <w:ind w:right="120"/>
              <w:jc w:val="right"/>
              <w:rPr>
                <w:rFonts w:ascii="宋体" w:eastAsia="宋体" w:hAnsi="宋体" w:cs="微软雅黑"/>
              </w:rPr>
            </w:pPr>
            <w:r w:rsidRPr="00A03549">
              <w:rPr>
                <w:rFonts w:ascii="宋体" w:eastAsia="宋体" w:hAnsi="宋体" w:cs="微软雅黑" w:hint="eastAsia"/>
              </w:rPr>
              <w:t>单位：份</w:t>
            </w:r>
          </w:p>
        </w:tc>
      </w:tr>
      <w:tr w:rsidR="004B07C4" w:rsidRPr="00A03549">
        <w:tblPrEx>
          <w:tblCellMar>
            <w:top w:w="0" w:type="dxa"/>
            <w:bottom w:w="0" w:type="dxa"/>
          </w:tblCellMar>
        </w:tblPrEx>
        <w:trPr>
          <w:trHeight w:hRule="exact" w:val="566"/>
        </w:trPr>
        <w:tc>
          <w:tcPr>
            <w:tcW w:w="396"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4896"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rPr>
                <w:rFonts w:ascii="宋体" w:eastAsia="宋体" w:hAnsi="宋体" w:cs="微软雅黑"/>
              </w:rPr>
            </w:pPr>
            <w:r w:rsidRPr="00A03549">
              <w:rPr>
                <w:rFonts w:ascii="宋体" w:eastAsia="宋体" w:hAnsi="宋体" w:cs="微软雅黑" w:hint="eastAsia"/>
              </w:rPr>
              <w:t>报告期期初理财产品份额总额</w:t>
            </w:r>
          </w:p>
        </w:tc>
        <w:tc>
          <w:tcPr>
            <w:tcW w:w="5712"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1,147,644,551.87</w:t>
            </w:r>
          </w:p>
        </w:tc>
      </w:tr>
      <w:tr w:rsidR="004B07C4" w:rsidRPr="00A03549">
        <w:tblPrEx>
          <w:tblCellMar>
            <w:top w:w="0" w:type="dxa"/>
            <w:bottom w:w="0" w:type="dxa"/>
          </w:tblCellMar>
        </w:tblPrEx>
        <w:trPr>
          <w:trHeight w:hRule="exact" w:val="566"/>
        </w:trPr>
        <w:tc>
          <w:tcPr>
            <w:tcW w:w="396"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4896"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rPr>
                <w:rFonts w:ascii="宋体" w:eastAsia="宋体" w:hAnsi="宋体" w:cs="微软雅黑"/>
              </w:rPr>
            </w:pPr>
            <w:r w:rsidRPr="00A03549">
              <w:rPr>
                <w:rFonts w:ascii="宋体" w:eastAsia="宋体" w:hAnsi="宋体" w:cs="微软雅黑" w:hint="eastAsia"/>
              </w:rPr>
              <w:t>报告期期间理财产品总申购份额</w:t>
            </w:r>
            <w:r w:rsidRPr="00A03549">
              <w:rPr>
                <w:rFonts w:ascii="宋体" w:eastAsia="宋体" w:hAnsi="宋体" w:cs="微软雅黑"/>
              </w:rPr>
              <w:t xml:space="preserve"> </w:t>
            </w:r>
          </w:p>
        </w:tc>
        <w:tc>
          <w:tcPr>
            <w:tcW w:w="5712"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1,922,755,820.88</w:t>
            </w:r>
          </w:p>
        </w:tc>
      </w:tr>
      <w:tr w:rsidR="004B07C4" w:rsidRPr="00A03549">
        <w:tblPrEx>
          <w:tblCellMar>
            <w:top w:w="0" w:type="dxa"/>
            <w:bottom w:w="0" w:type="dxa"/>
          </w:tblCellMar>
        </w:tblPrEx>
        <w:trPr>
          <w:trHeight w:hRule="exact" w:val="566"/>
        </w:trPr>
        <w:tc>
          <w:tcPr>
            <w:tcW w:w="396"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4896"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rPr>
                <w:rFonts w:ascii="宋体" w:eastAsia="宋体" w:hAnsi="宋体" w:cs="微软雅黑"/>
              </w:rPr>
            </w:pPr>
            <w:r w:rsidRPr="00A03549">
              <w:rPr>
                <w:rFonts w:ascii="宋体" w:eastAsia="宋体" w:hAnsi="宋体" w:cs="微软雅黑" w:hint="eastAsia"/>
              </w:rPr>
              <w:t>减：报告期期间理财产品总赎回份额</w:t>
            </w:r>
          </w:p>
        </w:tc>
        <w:tc>
          <w:tcPr>
            <w:tcW w:w="5712"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2,309,645,504.73</w:t>
            </w:r>
          </w:p>
        </w:tc>
      </w:tr>
      <w:tr w:rsidR="004B07C4" w:rsidRPr="00A03549">
        <w:tblPrEx>
          <w:tblCellMar>
            <w:top w:w="0" w:type="dxa"/>
            <w:bottom w:w="0" w:type="dxa"/>
          </w:tblCellMar>
        </w:tblPrEx>
        <w:trPr>
          <w:trHeight w:hRule="exact" w:val="660"/>
        </w:trPr>
        <w:tc>
          <w:tcPr>
            <w:tcW w:w="396"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4896" w:type="dxa"/>
            <w:gridSpan w:val="7"/>
            <w:tcBorders>
              <w:top w:val="single" w:sz="8" w:space="0" w:color="000000"/>
              <w:left w:val="single" w:sz="8" w:space="0" w:color="000000"/>
              <w:bottom w:val="single" w:sz="8" w:space="0" w:color="000000"/>
              <w:right w:val="single" w:sz="8" w:space="0" w:color="000000"/>
            </w:tcBorders>
            <w:shd w:val="clear" w:color="auto" w:fill="F5F5F5"/>
            <w:vAlign w:val="center"/>
          </w:tcPr>
          <w:p w:rsidR="004B07C4" w:rsidRPr="00A03549" w:rsidRDefault="004B07C4">
            <w:pPr>
              <w:spacing w:line="330" w:lineRule="exact"/>
              <w:ind w:left="120"/>
              <w:rPr>
                <w:rFonts w:ascii="宋体" w:eastAsia="宋体" w:hAnsi="宋体" w:cs="微软雅黑"/>
              </w:rPr>
            </w:pPr>
            <w:r w:rsidRPr="00A03549">
              <w:rPr>
                <w:rFonts w:ascii="宋体" w:eastAsia="宋体" w:hAnsi="宋体" w:cs="微软雅黑" w:hint="eastAsia"/>
              </w:rPr>
              <w:t>报告期期间理财产品拆分变动份额（份额减少以“</w:t>
            </w:r>
            <w:r w:rsidRPr="00A03549">
              <w:rPr>
                <w:rFonts w:ascii="宋体" w:eastAsia="宋体" w:hAnsi="宋体" w:cs="微软雅黑"/>
              </w:rPr>
              <w:t>-</w:t>
            </w:r>
            <w:r w:rsidRPr="00A03549">
              <w:rPr>
                <w:rFonts w:ascii="宋体" w:eastAsia="宋体" w:hAnsi="宋体" w:cs="微软雅黑" w:hint="eastAsia"/>
              </w:rPr>
              <w:t>”填列）</w:t>
            </w:r>
            <w:r w:rsidRPr="00A03549">
              <w:rPr>
                <w:rFonts w:ascii="宋体" w:eastAsia="宋体" w:hAnsi="宋体" w:cs="微软雅黑"/>
              </w:rPr>
              <w:t xml:space="preserve"> </w:t>
            </w:r>
          </w:p>
        </w:tc>
        <w:tc>
          <w:tcPr>
            <w:tcW w:w="5712"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r>
      <w:tr w:rsidR="004B07C4" w:rsidRPr="00A03549">
        <w:tblPrEx>
          <w:tblCellMar>
            <w:top w:w="0" w:type="dxa"/>
            <w:bottom w:w="0" w:type="dxa"/>
          </w:tblCellMar>
        </w:tblPrEx>
        <w:trPr>
          <w:trHeight w:hRule="exact" w:val="566"/>
        </w:trPr>
        <w:tc>
          <w:tcPr>
            <w:tcW w:w="396"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4896"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rPr>
                <w:rFonts w:ascii="宋体" w:eastAsia="宋体" w:hAnsi="宋体" w:cs="微软雅黑"/>
              </w:rPr>
            </w:pPr>
            <w:r w:rsidRPr="00A03549">
              <w:rPr>
                <w:rFonts w:ascii="宋体" w:eastAsia="宋体" w:hAnsi="宋体" w:cs="微软雅黑" w:hint="eastAsia"/>
              </w:rPr>
              <w:t>报告期期末理财产品份额总额</w:t>
            </w:r>
            <w:r w:rsidRPr="00A03549">
              <w:rPr>
                <w:rFonts w:ascii="宋体" w:eastAsia="宋体" w:hAnsi="宋体" w:cs="微软雅黑"/>
              </w:rPr>
              <w:t xml:space="preserve"> </w:t>
            </w:r>
          </w:p>
        </w:tc>
        <w:tc>
          <w:tcPr>
            <w:tcW w:w="5712"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760,754,868.02</w:t>
            </w:r>
          </w:p>
        </w:tc>
      </w:tr>
      <w:tr w:rsidR="004B07C4" w:rsidRPr="00A03549">
        <w:tblPrEx>
          <w:tblCellMar>
            <w:top w:w="0" w:type="dxa"/>
            <w:bottom w:w="0" w:type="dxa"/>
          </w:tblCellMar>
        </w:tblPrEx>
        <w:trPr>
          <w:trHeight w:hRule="exact" w:val="660"/>
        </w:trPr>
        <w:tc>
          <w:tcPr>
            <w:tcW w:w="396"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spacing w:line="330" w:lineRule="exact"/>
              <w:ind w:left="20"/>
              <w:rPr>
                <w:rFonts w:ascii="宋体" w:eastAsia="宋体" w:hAnsi="宋体" w:cs="微软雅黑"/>
              </w:rPr>
            </w:pPr>
            <w:r w:rsidRPr="00A03549">
              <w:rPr>
                <w:rFonts w:ascii="宋体" w:eastAsia="宋体" w:hAnsi="宋体" w:cs="微软雅黑" w:hint="eastAsia"/>
              </w:rPr>
              <w:t>注：如理财产品成立日晚于报告期期初，则以理财产品成立日的理财产品份额总额作为报告期期初理财产品份额总额。</w:t>
            </w:r>
          </w:p>
        </w:tc>
      </w:tr>
      <w:tr w:rsidR="004B07C4" w:rsidRPr="00A03549">
        <w:tblPrEx>
          <w:tblCellMar>
            <w:top w:w="0" w:type="dxa"/>
            <w:bottom w:w="0" w:type="dxa"/>
          </w:tblCellMar>
        </w:tblPrEx>
        <w:trPr>
          <w:trHeight w:hRule="exact" w:val="285"/>
        </w:trPr>
        <w:tc>
          <w:tcPr>
            <w:tcW w:w="396"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r>
      <w:tr w:rsidR="004B07C4" w:rsidRPr="00A03549">
        <w:tblPrEx>
          <w:tblCellMar>
            <w:top w:w="0" w:type="dxa"/>
            <w:bottom w:w="0" w:type="dxa"/>
          </w:tblCellMar>
        </w:tblPrEx>
        <w:trPr>
          <w:trHeight w:hRule="exact" w:val="453"/>
        </w:trPr>
        <w:tc>
          <w:tcPr>
            <w:tcW w:w="396"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spacing w:line="375" w:lineRule="exact"/>
              <w:ind w:left="20"/>
              <w:jc w:val="center"/>
              <w:rPr>
                <w:rFonts w:ascii="宋体" w:eastAsia="宋体" w:hAnsi="宋体" w:cs="微软雅黑"/>
                <w:sz w:val="28"/>
                <w:szCs w:val="28"/>
              </w:rPr>
            </w:pPr>
            <w:r w:rsidRPr="00A03549">
              <w:rPr>
                <w:rFonts w:ascii="宋体" w:eastAsia="宋体" w:hAnsi="宋体" w:cs="微软雅黑" w:hint="eastAsia"/>
                <w:b/>
                <w:bCs/>
                <w:sz w:val="28"/>
                <w:szCs w:val="28"/>
              </w:rPr>
              <w:t>第六章</w:t>
            </w:r>
            <w:r w:rsidRPr="00A03549">
              <w:rPr>
                <w:rFonts w:ascii="宋体" w:eastAsia="宋体" w:hAnsi="宋体" w:cs="微软雅黑"/>
                <w:b/>
                <w:bCs/>
                <w:sz w:val="28"/>
                <w:szCs w:val="28"/>
              </w:rPr>
              <w:t xml:space="preserve"> </w:t>
            </w:r>
            <w:r w:rsidRPr="00A03549">
              <w:rPr>
                <w:rFonts w:ascii="宋体" w:eastAsia="宋体" w:hAnsi="宋体" w:cs="微软雅黑" w:hint="eastAsia"/>
                <w:b/>
                <w:bCs/>
                <w:sz w:val="28"/>
                <w:szCs w:val="28"/>
              </w:rPr>
              <w:t>风险分析</w:t>
            </w:r>
          </w:p>
        </w:tc>
      </w:tr>
      <w:tr w:rsidR="004B07C4" w:rsidRPr="00A03549">
        <w:tblPrEx>
          <w:tblCellMar>
            <w:top w:w="0" w:type="dxa"/>
            <w:bottom w:w="0" w:type="dxa"/>
          </w:tblCellMar>
        </w:tblPrEx>
        <w:trPr>
          <w:trHeight w:hRule="exact" w:val="285"/>
        </w:trPr>
        <w:tc>
          <w:tcPr>
            <w:tcW w:w="396"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08" w:type="dxa"/>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r>
    </w:tbl>
    <w:p w:rsidR="004B07C4" w:rsidRPr="00A03549" w:rsidRDefault="004B07C4">
      <w:pPr>
        <w:rPr>
          <w:rFonts w:ascii="宋体" w:eastAsia="宋体" w:hAnsi="宋体" w:cs="Times New Roman"/>
          <w:color w:val="auto"/>
          <w:sz w:val="2"/>
          <w:szCs w:val="2"/>
        </w:rPr>
      </w:pPr>
      <w:r w:rsidRPr="00A03549">
        <w:rPr>
          <w:rFonts w:ascii="宋体" w:eastAsia="宋体" w:hAnsi="宋体" w:cs="Times New Roman"/>
          <w:color w:val="auto"/>
          <w:sz w:val="2"/>
          <w:szCs w:val="2"/>
        </w:rPr>
        <w:br w:type="page"/>
      </w:r>
    </w:p>
    <w:tbl>
      <w:tblPr>
        <w:tblW w:w="11009" w:type="dxa"/>
        <w:tblInd w:w="10" w:type="dxa"/>
        <w:tblLayout w:type="fixed"/>
        <w:tblCellMar>
          <w:left w:w="0" w:type="dxa"/>
          <w:right w:w="0" w:type="dxa"/>
        </w:tblCellMar>
        <w:tblLook w:val="0000" w:firstRow="0" w:lastRow="0" w:firstColumn="0" w:lastColumn="0" w:noHBand="0" w:noVBand="0"/>
      </w:tblPr>
      <w:tblGrid>
        <w:gridCol w:w="397"/>
        <w:gridCol w:w="816"/>
        <w:gridCol w:w="816"/>
        <w:gridCol w:w="1633"/>
        <w:gridCol w:w="1633"/>
        <w:gridCol w:w="816"/>
        <w:gridCol w:w="2041"/>
        <w:gridCol w:w="408"/>
        <w:gridCol w:w="2449"/>
      </w:tblGrid>
      <w:tr w:rsidR="004B07C4" w:rsidRPr="00A03549" w:rsidTr="00D52530">
        <w:tblPrEx>
          <w:tblCellMar>
            <w:top w:w="0" w:type="dxa"/>
            <w:bottom w:w="0" w:type="dxa"/>
          </w:tblCellMar>
        </w:tblPrEx>
        <w:trPr>
          <w:trHeight w:hRule="exact" w:val="2100"/>
        </w:trPr>
        <w:tc>
          <w:tcPr>
            <w:tcW w:w="397"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12"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16" w:lineRule="exact"/>
              <w:rPr>
                <w:rFonts w:ascii="宋体" w:eastAsia="宋体" w:hAnsi="宋体" w:cs="微软雅黑"/>
              </w:rPr>
            </w:pPr>
            <w:r w:rsidRPr="00A03549">
              <w:rPr>
                <w:rFonts w:ascii="宋体" w:eastAsia="宋体" w:hAnsi="宋体" w:cs="微软雅黑"/>
              </w:rPr>
              <w:t>      1.</w:t>
            </w:r>
            <w:r w:rsidRPr="00A03549">
              <w:rPr>
                <w:rFonts w:ascii="宋体" w:eastAsia="宋体" w:hAnsi="宋体" w:cs="微软雅黑" w:hint="eastAsia"/>
              </w:rPr>
              <w:t>理财投资组合流动性风险分析</w:t>
            </w:r>
          </w:p>
          <w:p w:rsidR="004B07C4" w:rsidRPr="00A03549" w:rsidRDefault="004B07C4">
            <w:pPr>
              <w:spacing w:line="316" w:lineRule="exact"/>
              <w:rPr>
                <w:rFonts w:ascii="宋体" w:eastAsia="宋体" w:hAnsi="宋体" w:cs="微软雅黑"/>
              </w:rPr>
            </w:pPr>
            <w:r w:rsidRPr="00A03549">
              <w:rPr>
                <w:rFonts w:ascii="宋体" w:eastAsia="宋体" w:hAnsi="宋体" w:cs="微软雅黑"/>
              </w:rPr>
              <w:t xml:space="preserve">      </w:t>
            </w:r>
            <w:r w:rsidRPr="00A03549">
              <w:rPr>
                <w:rFonts w:ascii="宋体" w:eastAsia="宋体" w:hAnsi="宋体" w:cs="微软雅黑" w:hint="eastAsia"/>
              </w:rPr>
              <w:t>本产品投资运营过程中，管理人综合考虑了资产流动性、产品赎回压力和负债到期情况，采用了合理的流动性管理手段，流动性风险总体可控。</w:t>
            </w:r>
          </w:p>
          <w:p w:rsidR="004B07C4" w:rsidRPr="00A03549" w:rsidRDefault="004B07C4">
            <w:pPr>
              <w:spacing w:line="316" w:lineRule="exact"/>
              <w:rPr>
                <w:rFonts w:ascii="宋体" w:eastAsia="宋体" w:hAnsi="宋体" w:cs="微软雅黑"/>
              </w:rPr>
            </w:pPr>
            <w:r w:rsidRPr="00A03549">
              <w:rPr>
                <w:rFonts w:ascii="宋体" w:eastAsia="宋体" w:hAnsi="宋体" w:cs="微软雅黑"/>
              </w:rPr>
              <w:t>      2.</w:t>
            </w:r>
            <w:r w:rsidRPr="00A03549">
              <w:rPr>
                <w:rFonts w:ascii="宋体" w:eastAsia="宋体" w:hAnsi="宋体" w:cs="微软雅黑" w:hint="eastAsia"/>
              </w:rPr>
              <w:t>理财投资组合其他风险分析</w:t>
            </w:r>
          </w:p>
          <w:p w:rsidR="004B07C4" w:rsidRPr="00A03549" w:rsidRDefault="004B07C4">
            <w:pPr>
              <w:spacing w:line="316" w:lineRule="exact"/>
              <w:rPr>
                <w:rFonts w:ascii="宋体" w:eastAsia="宋体" w:hAnsi="宋体" w:cs="微软雅黑"/>
              </w:rPr>
            </w:pPr>
            <w:r w:rsidRPr="00A03549">
              <w:rPr>
                <w:rFonts w:ascii="宋体" w:eastAsia="宋体" w:hAnsi="宋体" w:cs="微软雅黑"/>
              </w:rPr>
              <w:t xml:space="preserve">      </w:t>
            </w:r>
            <w:r w:rsidRPr="00A03549">
              <w:rPr>
                <w:rFonts w:ascii="宋体" w:eastAsia="宋体" w:hAnsi="宋体" w:cs="微软雅黑" w:hint="eastAsia"/>
              </w:rPr>
              <w:t>本产品投资运营过程中，管理人对产品的信用风险、市场风险、法律合规风险等各类风险建立完善的风控机制，相关风险总体可控。</w:t>
            </w:r>
          </w:p>
        </w:tc>
      </w:tr>
      <w:tr w:rsidR="004B07C4" w:rsidRPr="00A03549" w:rsidTr="00D52530">
        <w:tblPrEx>
          <w:tblCellMar>
            <w:top w:w="0" w:type="dxa"/>
            <w:bottom w:w="0" w:type="dxa"/>
          </w:tblCellMar>
        </w:tblPrEx>
        <w:trPr>
          <w:trHeight w:hRule="exact" w:val="285"/>
        </w:trPr>
        <w:tc>
          <w:tcPr>
            <w:tcW w:w="397"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12"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r>
      <w:tr w:rsidR="004B07C4" w:rsidRPr="00A03549" w:rsidTr="00D52530">
        <w:tblPrEx>
          <w:tblCellMar>
            <w:top w:w="0" w:type="dxa"/>
            <w:bottom w:w="0" w:type="dxa"/>
          </w:tblCellMar>
        </w:tblPrEx>
        <w:trPr>
          <w:trHeight w:hRule="exact" w:val="453"/>
        </w:trPr>
        <w:tc>
          <w:tcPr>
            <w:tcW w:w="397"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12"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spacing w:line="375" w:lineRule="exact"/>
              <w:ind w:left="20"/>
              <w:jc w:val="center"/>
              <w:rPr>
                <w:rFonts w:ascii="宋体" w:eastAsia="宋体" w:hAnsi="宋体" w:cs="微软雅黑"/>
                <w:sz w:val="28"/>
                <w:szCs w:val="28"/>
              </w:rPr>
            </w:pPr>
            <w:r w:rsidRPr="00A03549">
              <w:rPr>
                <w:rFonts w:ascii="宋体" w:eastAsia="宋体" w:hAnsi="宋体" w:cs="微软雅黑" w:hint="eastAsia"/>
                <w:b/>
                <w:bCs/>
                <w:sz w:val="28"/>
                <w:szCs w:val="28"/>
              </w:rPr>
              <w:t>第七章</w:t>
            </w:r>
            <w:r w:rsidRPr="00A03549">
              <w:rPr>
                <w:rFonts w:ascii="宋体" w:eastAsia="宋体" w:hAnsi="宋体" w:cs="微软雅黑"/>
                <w:b/>
                <w:bCs/>
                <w:sz w:val="28"/>
                <w:szCs w:val="28"/>
              </w:rPr>
              <w:t xml:space="preserve"> </w:t>
            </w:r>
            <w:r w:rsidRPr="00A03549">
              <w:rPr>
                <w:rFonts w:ascii="宋体" w:eastAsia="宋体" w:hAnsi="宋体" w:cs="微软雅黑" w:hint="eastAsia"/>
                <w:b/>
                <w:bCs/>
                <w:sz w:val="28"/>
                <w:szCs w:val="28"/>
              </w:rPr>
              <w:t>投资账户信息</w:t>
            </w:r>
          </w:p>
        </w:tc>
      </w:tr>
      <w:tr w:rsidR="004B07C4" w:rsidRPr="00A03549" w:rsidTr="00D52530">
        <w:tblPrEx>
          <w:tblCellMar>
            <w:top w:w="0" w:type="dxa"/>
            <w:bottom w:w="0" w:type="dxa"/>
          </w:tblCellMar>
        </w:tblPrEx>
        <w:trPr>
          <w:trHeight w:hRule="exact" w:val="285"/>
        </w:trPr>
        <w:tc>
          <w:tcPr>
            <w:tcW w:w="397"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12"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r>
      <w:tr w:rsidR="004B07C4" w:rsidRPr="00A03549" w:rsidTr="00D52530">
        <w:tblPrEx>
          <w:tblCellMar>
            <w:top w:w="0" w:type="dxa"/>
            <w:bottom w:w="0" w:type="dxa"/>
          </w:tblCellMar>
        </w:tblPrEx>
        <w:trPr>
          <w:trHeight w:hRule="exact" w:val="566"/>
        </w:trPr>
        <w:tc>
          <w:tcPr>
            <w:tcW w:w="397" w:type="dxa"/>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序号</w:t>
            </w:r>
          </w:p>
        </w:tc>
        <w:tc>
          <w:tcPr>
            <w:tcW w:w="2449"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账户类型</w:t>
            </w:r>
          </w:p>
        </w:tc>
        <w:tc>
          <w:tcPr>
            <w:tcW w:w="2449"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账户名称</w:t>
            </w:r>
          </w:p>
        </w:tc>
        <w:tc>
          <w:tcPr>
            <w:tcW w:w="2449"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账户编号</w:t>
            </w:r>
          </w:p>
        </w:tc>
        <w:tc>
          <w:tcPr>
            <w:tcW w:w="24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开户单位</w:t>
            </w:r>
          </w:p>
        </w:tc>
      </w:tr>
      <w:tr w:rsidR="004B07C4" w:rsidRPr="00A03549" w:rsidTr="00D52530">
        <w:tblPrEx>
          <w:tblCellMar>
            <w:top w:w="0" w:type="dxa"/>
            <w:bottom w:w="0" w:type="dxa"/>
          </w:tblCellMar>
        </w:tblPrEx>
        <w:trPr>
          <w:trHeight w:hRule="exact" w:val="566"/>
        </w:trPr>
        <w:tc>
          <w:tcPr>
            <w:tcW w:w="397"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w:t>
            </w:r>
          </w:p>
        </w:tc>
        <w:tc>
          <w:tcPr>
            <w:tcW w:w="2449"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资金托管账户</w:t>
            </w:r>
          </w:p>
        </w:tc>
        <w:tc>
          <w:tcPr>
            <w:tcW w:w="2449"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托管户</w:t>
            </w:r>
          </w:p>
        </w:tc>
        <w:tc>
          <w:tcPr>
            <w:tcW w:w="2449"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0901010000000071</w:t>
            </w:r>
          </w:p>
        </w:tc>
        <w:tc>
          <w:tcPr>
            <w:tcW w:w="24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南京银行</w:t>
            </w:r>
          </w:p>
        </w:tc>
      </w:tr>
      <w:tr w:rsidR="004B07C4" w:rsidRPr="00A03549" w:rsidTr="00D52530">
        <w:tblPrEx>
          <w:tblCellMar>
            <w:top w:w="0" w:type="dxa"/>
            <w:bottom w:w="0" w:type="dxa"/>
          </w:tblCellMar>
        </w:tblPrEx>
        <w:trPr>
          <w:trHeight w:hRule="exact" w:val="283"/>
        </w:trPr>
        <w:tc>
          <w:tcPr>
            <w:tcW w:w="397"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12"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r>
      <w:tr w:rsidR="004B07C4" w:rsidRPr="00A03549" w:rsidTr="00D52530">
        <w:tblPrEx>
          <w:tblCellMar>
            <w:top w:w="0" w:type="dxa"/>
            <w:bottom w:w="0" w:type="dxa"/>
          </w:tblCellMar>
        </w:tblPrEx>
        <w:trPr>
          <w:trHeight w:hRule="exact" w:val="453"/>
        </w:trPr>
        <w:tc>
          <w:tcPr>
            <w:tcW w:w="397"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12"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spacing w:line="375" w:lineRule="exact"/>
              <w:ind w:left="20"/>
              <w:jc w:val="center"/>
              <w:rPr>
                <w:rFonts w:ascii="宋体" w:eastAsia="宋体" w:hAnsi="宋体" w:cs="微软雅黑"/>
                <w:sz w:val="28"/>
                <w:szCs w:val="28"/>
              </w:rPr>
            </w:pPr>
            <w:r w:rsidRPr="00A03549">
              <w:rPr>
                <w:rFonts w:ascii="宋体" w:eastAsia="宋体" w:hAnsi="宋体" w:cs="微软雅黑" w:hint="eastAsia"/>
                <w:b/>
                <w:bCs/>
                <w:sz w:val="28"/>
                <w:szCs w:val="28"/>
              </w:rPr>
              <w:t>第八章</w:t>
            </w:r>
            <w:r w:rsidRPr="00A03549">
              <w:rPr>
                <w:rFonts w:ascii="宋体" w:eastAsia="宋体" w:hAnsi="宋体" w:cs="微软雅黑"/>
                <w:b/>
                <w:bCs/>
                <w:sz w:val="28"/>
                <w:szCs w:val="28"/>
              </w:rPr>
              <w:t xml:space="preserve"> </w:t>
            </w:r>
            <w:r w:rsidRPr="00A03549">
              <w:rPr>
                <w:rFonts w:ascii="宋体" w:eastAsia="宋体" w:hAnsi="宋体" w:cs="微软雅黑" w:hint="eastAsia"/>
                <w:b/>
                <w:bCs/>
                <w:sz w:val="28"/>
                <w:szCs w:val="28"/>
              </w:rPr>
              <w:t>影响投资者决策的其他重要信息</w:t>
            </w:r>
          </w:p>
        </w:tc>
      </w:tr>
      <w:tr w:rsidR="004B07C4" w:rsidRPr="00A03549" w:rsidTr="00D52530">
        <w:tblPrEx>
          <w:tblCellMar>
            <w:top w:w="0" w:type="dxa"/>
            <w:bottom w:w="0" w:type="dxa"/>
          </w:tblCellMar>
        </w:tblPrEx>
        <w:trPr>
          <w:trHeight w:hRule="exact" w:val="285"/>
        </w:trPr>
        <w:tc>
          <w:tcPr>
            <w:tcW w:w="397"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12"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r>
      <w:tr w:rsidR="004B07C4" w:rsidRPr="00A03549" w:rsidTr="00D52530">
        <w:tblPrEx>
          <w:tblCellMar>
            <w:top w:w="0" w:type="dxa"/>
            <w:bottom w:w="0" w:type="dxa"/>
          </w:tblCellMar>
        </w:tblPrEx>
        <w:trPr>
          <w:trHeight w:hRule="exact" w:val="510"/>
        </w:trPr>
        <w:tc>
          <w:tcPr>
            <w:tcW w:w="397"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12"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spacing w:line="375" w:lineRule="exact"/>
              <w:ind w:left="20"/>
              <w:rPr>
                <w:rFonts w:ascii="宋体" w:eastAsia="宋体" w:hAnsi="宋体" w:cs="微软雅黑"/>
                <w:sz w:val="28"/>
                <w:szCs w:val="28"/>
              </w:rPr>
            </w:pPr>
            <w:r w:rsidRPr="00A03549">
              <w:rPr>
                <w:rFonts w:ascii="宋体" w:eastAsia="宋体" w:hAnsi="宋体" w:cs="微软雅黑"/>
                <w:b/>
                <w:bCs/>
                <w:sz w:val="28"/>
                <w:szCs w:val="28"/>
              </w:rPr>
              <w:t xml:space="preserve">8.1 </w:t>
            </w:r>
            <w:r w:rsidRPr="00A03549">
              <w:rPr>
                <w:rFonts w:ascii="宋体" w:eastAsia="宋体" w:hAnsi="宋体" w:cs="微软雅黑" w:hint="eastAsia"/>
                <w:b/>
                <w:bCs/>
                <w:sz w:val="28"/>
                <w:szCs w:val="28"/>
              </w:rPr>
              <w:t>现金管理类理财产品前十名投资者情况</w:t>
            </w:r>
          </w:p>
        </w:tc>
      </w:tr>
      <w:tr w:rsidR="004B07C4" w:rsidRPr="00A03549" w:rsidTr="00D52530">
        <w:tblPrEx>
          <w:tblCellMar>
            <w:top w:w="0" w:type="dxa"/>
            <w:bottom w:w="0" w:type="dxa"/>
          </w:tblCellMar>
        </w:tblPrEx>
        <w:trPr>
          <w:trHeight w:hRule="exact" w:val="793"/>
        </w:trPr>
        <w:tc>
          <w:tcPr>
            <w:tcW w:w="397"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序号</w:t>
            </w:r>
          </w:p>
        </w:tc>
        <w:tc>
          <w:tcPr>
            <w:tcW w:w="326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投资者类别</w:t>
            </w:r>
          </w:p>
        </w:tc>
        <w:tc>
          <w:tcPr>
            <w:tcW w:w="285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期末持有份额</w:t>
            </w:r>
          </w:p>
        </w:tc>
        <w:tc>
          <w:tcPr>
            <w:tcW w:w="285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占总份额比例</w:t>
            </w:r>
          </w:p>
        </w:tc>
      </w:tr>
      <w:tr w:rsidR="004B07C4" w:rsidRPr="00A03549" w:rsidTr="00D52530">
        <w:tblPrEx>
          <w:tblCellMar>
            <w:top w:w="0" w:type="dxa"/>
            <w:bottom w:w="0" w:type="dxa"/>
          </w:tblCellMar>
        </w:tblPrEx>
        <w:trPr>
          <w:trHeight w:hRule="exact" w:val="566"/>
        </w:trPr>
        <w:tc>
          <w:tcPr>
            <w:tcW w:w="397"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w:t>
            </w:r>
          </w:p>
        </w:tc>
        <w:tc>
          <w:tcPr>
            <w:tcW w:w="326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c>
          <w:tcPr>
            <w:tcW w:w="285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c>
          <w:tcPr>
            <w:tcW w:w="285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r>
      <w:tr w:rsidR="004B07C4" w:rsidRPr="00A03549" w:rsidTr="00D52530">
        <w:tblPrEx>
          <w:tblCellMar>
            <w:top w:w="0" w:type="dxa"/>
            <w:bottom w:w="0" w:type="dxa"/>
          </w:tblCellMar>
        </w:tblPrEx>
        <w:trPr>
          <w:trHeight w:hRule="exact" w:val="566"/>
        </w:trPr>
        <w:tc>
          <w:tcPr>
            <w:tcW w:w="397"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2</w:t>
            </w:r>
          </w:p>
        </w:tc>
        <w:tc>
          <w:tcPr>
            <w:tcW w:w="326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c>
          <w:tcPr>
            <w:tcW w:w="285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c>
          <w:tcPr>
            <w:tcW w:w="285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r>
      <w:tr w:rsidR="004B07C4" w:rsidRPr="00A03549" w:rsidTr="00D52530">
        <w:tblPrEx>
          <w:tblCellMar>
            <w:top w:w="0" w:type="dxa"/>
            <w:bottom w:w="0" w:type="dxa"/>
          </w:tblCellMar>
        </w:tblPrEx>
        <w:trPr>
          <w:trHeight w:hRule="exact" w:val="566"/>
        </w:trPr>
        <w:tc>
          <w:tcPr>
            <w:tcW w:w="397"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3</w:t>
            </w:r>
          </w:p>
        </w:tc>
        <w:tc>
          <w:tcPr>
            <w:tcW w:w="326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c>
          <w:tcPr>
            <w:tcW w:w="285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c>
          <w:tcPr>
            <w:tcW w:w="285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r>
      <w:tr w:rsidR="004B07C4" w:rsidRPr="00A03549" w:rsidTr="00D52530">
        <w:tblPrEx>
          <w:tblCellMar>
            <w:top w:w="0" w:type="dxa"/>
            <w:bottom w:w="0" w:type="dxa"/>
          </w:tblCellMar>
        </w:tblPrEx>
        <w:trPr>
          <w:trHeight w:hRule="exact" w:val="566"/>
        </w:trPr>
        <w:tc>
          <w:tcPr>
            <w:tcW w:w="397"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4</w:t>
            </w:r>
          </w:p>
        </w:tc>
        <w:tc>
          <w:tcPr>
            <w:tcW w:w="326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c>
          <w:tcPr>
            <w:tcW w:w="285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c>
          <w:tcPr>
            <w:tcW w:w="285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r>
      <w:tr w:rsidR="004B07C4" w:rsidRPr="00A03549" w:rsidTr="00D52530">
        <w:tblPrEx>
          <w:tblCellMar>
            <w:top w:w="0" w:type="dxa"/>
            <w:bottom w:w="0" w:type="dxa"/>
          </w:tblCellMar>
        </w:tblPrEx>
        <w:trPr>
          <w:trHeight w:hRule="exact" w:val="566"/>
        </w:trPr>
        <w:tc>
          <w:tcPr>
            <w:tcW w:w="397"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5</w:t>
            </w:r>
          </w:p>
        </w:tc>
        <w:tc>
          <w:tcPr>
            <w:tcW w:w="326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c>
          <w:tcPr>
            <w:tcW w:w="285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c>
          <w:tcPr>
            <w:tcW w:w="285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r>
      <w:tr w:rsidR="004B07C4" w:rsidRPr="00A03549" w:rsidTr="00D52530">
        <w:tblPrEx>
          <w:tblCellMar>
            <w:top w:w="0" w:type="dxa"/>
            <w:bottom w:w="0" w:type="dxa"/>
          </w:tblCellMar>
        </w:tblPrEx>
        <w:trPr>
          <w:trHeight w:hRule="exact" w:val="566"/>
        </w:trPr>
        <w:tc>
          <w:tcPr>
            <w:tcW w:w="397"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6</w:t>
            </w:r>
          </w:p>
        </w:tc>
        <w:tc>
          <w:tcPr>
            <w:tcW w:w="326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c>
          <w:tcPr>
            <w:tcW w:w="285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c>
          <w:tcPr>
            <w:tcW w:w="285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r>
      <w:tr w:rsidR="004B07C4" w:rsidRPr="00A03549" w:rsidTr="00D52530">
        <w:tblPrEx>
          <w:tblCellMar>
            <w:top w:w="0" w:type="dxa"/>
            <w:bottom w:w="0" w:type="dxa"/>
          </w:tblCellMar>
        </w:tblPrEx>
        <w:trPr>
          <w:trHeight w:hRule="exact" w:val="566"/>
        </w:trPr>
        <w:tc>
          <w:tcPr>
            <w:tcW w:w="397"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7</w:t>
            </w:r>
          </w:p>
        </w:tc>
        <w:tc>
          <w:tcPr>
            <w:tcW w:w="326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c>
          <w:tcPr>
            <w:tcW w:w="285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c>
          <w:tcPr>
            <w:tcW w:w="285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r>
      <w:tr w:rsidR="004B07C4" w:rsidRPr="00A03549" w:rsidTr="00D52530">
        <w:tblPrEx>
          <w:tblCellMar>
            <w:top w:w="0" w:type="dxa"/>
            <w:bottom w:w="0" w:type="dxa"/>
          </w:tblCellMar>
        </w:tblPrEx>
        <w:trPr>
          <w:trHeight w:hRule="exact" w:val="566"/>
        </w:trPr>
        <w:tc>
          <w:tcPr>
            <w:tcW w:w="397"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8</w:t>
            </w:r>
          </w:p>
        </w:tc>
        <w:tc>
          <w:tcPr>
            <w:tcW w:w="326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c>
          <w:tcPr>
            <w:tcW w:w="285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c>
          <w:tcPr>
            <w:tcW w:w="285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r>
      <w:tr w:rsidR="004B07C4" w:rsidRPr="00A03549" w:rsidTr="00D52530">
        <w:tblPrEx>
          <w:tblCellMar>
            <w:top w:w="0" w:type="dxa"/>
            <w:bottom w:w="0" w:type="dxa"/>
          </w:tblCellMar>
        </w:tblPrEx>
        <w:trPr>
          <w:trHeight w:hRule="exact" w:val="566"/>
        </w:trPr>
        <w:tc>
          <w:tcPr>
            <w:tcW w:w="397"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9</w:t>
            </w:r>
          </w:p>
        </w:tc>
        <w:tc>
          <w:tcPr>
            <w:tcW w:w="326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c>
          <w:tcPr>
            <w:tcW w:w="285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c>
          <w:tcPr>
            <w:tcW w:w="285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r>
      <w:tr w:rsidR="004B07C4" w:rsidRPr="00A03549" w:rsidTr="00D52530">
        <w:tblPrEx>
          <w:tblCellMar>
            <w:top w:w="0" w:type="dxa"/>
            <w:bottom w:w="0" w:type="dxa"/>
          </w:tblCellMar>
        </w:tblPrEx>
        <w:trPr>
          <w:trHeight w:hRule="exact" w:val="566"/>
        </w:trPr>
        <w:tc>
          <w:tcPr>
            <w:tcW w:w="397"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632"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10</w:t>
            </w:r>
          </w:p>
        </w:tc>
        <w:tc>
          <w:tcPr>
            <w:tcW w:w="3266"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c>
          <w:tcPr>
            <w:tcW w:w="285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c>
          <w:tcPr>
            <w:tcW w:w="2857"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r>
      <w:tr w:rsidR="004B07C4" w:rsidRPr="00A03549" w:rsidTr="00D52530">
        <w:tblPrEx>
          <w:tblCellMar>
            <w:top w:w="0" w:type="dxa"/>
            <w:bottom w:w="0" w:type="dxa"/>
          </w:tblCellMar>
        </w:tblPrEx>
        <w:trPr>
          <w:trHeight w:hRule="exact" w:val="285"/>
        </w:trPr>
        <w:tc>
          <w:tcPr>
            <w:tcW w:w="397"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12"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r>
      <w:tr w:rsidR="004B07C4" w:rsidRPr="00A03549" w:rsidTr="00D52530">
        <w:tblPrEx>
          <w:tblCellMar>
            <w:top w:w="0" w:type="dxa"/>
            <w:bottom w:w="0" w:type="dxa"/>
          </w:tblCellMar>
        </w:tblPrEx>
        <w:trPr>
          <w:trHeight w:hRule="exact" w:val="510"/>
        </w:trPr>
        <w:tc>
          <w:tcPr>
            <w:tcW w:w="397"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12"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spacing w:line="375" w:lineRule="exact"/>
              <w:ind w:left="20"/>
              <w:rPr>
                <w:rFonts w:ascii="宋体" w:eastAsia="宋体" w:hAnsi="宋体" w:cs="微软雅黑"/>
                <w:sz w:val="28"/>
                <w:szCs w:val="28"/>
              </w:rPr>
            </w:pPr>
            <w:r w:rsidRPr="00A03549">
              <w:rPr>
                <w:rFonts w:ascii="宋体" w:eastAsia="宋体" w:hAnsi="宋体" w:cs="微软雅黑"/>
                <w:b/>
                <w:bCs/>
                <w:sz w:val="28"/>
                <w:szCs w:val="28"/>
              </w:rPr>
              <w:t xml:space="preserve">8.2 </w:t>
            </w:r>
            <w:r w:rsidRPr="00A03549">
              <w:rPr>
                <w:rFonts w:ascii="宋体" w:eastAsia="宋体" w:hAnsi="宋体" w:cs="微软雅黑" w:hint="eastAsia"/>
                <w:b/>
                <w:bCs/>
                <w:sz w:val="28"/>
                <w:szCs w:val="28"/>
              </w:rPr>
              <w:t>现金管理类理财产品持有份额不低于</w:t>
            </w:r>
            <w:r w:rsidRPr="00A03549">
              <w:rPr>
                <w:rFonts w:ascii="宋体" w:eastAsia="宋体" w:hAnsi="宋体" w:cs="微软雅黑"/>
                <w:b/>
                <w:bCs/>
                <w:sz w:val="28"/>
                <w:szCs w:val="28"/>
              </w:rPr>
              <w:t>20%</w:t>
            </w:r>
            <w:r w:rsidRPr="00A03549">
              <w:rPr>
                <w:rFonts w:ascii="宋体" w:eastAsia="宋体" w:hAnsi="宋体" w:cs="微软雅黑" w:hint="eastAsia"/>
                <w:b/>
                <w:bCs/>
                <w:sz w:val="28"/>
                <w:szCs w:val="28"/>
              </w:rPr>
              <w:t>投资者情况</w:t>
            </w:r>
          </w:p>
        </w:tc>
      </w:tr>
      <w:tr w:rsidR="004B07C4" w:rsidRPr="00A03549" w:rsidTr="00D52530">
        <w:tblPrEx>
          <w:tblCellMar>
            <w:top w:w="0" w:type="dxa"/>
            <w:bottom w:w="0" w:type="dxa"/>
          </w:tblCellMar>
        </w:tblPrEx>
        <w:trPr>
          <w:trHeight w:hRule="exact" w:val="660"/>
        </w:trPr>
        <w:tc>
          <w:tcPr>
            <w:tcW w:w="397"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序号</w:t>
            </w:r>
          </w:p>
        </w:tc>
        <w:tc>
          <w:tcPr>
            <w:tcW w:w="2449"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投资者类别</w:t>
            </w:r>
          </w:p>
        </w:tc>
        <w:tc>
          <w:tcPr>
            <w:tcW w:w="2449"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期末持有份额</w:t>
            </w:r>
          </w:p>
        </w:tc>
        <w:tc>
          <w:tcPr>
            <w:tcW w:w="2449"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占总份额比例</w:t>
            </w:r>
          </w:p>
        </w:tc>
        <w:tc>
          <w:tcPr>
            <w:tcW w:w="24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hint="eastAsia"/>
              </w:rPr>
              <w:t>报告期内持有份额变化情况</w:t>
            </w:r>
          </w:p>
        </w:tc>
      </w:tr>
      <w:tr w:rsidR="004B07C4" w:rsidRPr="00A03549" w:rsidTr="00D52530">
        <w:tblPrEx>
          <w:tblCellMar>
            <w:top w:w="0" w:type="dxa"/>
            <w:bottom w:w="0" w:type="dxa"/>
          </w:tblCellMar>
        </w:tblPrEx>
        <w:trPr>
          <w:trHeight w:hRule="exact" w:val="566"/>
        </w:trPr>
        <w:tc>
          <w:tcPr>
            <w:tcW w:w="397"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8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spacing w:line="330" w:lineRule="exact"/>
              <w:ind w:left="20"/>
              <w:jc w:val="center"/>
              <w:rPr>
                <w:rFonts w:ascii="宋体" w:eastAsia="宋体" w:hAnsi="宋体" w:cs="微软雅黑"/>
              </w:rPr>
            </w:pPr>
            <w:r w:rsidRPr="00A03549">
              <w:rPr>
                <w:rFonts w:ascii="宋体" w:eastAsia="宋体" w:hAnsi="宋体" w:cs="微软雅黑"/>
              </w:rPr>
              <w:t>1</w:t>
            </w:r>
          </w:p>
        </w:tc>
        <w:tc>
          <w:tcPr>
            <w:tcW w:w="2449"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c>
          <w:tcPr>
            <w:tcW w:w="2449"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c>
          <w:tcPr>
            <w:tcW w:w="2449"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c>
          <w:tcPr>
            <w:tcW w:w="2449"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4B07C4" w:rsidRPr="00A03549" w:rsidRDefault="004B07C4">
            <w:pPr>
              <w:jc w:val="center"/>
              <w:rPr>
                <w:rFonts w:ascii="宋体" w:eastAsia="宋体" w:hAnsi="宋体" w:cs="Times New Roman"/>
                <w:color w:val="auto"/>
              </w:rPr>
            </w:pPr>
          </w:p>
        </w:tc>
      </w:tr>
      <w:tr w:rsidR="004B07C4" w:rsidRPr="00A03549" w:rsidTr="00D52530">
        <w:tblPrEx>
          <w:tblCellMar>
            <w:top w:w="0" w:type="dxa"/>
            <w:bottom w:w="0" w:type="dxa"/>
          </w:tblCellMar>
        </w:tblPrEx>
        <w:trPr>
          <w:trHeight w:hRule="exact" w:val="285"/>
        </w:trPr>
        <w:tc>
          <w:tcPr>
            <w:tcW w:w="397"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12"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rPr>
                <w:rFonts w:ascii="宋体" w:eastAsia="宋体" w:hAnsi="宋体" w:cs="Times New Roman"/>
                <w:color w:val="auto"/>
              </w:rPr>
            </w:pPr>
          </w:p>
        </w:tc>
      </w:tr>
      <w:tr w:rsidR="004B07C4" w:rsidRPr="00A03549" w:rsidTr="00D52530">
        <w:tblPrEx>
          <w:tblCellMar>
            <w:top w:w="0" w:type="dxa"/>
            <w:bottom w:w="0" w:type="dxa"/>
          </w:tblCellMar>
        </w:tblPrEx>
        <w:trPr>
          <w:trHeight w:hRule="exact" w:val="510"/>
        </w:trPr>
        <w:tc>
          <w:tcPr>
            <w:tcW w:w="397"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12"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spacing w:line="375" w:lineRule="exact"/>
              <w:ind w:left="20"/>
              <w:rPr>
                <w:rFonts w:ascii="宋体" w:eastAsia="宋体" w:hAnsi="宋体" w:cs="微软雅黑"/>
                <w:sz w:val="28"/>
                <w:szCs w:val="28"/>
              </w:rPr>
            </w:pPr>
            <w:r w:rsidRPr="00A03549">
              <w:rPr>
                <w:rFonts w:ascii="宋体" w:eastAsia="宋体" w:hAnsi="宋体" w:cs="微软雅黑"/>
                <w:b/>
                <w:bCs/>
                <w:sz w:val="28"/>
                <w:szCs w:val="28"/>
              </w:rPr>
              <w:t xml:space="preserve">8.3 </w:t>
            </w:r>
            <w:r w:rsidRPr="00A03549">
              <w:rPr>
                <w:rFonts w:ascii="宋体" w:eastAsia="宋体" w:hAnsi="宋体" w:cs="微软雅黑" w:hint="eastAsia"/>
                <w:b/>
                <w:bCs/>
                <w:sz w:val="28"/>
                <w:szCs w:val="28"/>
              </w:rPr>
              <w:t>影响投资者决策的其他重要信息</w:t>
            </w:r>
          </w:p>
        </w:tc>
      </w:tr>
      <w:tr w:rsidR="004B07C4" w:rsidRPr="00A03549" w:rsidTr="00D52530">
        <w:tblPrEx>
          <w:tblCellMar>
            <w:top w:w="0" w:type="dxa"/>
            <w:bottom w:w="0" w:type="dxa"/>
          </w:tblCellMar>
        </w:tblPrEx>
        <w:trPr>
          <w:trHeight w:hRule="exact" w:val="566"/>
        </w:trPr>
        <w:tc>
          <w:tcPr>
            <w:tcW w:w="397" w:type="dxa"/>
            <w:tcBorders>
              <w:top w:val="single" w:sz="8" w:space="0" w:color="FFFFFF"/>
              <w:left w:val="single" w:sz="8" w:space="0" w:color="FFFFFF"/>
              <w:bottom w:val="single" w:sz="8" w:space="0" w:color="FFFFFF"/>
              <w:right w:val="single" w:sz="8" w:space="0" w:color="FFFFFF"/>
            </w:tcBorders>
            <w:shd w:val="clear" w:color="auto" w:fill="FFFFFF"/>
            <w:vAlign w:val="center"/>
          </w:tcPr>
          <w:p w:rsidR="004B07C4" w:rsidRPr="00A03549" w:rsidRDefault="004B07C4">
            <w:pPr>
              <w:rPr>
                <w:rFonts w:ascii="宋体" w:eastAsia="宋体" w:hAnsi="宋体" w:cs="Times New Roman"/>
                <w:color w:val="auto"/>
              </w:rPr>
            </w:pPr>
          </w:p>
        </w:tc>
        <w:tc>
          <w:tcPr>
            <w:tcW w:w="10612" w:type="dxa"/>
            <w:gridSpan w:val="8"/>
            <w:tcBorders>
              <w:top w:val="single" w:sz="4" w:space="0" w:color="FFFFFF"/>
              <w:left w:val="single" w:sz="4" w:space="0" w:color="FFFFFF"/>
              <w:bottom w:val="single" w:sz="4" w:space="0" w:color="FFFFFF"/>
              <w:right w:val="single" w:sz="4" w:space="0" w:color="FFFFFF"/>
            </w:tcBorders>
            <w:shd w:val="clear" w:color="auto" w:fill="FFFFFF"/>
            <w:vAlign w:val="center"/>
          </w:tcPr>
          <w:p w:rsidR="004B07C4" w:rsidRPr="00A03549" w:rsidRDefault="004B07C4">
            <w:pPr>
              <w:spacing w:line="330" w:lineRule="exact"/>
              <w:ind w:left="20"/>
              <w:rPr>
                <w:rFonts w:ascii="宋体" w:eastAsia="宋体" w:hAnsi="宋体" w:cs="微软雅黑"/>
              </w:rPr>
            </w:pPr>
            <w:r w:rsidRPr="00A03549">
              <w:rPr>
                <w:rFonts w:ascii="宋体" w:eastAsia="宋体" w:hAnsi="宋体" w:cs="微软雅黑" w:hint="eastAsia"/>
              </w:rPr>
              <w:t>无。</w:t>
            </w:r>
          </w:p>
        </w:tc>
      </w:tr>
    </w:tbl>
    <w:p w:rsidR="004B07C4" w:rsidRPr="00A03549" w:rsidRDefault="00445829" w:rsidP="00445829">
      <w:pPr>
        <w:jc w:val="right"/>
        <w:rPr>
          <w:rFonts w:ascii="宋体" w:eastAsia="宋体" w:hAnsi="宋体" w:cs="Times New Roman"/>
          <w:b/>
          <w:color w:val="auto"/>
          <w:sz w:val="32"/>
          <w:szCs w:val="32"/>
        </w:rPr>
      </w:pPr>
      <w:r w:rsidRPr="00A03549">
        <w:rPr>
          <w:rFonts w:ascii="宋体" w:eastAsia="宋体" w:hAnsi="宋体" w:cs="Times New Roman" w:hint="eastAsia"/>
          <w:b/>
          <w:color w:val="auto"/>
          <w:sz w:val="32"/>
          <w:szCs w:val="32"/>
        </w:rPr>
        <w:t>江苏太仓农村商业银行股份有限公司</w:t>
      </w:r>
    </w:p>
    <w:p w:rsidR="00445829" w:rsidRPr="00A03549" w:rsidRDefault="00445829" w:rsidP="00445829">
      <w:pPr>
        <w:jc w:val="right"/>
        <w:rPr>
          <w:rFonts w:ascii="宋体" w:eastAsia="宋体" w:hAnsi="宋体" w:cs="Times New Roman"/>
          <w:b/>
          <w:color w:val="auto"/>
          <w:sz w:val="32"/>
          <w:szCs w:val="32"/>
        </w:rPr>
      </w:pPr>
      <w:r w:rsidRPr="00A03549">
        <w:rPr>
          <w:rFonts w:ascii="宋体" w:eastAsia="宋体" w:hAnsi="宋体" w:cs="Times New Roman"/>
          <w:b/>
          <w:color w:val="auto"/>
          <w:sz w:val="32"/>
          <w:szCs w:val="32"/>
        </w:rPr>
        <w:t>2026</w:t>
      </w:r>
      <w:r w:rsidRPr="00A03549">
        <w:rPr>
          <w:rFonts w:ascii="宋体" w:eastAsia="宋体" w:hAnsi="宋体" w:cs="Times New Roman" w:hint="eastAsia"/>
          <w:b/>
          <w:color w:val="auto"/>
          <w:sz w:val="32"/>
          <w:szCs w:val="32"/>
        </w:rPr>
        <w:t>年</w:t>
      </w:r>
      <w:r w:rsidRPr="00A03549">
        <w:rPr>
          <w:rFonts w:ascii="宋体" w:eastAsia="宋体" w:hAnsi="宋体" w:cs="Times New Roman"/>
          <w:b/>
          <w:color w:val="auto"/>
          <w:sz w:val="32"/>
          <w:szCs w:val="32"/>
        </w:rPr>
        <w:t>4</w:t>
      </w:r>
      <w:r w:rsidRPr="00A03549">
        <w:rPr>
          <w:rFonts w:ascii="宋体" w:eastAsia="宋体" w:hAnsi="宋体" w:cs="Times New Roman" w:hint="eastAsia"/>
          <w:b/>
          <w:color w:val="auto"/>
          <w:sz w:val="32"/>
          <w:szCs w:val="32"/>
        </w:rPr>
        <w:t>月</w:t>
      </w:r>
      <w:r w:rsidRPr="00A03549">
        <w:rPr>
          <w:rFonts w:ascii="宋体" w:eastAsia="宋体" w:hAnsi="宋体" w:cs="Times New Roman"/>
          <w:b/>
          <w:color w:val="auto"/>
          <w:sz w:val="32"/>
          <w:szCs w:val="32"/>
        </w:rPr>
        <w:t>20</w:t>
      </w:r>
      <w:r w:rsidRPr="00A03549">
        <w:rPr>
          <w:rFonts w:ascii="宋体" w:eastAsia="宋体" w:hAnsi="宋体" w:cs="Times New Roman" w:hint="eastAsia"/>
          <w:b/>
          <w:color w:val="auto"/>
          <w:sz w:val="32"/>
          <w:szCs w:val="32"/>
        </w:rPr>
        <w:t>日</w:t>
      </w:r>
    </w:p>
    <w:sectPr w:rsidR="00445829" w:rsidRPr="00A03549">
      <w:pgSz w:w="13606" w:h="15840"/>
      <w:pgMar w:top="388" w:right="1080" w:bottom="388"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0E" w:rsidRDefault="007D540E" w:rsidP="00445829">
      <w:r>
        <w:separator/>
      </w:r>
    </w:p>
  </w:endnote>
  <w:endnote w:type="continuationSeparator" w:id="0">
    <w:p w:rsidR="007D540E" w:rsidRDefault="007D540E" w:rsidP="00445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0E" w:rsidRDefault="007D540E" w:rsidP="00445829">
      <w:r>
        <w:separator/>
      </w:r>
    </w:p>
  </w:footnote>
  <w:footnote w:type="continuationSeparator" w:id="0">
    <w:p w:rsidR="007D540E" w:rsidRDefault="007D540E" w:rsidP="004458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530"/>
    <w:rsid w:val="00445829"/>
    <w:rsid w:val="004B07C4"/>
    <w:rsid w:val="007B7755"/>
    <w:rsid w:val="007D540E"/>
    <w:rsid w:val="00A03549"/>
    <w:rsid w:val="00D5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8069CBD-6C70-47D5-94A8-7F05D401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zh-CN" w:bidi="ar-SA"/>
      </w:rPr>
    </w:rPrDefault>
    <w:pPrDefault/>
  </w:docDefaults>
  <w:latentStyles w:defLockedState="0" w:defUIPriority="99" w:defSemiHidden="0" w:defUnhideWhenUsed="0" w:defQFormat="0" w:count="371">
    <w:lsdException w:name="Normal"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color w:val="000000"/>
      <w:kern w:val="0"/>
      <w:sz w:val="24"/>
      <w:szCs w:val="24"/>
    </w:rPr>
  </w:style>
  <w:style w:type="paragraph" w:styleId="1">
    <w:name w:val="heading 1"/>
    <w:basedOn w:val="a"/>
    <w:next w:val="a"/>
    <w:link w:val="10"/>
    <w:uiPriority w:val="9"/>
    <w:qFormat/>
    <w:pPr>
      <w:outlineLvl w:val="0"/>
    </w:pPr>
    <w:rPr>
      <w:b/>
      <w:bCs/>
      <w:sz w:val="32"/>
      <w:szCs w:val="32"/>
    </w:rPr>
  </w:style>
  <w:style w:type="paragraph" w:styleId="2">
    <w:name w:val="heading 2"/>
    <w:basedOn w:val="a"/>
    <w:next w:val="a"/>
    <w:link w:val="20"/>
    <w:uiPriority w:val="99"/>
    <w:qFormat/>
    <w:pPr>
      <w:outlineLvl w:val="1"/>
    </w:pPr>
    <w:rPr>
      <w:b/>
      <w:bCs/>
      <w:i/>
      <w:iCs/>
      <w:sz w:val="28"/>
      <w:szCs w:val="28"/>
    </w:rPr>
  </w:style>
  <w:style w:type="paragraph" w:styleId="3">
    <w:name w:val="heading 3"/>
    <w:basedOn w:val="a"/>
    <w:next w:val="a"/>
    <w:link w:val="30"/>
    <w:uiPriority w:val="99"/>
    <w:qFormat/>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locked/>
    <w:rPr>
      <w:rFonts w:cs="Times New Roman"/>
      <w:b/>
      <w:bCs/>
      <w:kern w:val="44"/>
      <w:sz w:val="44"/>
      <w:szCs w:val="44"/>
    </w:rPr>
  </w:style>
  <w:style w:type="character" w:customStyle="1" w:styleId="20">
    <w:name w:val="标题 2 字符"/>
    <w:basedOn w:val="a0"/>
    <w:link w:val="2"/>
    <w:uiPriority w:val="9"/>
    <w:semiHidden/>
    <w:locked/>
    <w:rPr>
      <w:rFonts w:asciiTheme="majorHAnsi" w:eastAsiaTheme="majorEastAsia" w:hAnsiTheme="majorHAnsi" w:cs="Times New Roman"/>
      <w:b/>
      <w:bCs/>
      <w:sz w:val="32"/>
      <w:szCs w:val="32"/>
    </w:rPr>
  </w:style>
  <w:style w:type="character" w:customStyle="1" w:styleId="30">
    <w:name w:val="标题 3 字符"/>
    <w:basedOn w:val="a0"/>
    <w:link w:val="3"/>
    <w:uiPriority w:val="9"/>
    <w:semiHidden/>
    <w:locked/>
    <w:rPr>
      <w:rFonts w:cs="Times New Roman"/>
      <w:b/>
      <w:bCs/>
      <w:sz w:val="32"/>
      <w:szCs w:val="32"/>
    </w:rPr>
  </w:style>
  <w:style w:type="paragraph" w:styleId="a3">
    <w:name w:val="header"/>
    <w:basedOn w:val="a"/>
    <w:link w:val="a4"/>
    <w:uiPriority w:val="99"/>
    <w:unhideWhenUsed/>
    <w:rsid w:val="0044582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locked/>
    <w:rsid w:val="00445829"/>
    <w:rPr>
      <w:rFonts w:ascii="Arial" w:hAnsi="Arial" w:cs="Arial"/>
      <w:color w:val="000000"/>
      <w:kern w:val="0"/>
      <w:sz w:val="18"/>
      <w:szCs w:val="18"/>
    </w:rPr>
  </w:style>
  <w:style w:type="paragraph" w:styleId="a5">
    <w:name w:val="footer"/>
    <w:basedOn w:val="a"/>
    <w:link w:val="a6"/>
    <w:uiPriority w:val="99"/>
    <w:unhideWhenUsed/>
    <w:rsid w:val="00445829"/>
    <w:pPr>
      <w:tabs>
        <w:tab w:val="center" w:pos="4153"/>
        <w:tab w:val="right" w:pos="8306"/>
      </w:tabs>
      <w:snapToGrid w:val="0"/>
    </w:pPr>
    <w:rPr>
      <w:sz w:val="18"/>
      <w:szCs w:val="18"/>
    </w:rPr>
  </w:style>
  <w:style w:type="character" w:customStyle="1" w:styleId="a6">
    <w:name w:val="页脚 字符"/>
    <w:basedOn w:val="a0"/>
    <w:link w:val="a5"/>
    <w:uiPriority w:val="99"/>
    <w:locked/>
    <w:rsid w:val="00445829"/>
    <w:rPr>
      <w:rFonts w:ascii="Arial" w:hAnsi="Arial" w:cs="Arial"/>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528</Words>
  <Characters>3013</Characters>
  <Application>Microsoft Office Word</Application>
  <DocSecurity>0</DocSecurity>
  <Lines>25</Lines>
  <Paragraphs>7</Paragraphs>
  <ScaleCrop>false</ScaleCrop>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顾敏菊</dc:creator>
  <cp:keywords/>
  <dc:description/>
  <cp:lastModifiedBy>顾敏菊</cp:lastModifiedBy>
  <cp:revision>2</cp:revision>
  <dcterms:created xsi:type="dcterms:W3CDTF">2026-04-28T05:41:00Z</dcterms:created>
  <dcterms:modified xsi:type="dcterms:W3CDTF">2026-04-28T05:41:00Z</dcterms:modified>
</cp:coreProperties>
</file>