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37" w:type="pct"/>
        <w:tblLook w:val="04A0" w:firstRow="1" w:lastRow="0" w:firstColumn="1" w:lastColumn="0" w:noHBand="0" w:noVBand="1"/>
      </w:tblPr>
      <w:tblGrid>
        <w:gridCol w:w="617"/>
        <w:gridCol w:w="1516"/>
        <w:gridCol w:w="929"/>
        <w:gridCol w:w="468"/>
        <w:gridCol w:w="470"/>
        <w:gridCol w:w="227"/>
        <w:gridCol w:w="220"/>
        <w:gridCol w:w="766"/>
        <w:gridCol w:w="235"/>
        <w:gridCol w:w="518"/>
        <w:gridCol w:w="246"/>
        <w:gridCol w:w="222"/>
        <w:gridCol w:w="38"/>
        <w:gridCol w:w="184"/>
        <w:gridCol w:w="228"/>
        <w:gridCol w:w="86"/>
        <w:gridCol w:w="14"/>
        <w:gridCol w:w="503"/>
        <w:gridCol w:w="163"/>
        <w:gridCol w:w="657"/>
        <w:gridCol w:w="98"/>
        <w:gridCol w:w="81"/>
        <w:gridCol w:w="428"/>
        <w:gridCol w:w="391"/>
        <w:gridCol w:w="113"/>
        <w:gridCol w:w="503"/>
        <w:gridCol w:w="772"/>
      </w:tblGrid>
      <w:tr w:rsidR="00AD1AE3" w:rsidRPr="00AD1AE3" w:rsidTr="00AD1AE3">
        <w:trPr>
          <w:gridAfter w:val="6"/>
          <w:wAfter w:w="1071" w:type="pct"/>
          <w:trHeight w:val="540"/>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jc w:val="center"/>
              <w:rPr>
                <w:rFonts w:ascii="宋体" w:eastAsia="宋体" w:hAnsi="宋体" w:cs="Courier New"/>
                <w:b/>
                <w:bCs/>
                <w:color w:val="000000"/>
                <w:kern w:val="0"/>
                <w:sz w:val="36"/>
                <w:szCs w:val="36"/>
              </w:rPr>
            </w:pPr>
            <w:r w:rsidRPr="00AD1AE3">
              <w:rPr>
                <w:rFonts w:ascii="宋体" w:eastAsia="宋体" w:hAnsi="宋体" w:cs="Courier New"/>
                <w:b/>
                <w:bCs/>
                <w:color w:val="000000"/>
                <w:kern w:val="0"/>
                <w:sz w:val="36"/>
                <w:szCs w:val="36"/>
              </w:rPr>
              <w:t>“</w:t>
            </w:r>
            <w:r w:rsidRPr="00AD1AE3">
              <w:rPr>
                <w:rFonts w:ascii="宋体" w:eastAsia="宋体" w:hAnsi="宋体" w:cs="Courier New" w:hint="eastAsia"/>
                <w:b/>
                <w:bCs/>
                <w:color w:val="000000"/>
                <w:kern w:val="0"/>
                <w:sz w:val="36"/>
                <w:szCs w:val="36"/>
              </w:rPr>
              <w:t>惠得利</w:t>
            </w:r>
            <w:r w:rsidRPr="00AD1AE3">
              <w:rPr>
                <w:rFonts w:ascii="宋体" w:eastAsia="宋体" w:hAnsi="宋体" w:cs="Courier New"/>
                <w:b/>
                <w:bCs/>
                <w:color w:val="000000"/>
                <w:kern w:val="0"/>
                <w:sz w:val="36"/>
                <w:szCs w:val="36"/>
              </w:rPr>
              <w:t>18</w:t>
            </w:r>
            <w:r w:rsidRPr="00AD1AE3">
              <w:rPr>
                <w:rFonts w:ascii="宋体" w:eastAsia="宋体" w:hAnsi="宋体" w:cs="Courier New" w:hint="eastAsia"/>
                <w:b/>
                <w:bCs/>
                <w:color w:val="000000"/>
                <w:kern w:val="0"/>
                <w:sz w:val="36"/>
                <w:szCs w:val="36"/>
              </w:rPr>
              <w:t>号</w:t>
            </w:r>
            <w:r w:rsidRPr="00AD1AE3">
              <w:rPr>
                <w:rFonts w:ascii="宋体" w:eastAsia="宋体" w:hAnsi="宋体" w:cs="Courier New"/>
                <w:b/>
                <w:bCs/>
                <w:color w:val="000000"/>
                <w:kern w:val="0"/>
                <w:sz w:val="36"/>
                <w:szCs w:val="36"/>
              </w:rPr>
              <w:t>”</w:t>
            </w:r>
            <w:r w:rsidRPr="00AD1AE3">
              <w:rPr>
                <w:rFonts w:ascii="宋体" w:eastAsia="宋体" w:hAnsi="宋体" w:cs="Courier New" w:hint="eastAsia"/>
                <w:b/>
                <w:bCs/>
                <w:color w:val="000000"/>
                <w:kern w:val="0"/>
                <w:sz w:val="36"/>
                <w:szCs w:val="36"/>
              </w:rPr>
              <w:t>封闭式净值型人民币理财产品</w:t>
            </w:r>
            <w:r w:rsidRPr="00AD1AE3">
              <w:rPr>
                <w:rFonts w:ascii="宋体" w:eastAsia="宋体" w:hAnsi="宋体" w:cs="Courier New"/>
                <w:b/>
                <w:bCs/>
                <w:color w:val="000000"/>
                <w:kern w:val="0"/>
                <w:sz w:val="36"/>
                <w:szCs w:val="36"/>
              </w:rPr>
              <w:t>2025</w:t>
            </w:r>
            <w:r w:rsidRPr="00AD1AE3">
              <w:rPr>
                <w:rFonts w:ascii="宋体" w:eastAsia="宋体" w:hAnsi="宋体" w:cs="Courier New" w:hint="eastAsia"/>
                <w:b/>
                <w:bCs/>
                <w:color w:val="000000"/>
                <w:kern w:val="0"/>
                <w:sz w:val="36"/>
                <w:szCs w:val="36"/>
              </w:rPr>
              <w:t>年年报</w:t>
            </w:r>
          </w:p>
        </w:tc>
      </w:tr>
      <w:tr w:rsidR="00AD1AE3" w:rsidRPr="00AD1AE3" w:rsidTr="00AD1AE3">
        <w:trPr>
          <w:gridAfter w:val="6"/>
          <w:wAfter w:w="1071" w:type="pct"/>
          <w:trHeight w:val="285"/>
        </w:trPr>
        <w:tc>
          <w:tcPr>
            <w:tcW w:w="1433" w:type="pct"/>
            <w:gridSpan w:val="3"/>
            <w:tcBorders>
              <w:top w:val="nil"/>
              <w:left w:val="nil"/>
              <w:bottom w:val="nil"/>
              <w:right w:val="nil"/>
            </w:tcBorders>
            <w:shd w:val="clear" w:color="auto" w:fill="auto"/>
            <w:vAlign w:val="center"/>
            <w:hideMark/>
          </w:tcPr>
          <w:p w:rsidR="00AD1AE3" w:rsidRPr="00AD1AE3" w:rsidRDefault="00AD1AE3" w:rsidP="00AD1AE3">
            <w:pPr>
              <w:widowControl/>
              <w:jc w:val="center"/>
              <w:rPr>
                <w:rFonts w:ascii="宋体" w:eastAsia="宋体" w:hAnsi="宋体" w:cs="Courier New"/>
                <w:b/>
                <w:bCs/>
                <w:color w:val="000000"/>
                <w:kern w:val="0"/>
                <w:sz w:val="40"/>
                <w:szCs w:val="40"/>
              </w:rPr>
            </w:pPr>
          </w:p>
        </w:tc>
        <w:tc>
          <w:tcPr>
            <w:tcW w:w="21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277" w:type="pct"/>
            <w:gridSpan w:val="17"/>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36"/>
                <w:szCs w:val="36"/>
              </w:rPr>
            </w:pPr>
          </w:p>
        </w:tc>
      </w:tr>
      <w:tr w:rsidR="00AD1AE3" w:rsidRPr="00AD1AE3" w:rsidTr="00AD1AE3">
        <w:trPr>
          <w:gridAfter w:val="6"/>
          <w:wAfter w:w="1071" w:type="pct"/>
          <w:trHeight w:val="285"/>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产品管理人：江苏太仓农村商业银行股份有限公司</w:t>
            </w:r>
          </w:p>
        </w:tc>
      </w:tr>
      <w:tr w:rsidR="00AD1AE3" w:rsidRPr="00AD1AE3" w:rsidTr="00AD1AE3">
        <w:trPr>
          <w:gridAfter w:val="6"/>
          <w:wAfter w:w="1071" w:type="pct"/>
          <w:trHeight w:val="285"/>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产品托管人：南京银行股份有限公司</w:t>
            </w:r>
          </w:p>
        </w:tc>
      </w:tr>
      <w:tr w:rsidR="00AD1AE3" w:rsidRPr="00AD1AE3" w:rsidTr="00AD1AE3">
        <w:trPr>
          <w:gridAfter w:val="6"/>
          <w:wAfter w:w="1071" w:type="pct"/>
          <w:trHeight w:val="285"/>
        </w:trPr>
        <w:tc>
          <w:tcPr>
            <w:tcW w:w="1433" w:type="pct"/>
            <w:gridSpan w:val="3"/>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宋体"/>
                <w:color w:val="000000"/>
                <w:kern w:val="0"/>
                <w:sz w:val="20"/>
                <w:szCs w:val="20"/>
              </w:rPr>
            </w:pPr>
          </w:p>
        </w:tc>
        <w:tc>
          <w:tcPr>
            <w:tcW w:w="21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277" w:type="pct"/>
            <w:gridSpan w:val="17"/>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r>
      <w:tr w:rsidR="00AD1AE3" w:rsidRPr="00AD1AE3" w:rsidTr="00AD1AE3">
        <w:trPr>
          <w:gridAfter w:val="6"/>
          <w:wAfter w:w="1071" w:type="pct"/>
          <w:trHeight w:val="285"/>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1  重要提示</w:t>
            </w:r>
          </w:p>
        </w:tc>
      </w:tr>
      <w:tr w:rsidR="00AD1AE3" w:rsidRPr="00AD1AE3" w:rsidTr="00AD1AE3">
        <w:trPr>
          <w:gridAfter w:val="6"/>
          <w:wAfter w:w="1071" w:type="pct"/>
          <w:trHeight w:val="426"/>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AD1AE3" w:rsidRPr="00AD1AE3" w:rsidTr="00AD1AE3">
        <w:trPr>
          <w:gridAfter w:val="6"/>
          <w:wAfter w:w="1071" w:type="pct"/>
          <w:trHeight w:val="285"/>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 xml:space="preserve">    本报告期自2025年09月17日起至12月31日止。</w:t>
            </w:r>
          </w:p>
        </w:tc>
      </w:tr>
      <w:tr w:rsidR="00AD1AE3" w:rsidRPr="00AD1AE3" w:rsidTr="00AD1AE3">
        <w:trPr>
          <w:gridAfter w:val="6"/>
          <w:wAfter w:w="1071" w:type="pct"/>
          <w:trHeight w:val="285"/>
        </w:trPr>
        <w:tc>
          <w:tcPr>
            <w:tcW w:w="1433" w:type="pct"/>
            <w:gridSpan w:val="3"/>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p>
        </w:tc>
        <w:tc>
          <w:tcPr>
            <w:tcW w:w="21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277" w:type="pct"/>
            <w:gridSpan w:val="17"/>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r>
      <w:tr w:rsidR="00AD1AE3" w:rsidRPr="00AD1AE3" w:rsidTr="00AD1AE3">
        <w:trPr>
          <w:gridAfter w:val="6"/>
          <w:wAfter w:w="1071" w:type="pct"/>
          <w:trHeight w:val="300"/>
        </w:trPr>
        <w:tc>
          <w:tcPr>
            <w:tcW w:w="3929" w:type="pct"/>
            <w:gridSpan w:val="21"/>
            <w:tcBorders>
              <w:top w:val="nil"/>
              <w:left w:val="nil"/>
              <w:bottom w:val="single" w:sz="8" w:space="0" w:color="000000"/>
              <w:right w:val="nil"/>
            </w:tcBorders>
            <w:shd w:val="clear" w:color="auto" w:fill="auto"/>
            <w:vAlign w:val="center"/>
            <w:hideMark/>
          </w:tcPr>
          <w:p w:rsidR="00AD1AE3" w:rsidRPr="00AD1AE3" w:rsidRDefault="00AD1AE3" w:rsidP="00AD1AE3">
            <w:pPr>
              <w:widowControl/>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2  产品概况</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产品名称</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惠得利18号</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产品编码</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25HDL06</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全国银行业理财信息登记系统编码</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C1115725000007</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产品运作方式</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封闭式净值型</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产品类型</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固定收益类</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募集方式</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公募</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报告期末产品份额总额</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44,850,000.00</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产品管理人</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江苏太仓农村商业银行股份有限公司</w:t>
            </w:r>
          </w:p>
        </w:tc>
      </w:tr>
      <w:tr w:rsidR="00AD1AE3" w:rsidRPr="00AD1AE3" w:rsidTr="00AD1AE3">
        <w:trPr>
          <w:gridAfter w:val="6"/>
          <w:wAfter w:w="1071" w:type="pct"/>
          <w:trHeight w:val="300"/>
        </w:trPr>
        <w:tc>
          <w:tcPr>
            <w:tcW w:w="1652"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宋体"/>
                <w:b/>
                <w:bCs/>
                <w:color w:val="000000"/>
                <w:kern w:val="0"/>
                <w:sz w:val="20"/>
                <w:szCs w:val="20"/>
              </w:rPr>
            </w:pPr>
            <w:r w:rsidRPr="00AD1AE3">
              <w:rPr>
                <w:rFonts w:ascii="宋体" w:eastAsia="宋体" w:hAnsi="宋体" w:cs="宋体" w:hint="eastAsia"/>
                <w:b/>
                <w:bCs/>
                <w:color w:val="000000"/>
                <w:kern w:val="0"/>
                <w:sz w:val="20"/>
                <w:szCs w:val="20"/>
              </w:rPr>
              <w:t>产品托管人</w:t>
            </w:r>
          </w:p>
        </w:tc>
        <w:tc>
          <w:tcPr>
            <w:tcW w:w="2277" w:type="pct"/>
            <w:gridSpan w:val="17"/>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南京银行股份有限公司</w:t>
            </w:r>
          </w:p>
        </w:tc>
      </w:tr>
      <w:tr w:rsidR="00AD1AE3" w:rsidRPr="00AD1AE3" w:rsidTr="00AD1AE3">
        <w:trPr>
          <w:gridAfter w:val="6"/>
          <w:wAfter w:w="1071" w:type="pct"/>
          <w:trHeight w:val="285"/>
        </w:trPr>
        <w:tc>
          <w:tcPr>
            <w:tcW w:w="1433" w:type="pct"/>
            <w:gridSpan w:val="3"/>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宋体"/>
                <w:color w:val="000000"/>
                <w:kern w:val="0"/>
                <w:sz w:val="20"/>
                <w:szCs w:val="20"/>
              </w:rPr>
            </w:pPr>
          </w:p>
        </w:tc>
        <w:tc>
          <w:tcPr>
            <w:tcW w:w="21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277" w:type="pct"/>
            <w:gridSpan w:val="17"/>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r>
      <w:tr w:rsidR="00AD1AE3" w:rsidRPr="00AD1AE3" w:rsidTr="00AD1AE3">
        <w:trPr>
          <w:gridAfter w:val="6"/>
          <w:wAfter w:w="1071" w:type="pct"/>
          <w:trHeight w:val="285"/>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3  主要财务指标和产品净值表现</w:t>
            </w:r>
          </w:p>
        </w:tc>
      </w:tr>
      <w:tr w:rsidR="00AD1AE3" w:rsidRPr="00AD1AE3" w:rsidTr="00AD1AE3">
        <w:trPr>
          <w:gridAfter w:val="6"/>
          <w:wAfter w:w="1071" w:type="pct"/>
          <w:trHeight w:val="285"/>
        </w:trPr>
        <w:tc>
          <w:tcPr>
            <w:tcW w:w="1433" w:type="pct"/>
            <w:gridSpan w:val="3"/>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3.1 主要财务指标</w:t>
            </w:r>
          </w:p>
        </w:tc>
        <w:tc>
          <w:tcPr>
            <w:tcW w:w="2496" w:type="pct"/>
            <w:gridSpan w:val="18"/>
            <w:tcBorders>
              <w:top w:val="nil"/>
              <w:left w:val="nil"/>
              <w:bottom w:val="nil"/>
              <w:right w:val="nil"/>
            </w:tcBorders>
            <w:shd w:val="clear" w:color="auto" w:fill="auto"/>
            <w:vAlign w:val="center"/>
            <w:hideMark/>
          </w:tcPr>
          <w:p w:rsidR="00AD1AE3" w:rsidRPr="00AD1AE3" w:rsidRDefault="00AD1AE3" w:rsidP="00AD1AE3">
            <w:pPr>
              <w:widowControl/>
              <w:jc w:val="righ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（单位：元）</w:t>
            </w:r>
          </w:p>
        </w:tc>
      </w:tr>
      <w:tr w:rsidR="00AD1AE3" w:rsidRPr="00AD1AE3" w:rsidTr="00AD1AE3">
        <w:trPr>
          <w:gridAfter w:val="6"/>
          <w:wAfter w:w="1071" w:type="pct"/>
          <w:trHeight w:val="300"/>
        </w:trPr>
        <w:tc>
          <w:tcPr>
            <w:tcW w:w="1433" w:type="pct"/>
            <w:gridSpan w:val="3"/>
            <w:tcBorders>
              <w:top w:val="nil"/>
              <w:left w:val="nil"/>
              <w:bottom w:val="single" w:sz="8" w:space="0" w:color="000000"/>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r w:rsidRPr="00AD1AE3">
              <w:rPr>
                <w:rFonts w:ascii="宋体" w:eastAsia="宋体" w:hAnsi="宋体" w:cs="Times New Roman"/>
                <w:color w:val="000000"/>
                <w:kern w:val="0"/>
                <w:sz w:val="2"/>
                <w:szCs w:val="2"/>
              </w:rPr>
              <w:t xml:space="preserve">　</w:t>
            </w:r>
          </w:p>
        </w:tc>
        <w:tc>
          <w:tcPr>
            <w:tcW w:w="21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p>
        </w:tc>
        <w:tc>
          <w:tcPr>
            <w:tcW w:w="2277" w:type="pct"/>
            <w:gridSpan w:val="17"/>
            <w:tcBorders>
              <w:top w:val="nil"/>
              <w:left w:val="nil"/>
              <w:bottom w:val="single" w:sz="8" w:space="0" w:color="000000"/>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r w:rsidRPr="00AD1AE3">
              <w:rPr>
                <w:rFonts w:ascii="宋体" w:eastAsia="宋体" w:hAnsi="宋体" w:cs="Times New Roman"/>
                <w:color w:val="000000"/>
                <w:kern w:val="0"/>
                <w:sz w:val="2"/>
                <w:szCs w:val="2"/>
              </w:rPr>
              <w:t xml:space="preserve">　</w:t>
            </w:r>
          </w:p>
        </w:tc>
      </w:tr>
      <w:tr w:rsidR="00AD1AE3" w:rsidRPr="00AD1AE3" w:rsidTr="00AD1AE3">
        <w:trPr>
          <w:gridAfter w:val="6"/>
          <w:wAfter w:w="1071" w:type="pct"/>
          <w:trHeight w:val="300"/>
        </w:trPr>
        <w:tc>
          <w:tcPr>
            <w:tcW w:w="1433"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主要财务指标</w:t>
            </w:r>
          </w:p>
        </w:tc>
        <w:tc>
          <w:tcPr>
            <w:tcW w:w="2496" w:type="pct"/>
            <w:gridSpan w:val="1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报告期（2025年09月17日-2025年12月31日）</w:t>
            </w:r>
          </w:p>
        </w:tc>
      </w:tr>
      <w:tr w:rsidR="00AD1AE3" w:rsidRPr="00AD1AE3" w:rsidTr="00AD1AE3">
        <w:trPr>
          <w:gridAfter w:val="6"/>
          <w:wAfter w:w="1071" w:type="pct"/>
          <w:trHeight w:val="300"/>
        </w:trPr>
        <w:tc>
          <w:tcPr>
            <w:tcW w:w="1433"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w:t>
            </w:r>
            <w:r w:rsidRPr="00AD1AE3">
              <w:rPr>
                <w:rFonts w:ascii="宋体" w:eastAsia="宋体" w:hAnsi="宋体" w:cs="Times New Roman" w:hint="eastAsia"/>
                <w:color w:val="000000"/>
                <w:kern w:val="0"/>
                <w:sz w:val="20"/>
                <w:szCs w:val="20"/>
              </w:rPr>
              <w:t>期末产品资产净值</w:t>
            </w:r>
          </w:p>
        </w:tc>
        <w:tc>
          <w:tcPr>
            <w:tcW w:w="2496" w:type="pct"/>
            <w:gridSpan w:val="1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45,149,573.42</w:t>
            </w:r>
          </w:p>
        </w:tc>
      </w:tr>
      <w:tr w:rsidR="00AD1AE3" w:rsidRPr="00AD1AE3" w:rsidTr="00AD1AE3">
        <w:trPr>
          <w:gridAfter w:val="6"/>
          <w:wAfter w:w="1071" w:type="pct"/>
          <w:trHeight w:val="300"/>
        </w:trPr>
        <w:tc>
          <w:tcPr>
            <w:tcW w:w="1433"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2.</w:t>
            </w:r>
            <w:r w:rsidRPr="00AD1AE3">
              <w:rPr>
                <w:rFonts w:ascii="宋体" w:eastAsia="宋体" w:hAnsi="宋体" w:cs="Times New Roman" w:hint="eastAsia"/>
                <w:color w:val="000000"/>
                <w:kern w:val="0"/>
                <w:sz w:val="20"/>
                <w:szCs w:val="20"/>
              </w:rPr>
              <w:t>期末产品份额净值</w:t>
            </w:r>
          </w:p>
        </w:tc>
        <w:tc>
          <w:tcPr>
            <w:tcW w:w="2496" w:type="pct"/>
            <w:gridSpan w:val="1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1.00667945</w:t>
            </w:r>
          </w:p>
        </w:tc>
      </w:tr>
      <w:tr w:rsidR="00AD1AE3" w:rsidRPr="00AD1AE3" w:rsidTr="00AD1AE3">
        <w:trPr>
          <w:gridAfter w:val="6"/>
          <w:wAfter w:w="1071" w:type="pct"/>
          <w:trHeight w:val="300"/>
        </w:trPr>
        <w:tc>
          <w:tcPr>
            <w:tcW w:w="1433"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3.</w:t>
            </w:r>
            <w:r w:rsidRPr="00AD1AE3">
              <w:rPr>
                <w:rFonts w:ascii="宋体" w:eastAsia="宋体" w:hAnsi="宋体" w:cs="Times New Roman" w:hint="eastAsia"/>
                <w:color w:val="000000"/>
                <w:kern w:val="0"/>
                <w:sz w:val="20"/>
                <w:szCs w:val="20"/>
              </w:rPr>
              <w:t>期末产品份额累计净值</w:t>
            </w:r>
          </w:p>
        </w:tc>
        <w:tc>
          <w:tcPr>
            <w:tcW w:w="2496" w:type="pct"/>
            <w:gridSpan w:val="1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1.00667945</w:t>
            </w:r>
          </w:p>
        </w:tc>
      </w:tr>
      <w:tr w:rsidR="00AD1AE3" w:rsidRPr="00AD1AE3" w:rsidTr="00AD1AE3">
        <w:trPr>
          <w:gridAfter w:val="6"/>
          <w:wAfter w:w="1071" w:type="pct"/>
          <w:trHeight w:val="285"/>
        </w:trPr>
        <w:tc>
          <w:tcPr>
            <w:tcW w:w="28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p>
        </w:tc>
        <w:tc>
          <w:tcPr>
            <w:tcW w:w="1143"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439"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06"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050" w:type="pct"/>
            <w:gridSpan w:val="7"/>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38" w:type="pct"/>
            <w:gridSpan w:val="4"/>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663" w:type="pct"/>
            <w:gridSpan w:val="4"/>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r>
      <w:tr w:rsidR="00AD1AE3" w:rsidRPr="00AD1AE3" w:rsidTr="00AD1AE3">
        <w:trPr>
          <w:gridAfter w:val="6"/>
          <w:wAfter w:w="1071" w:type="pct"/>
          <w:trHeight w:val="285"/>
        </w:trPr>
        <w:tc>
          <w:tcPr>
            <w:tcW w:w="3929" w:type="pct"/>
            <w:gridSpan w:val="21"/>
            <w:tcBorders>
              <w:top w:val="nil"/>
              <w:left w:val="nil"/>
              <w:bottom w:val="nil"/>
              <w:right w:val="nil"/>
            </w:tcBorders>
            <w:shd w:val="clear" w:color="auto" w:fill="auto"/>
            <w:vAlign w:val="center"/>
            <w:hideMark/>
          </w:tcPr>
          <w:p w:rsidR="00AD1AE3" w:rsidRPr="00AD1AE3" w:rsidRDefault="00AD1AE3" w:rsidP="00AD1AE3">
            <w:pPr>
              <w:widowControl/>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4  投资组合报告</w:t>
            </w:r>
          </w:p>
        </w:tc>
      </w:tr>
      <w:tr w:rsidR="00AD1AE3" w:rsidRPr="00AD1AE3" w:rsidTr="00AD1AE3">
        <w:trPr>
          <w:gridAfter w:val="6"/>
          <w:wAfter w:w="1071" w:type="pct"/>
          <w:trHeight w:val="300"/>
        </w:trPr>
        <w:tc>
          <w:tcPr>
            <w:tcW w:w="3929" w:type="pct"/>
            <w:gridSpan w:val="21"/>
            <w:tcBorders>
              <w:top w:val="nil"/>
              <w:left w:val="nil"/>
              <w:bottom w:val="single" w:sz="8" w:space="0" w:color="000000"/>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4.1 报告期末产品资产组合情况</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序号</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项目</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金额（元）</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占产品总资产的比例（%）</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固定收益投资</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44,461,911.73</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96.00%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其中：债券</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6A5D32">
            <w:pPr>
              <w:widowControl/>
              <w:jc w:val="center"/>
              <w:rPr>
                <w:rFonts w:ascii="宋体" w:eastAsia="宋体" w:hAnsi="宋体" w:cs="Times New Roman"/>
                <w:color w:val="000000"/>
                <w:kern w:val="0"/>
                <w:sz w:val="20"/>
                <w:szCs w:val="20"/>
              </w:rPr>
            </w:pPr>
            <w:r w:rsidRPr="00AD1AE3">
              <w:rPr>
                <w:rFonts w:ascii="宋体" w:eastAsia="宋体" w:hAnsi="宋体" w:cs="Times New Roman" w:hint="eastAsia"/>
                <w:color w:val="000000"/>
                <w:kern w:val="0"/>
                <w:sz w:val="20"/>
                <w:szCs w:val="20"/>
              </w:rPr>
              <w:t>信托计划</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44,461,911.73</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96.00%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2</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权益投资</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其中：基金</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3</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金融衍生品投资</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lastRenderedPageBreak/>
              <w:t>4</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买入返售金融资产</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其中：买断式回购</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5</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银行存款合计</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1,854,930.16</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6</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其他资产</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0.00%</w:t>
            </w:r>
          </w:p>
        </w:tc>
      </w:tr>
      <w:tr w:rsidR="00AD1AE3" w:rsidRPr="00AD1AE3" w:rsidTr="00AD1AE3">
        <w:trPr>
          <w:gridAfter w:val="6"/>
          <w:wAfter w:w="1071" w:type="pct"/>
          <w:trHeight w:val="30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7</w:t>
            </w:r>
          </w:p>
        </w:tc>
        <w:tc>
          <w:tcPr>
            <w:tcW w:w="1582" w:type="pct"/>
            <w:gridSpan w:val="4"/>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合计</w:t>
            </w:r>
          </w:p>
        </w:tc>
        <w:tc>
          <w:tcPr>
            <w:tcW w:w="1156"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46,316,841.89</w:t>
            </w:r>
          </w:p>
        </w:tc>
        <w:tc>
          <w:tcPr>
            <w:tcW w:w="902"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100.00%</w:t>
            </w:r>
          </w:p>
        </w:tc>
      </w:tr>
      <w:tr w:rsidR="00AD1AE3" w:rsidRPr="00AD1AE3" w:rsidTr="00AD1AE3">
        <w:trPr>
          <w:gridAfter w:val="6"/>
          <w:wAfter w:w="1071" w:type="pct"/>
          <w:trHeight w:val="300"/>
        </w:trPr>
        <w:tc>
          <w:tcPr>
            <w:tcW w:w="3929" w:type="pct"/>
            <w:gridSpan w:val="21"/>
            <w:tcBorders>
              <w:top w:val="single" w:sz="8" w:space="0" w:color="000000"/>
              <w:left w:val="nil"/>
              <w:bottom w:val="nil"/>
              <w:right w:val="nil"/>
            </w:tcBorders>
            <w:shd w:val="clear" w:color="auto" w:fill="auto"/>
            <w:vAlign w:val="center"/>
            <w:hideMark/>
          </w:tcPr>
          <w:p w:rsid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hint="eastAsia"/>
                <w:color w:val="000000"/>
                <w:kern w:val="0"/>
                <w:sz w:val="20"/>
                <w:szCs w:val="20"/>
              </w:rPr>
              <w:t>本产品截至报告期末的杠杆率为</w:t>
            </w:r>
            <w:r w:rsidRPr="00AD1AE3">
              <w:rPr>
                <w:rFonts w:ascii="宋体" w:eastAsia="宋体" w:hAnsi="宋体" w:cs="Times New Roman"/>
                <w:color w:val="000000"/>
                <w:kern w:val="0"/>
                <w:sz w:val="20"/>
                <w:szCs w:val="20"/>
              </w:rPr>
              <w:t>102.</w:t>
            </w:r>
            <w:r w:rsidR="008819C5">
              <w:rPr>
                <w:rFonts w:ascii="宋体" w:eastAsia="宋体" w:hAnsi="宋体" w:cs="Times New Roman"/>
                <w:color w:val="000000"/>
                <w:kern w:val="0"/>
                <w:sz w:val="20"/>
                <w:szCs w:val="20"/>
              </w:rPr>
              <w:t>59</w:t>
            </w:r>
            <w:r w:rsidRPr="00AD1AE3">
              <w:rPr>
                <w:rFonts w:ascii="宋体" w:eastAsia="宋体" w:hAnsi="宋体" w:cs="Times New Roman"/>
                <w:color w:val="000000"/>
                <w:kern w:val="0"/>
                <w:sz w:val="20"/>
                <w:szCs w:val="20"/>
              </w:rPr>
              <w:t>%</w:t>
            </w:r>
          </w:p>
          <w:p w:rsidR="00AD1AE3" w:rsidRPr="00AD1AE3" w:rsidRDefault="00AD1AE3" w:rsidP="00AD1AE3">
            <w:pPr>
              <w:widowControl/>
              <w:jc w:val="left"/>
              <w:rPr>
                <w:rFonts w:ascii="宋体" w:eastAsia="宋体" w:hAnsi="宋体" w:cs="Times New Roman"/>
                <w:color w:val="000000"/>
                <w:kern w:val="0"/>
                <w:sz w:val="20"/>
                <w:szCs w:val="20"/>
              </w:rPr>
            </w:pPr>
          </w:p>
        </w:tc>
      </w:tr>
      <w:tr w:rsidR="00AD1AE3" w:rsidRPr="00AD1AE3" w:rsidTr="00AD1AE3">
        <w:trPr>
          <w:gridAfter w:val="6"/>
          <w:wAfter w:w="1071" w:type="pct"/>
          <w:trHeight w:val="300"/>
        </w:trPr>
        <w:tc>
          <w:tcPr>
            <w:tcW w:w="3929" w:type="pct"/>
            <w:gridSpan w:val="21"/>
            <w:tcBorders>
              <w:top w:val="nil"/>
              <w:left w:val="nil"/>
              <w:bottom w:val="single" w:sz="8" w:space="0" w:color="000000"/>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 xml:space="preserve">4.2 </w:t>
            </w:r>
            <w:r w:rsidRPr="00AD1AE3">
              <w:rPr>
                <w:rFonts w:ascii="宋体" w:eastAsia="宋体" w:hAnsi="宋体" w:cs="Times New Roman" w:hint="eastAsia"/>
                <w:color w:val="000000"/>
                <w:kern w:val="0"/>
                <w:sz w:val="20"/>
                <w:szCs w:val="20"/>
              </w:rPr>
              <w:t>报告期末按市值占产品资产净值比例大小排名的前十名资产投资明细</w:t>
            </w:r>
          </w:p>
        </w:tc>
      </w:tr>
      <w:tr w:rsidR="00AD1AE3" w:rsidRPr="00AD1AE3" w:rsidTr="00AD1AE3">
        <w:trPr>
          <w:gridAfter w:val="6"/>
          <w:wAfter w:w="1071" w:type="pct"/>
          <w:trHeight w:val="780"/>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序号</w:t>
            </w:r>
          </w:p>
        </w:tc>
        <w:tc>
          <w:tcPr>
            <w:tcW w:w="709" w:type="pct"/>
            <w:tcBorders>
              <w:top w:val="nil"/>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资产代码</w:t>
            </w:r>
          </w:p>
        </w:tc>
        <w:tc>
          <w:tcPr>
            <w:tcW w:w="1083" w:type="pct"/>
            <w:gridSpan w:val="5"/>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资产名称</w:t>
            </w:r>
          </w:p>
        </w:tc>
        <w:tc>
          <w:tcPr>
            <w:tcW w:w="709" w:type="pct"/>
            <w:gridSpan w:val="3"/>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数量</w:t>
            </w:r>
          </w:p>
        </w:tc>
        <w:tc>
          <w:tcPr>
            <w:tcW w:w="710"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市值(元)</w:t>
            </w:r>
          </w:p>
        </w:tc>
        <w:tc>
          <w:tcPr>
            <w:tcW w:w="427" w:type="pct"/>
            <w:gridSpan w:val="3"/>
            <w:tcBorders>
              <w:top w:val="nil"/>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center"/>
              <w:rPr>
                <w:rFonts w:ascii="宋体" w:eastAsia="宋体" w:hAnsi="宋体" w:cs="Times New Roman"/>
                <w:b/>
                <w:bCs/>
                <w:color w:val="000000"/>
                <w:kern w:val="0"/>
                <w:sz w:val="20"/>
                <w:szCs w:val="20"/>
              </w:rPr>
            </w:pPr>
            <w:r w:rsidRPr="00AD1AE3">
              <w:rPr>
                <w:rFonts w:ascii="宋体" w:eastAsia="宋体" w:hAnsi="宋体" w:cs="Times New Roman"/>
                <w:b/>
                <w:bCs/>
                <w:color w:val="000000"/>
                <w:kern w:val="0"/>
                <w:sz w:val="20"/>
                <w:szCs w:val="20"/>
              </w:rPr>
              <w:t>占产品资产净值比例（％）</w:t>
            </w:r>
          </w:p>
        </w:tc>
      </w:tr>
      <w:tr w:rsidR="00AD1AE3" w:rsidRPr="00AD1AE3" w:rsidTr="00AD1AE3">
        <w:trPr>
          <w:gridAfter w:val="6"/>
          <w:wAfter w:w="1071" w:type="pct"/>
          <w:trHeight w:val="525"/>
        </w:trPr>
        <w:tc>
          <w:tcPr>
            <w:tcW w:w="289" w:type="pct"/>
            <w:tcBorders>
              <w:top w:val="nil"/>
              <w:left w:val="single" w:sz="8" w:space="0" w:color="000000"/>
              <w:bottom w:val="single" w:sz="8" w:space="0" w:color="000000"/>
              <w:right w:val="single" w:sz="8" w:space="0" w:color="000000"/>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1</w:t>
            </w:r>
          </w:p>
        </w:tc>
        <w:tc>
          <w:tcPr>
            <w:tcW w:w="709" w:type="pct"/>
            <w:tcBorders>
              <w:top w:val="nil"/>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 xml:space="preserve">C1115721XT001                   </w:t>
            </w:r>
          </w:p>
        </w:tc>
        <w:tc>
          <w:tcPr>
            <w:tcW w:w="1083" w:type="pct"/>
            <w:gridSpan w:val="5"/>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华润信托惠鑫1号单一资金信托计划</w:t>
            </w:r>
          </w:p>
        </w:tc>
        <w:tc>
          <w:tcPr>
            <w:tcW w:w="709" w:type="pct"/>
            <w:gridSpan w:val="3"/>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righ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37,000,000.00</w:t>
            </w:r>
          </w:p>
        </w:tc>
        <w:tc>
          <w:tcPr>
            <w:tcW w:w="710" w:type="pct"/>
            <w:gridSpan w:val="8"/>
            <w:tcBorders>
              <w:top w:val="single" w:sz="8" w:space="0" w:color="000000"/>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righ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44,461,911.73</w:t>
            </w:r>
          </w:p>
        </w:tc>
        <w:tc>
          <w:tcPr>
            <w:tcW w:w="427" w:type="pct"/>
            <w:gridSpan w:val="3"/>
            <w:tcBorders>
              <w:top w:val="nil"/>
              <w:left w:val="nil"/>
              <w:bottom w:val="single" w:sz="8" w:space="0" w:color="000000"/>
              <w:right w:val="single" w:sz="8" w:space="0" w:color="000000"/>
            </w:tcBorders>
            <w:shd w:val="clear" w:color="auto" w:fill="auto"/>
            <w:vAlign w:val="center"/>
            <w:hideMark/>
          </w:tcPr>
          <w:p w:rsidR="00AD1AE3" w:rsidRPr="00AD1AE3" w:rsidRDefault="00AD1AE3" w:rsidP="00AD1AE3">
            <w:pPr>
              <w:widowControl/>
              <w:jc w:val="right"/>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98.48%</w:t>
            </w:r>
          </w:p>
        </w:tc>
      </w:tr>
      <w:tr w:rsidR="00AD1AE3" w:rsidRPr="00AD1AE3" w:rsidTr="00AD1AE3">
        <w:trPr>
          <w:gridAfter w:val="3"/>
          <w:wAfter w:w="649" w:type="pct"/>
          <w:trHeight w:val="285"/>
        </w:trPr>
        <w:tc>
          <w:tcPr>
            <w:tcW w:w="289" w:type="pct"/>
            <w:tcBorders>
              <w:top w:val="nil"/>
              <w:left w:val="nil"/>
              <w:bottom w:val="nil"/>
              <w:right w:val="nil"/>
            </w:tcBorders>
            <w:shd w:val="clear" w:color="auto" w:fill="auto"/>
            <w:vAlign w:val="center"/>
            <w:hideMark/>
          </w:tcPr>
          <w:p w:rsidR="00AD1AE3" w:rsidRPr="00AD1AE3" w:rsidRDefault="00AD1AE3" w:rsidP="00AD1AE3">
            <w:pPr>
              <w:widowControl/>
              <w:jc w:val="right"/>
              <w:rPr>
                <w:rFonts w:ascii="宋体" w:eastAsia="宋体" w:hAnsi="宋体" w:cs="Times New Roman"/>
                <w:color w:val="000000"/>
                <w:kern w:val="0"/>
                <w:sz w:val="20"/>
                <w:szCs w:val="20"/>
              </w:rPr>
            </w:pPr>
          </w:p>
        </w:tc>
        <w:tc>
          <w:tcPr>
            <w:tcW w:w="70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440" w:type="pct"/>
            <w:gridSpan w:val="6"/>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10" w:type="pct"/>
            <w:tcBorders>
              <w:top w:val="single" w:sz="8" w:space="0" w:color="000000"/>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r w:rsidRPr="00AD1AE3">
              <w:rPr>
                <w:rFonts w:ascii="宋体" w:eastAsia="宋体" w:hAnsi="宋体" w:cs="Times New Roman"/>
                <w:color w:val="000000"/>
                <w:kern w:val="0"/>
                <w:sz w:val="2"/>
                <w:szCs w:val="2"/>
              </w:rPr>
              <w:t xml:space="preserve">　</w:t>
            </w:r>
          </w:p>
        </w:tc>
        <w:tc>
          <w:tcPr>
            <w:tcW w:w="357"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p>
        </w:tc>
        <w:tc>
          <w:tcPr>
            <w:tcW w:w="354" w:type="pct"/>
            <w:gridSpan w:val="5"/>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708" w:type="pct"/>
            <w:gridSpan w:val="6"/>
            <w:tcBorders>
              <w:top w:val="single" w:sz="8" w:space="0" w:color="000000"/>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r w:rsidRPr="00AD1AE3">
              <w:rPr>
                <w:rFonts w:ascii="宋体" w:eastAsia="宋体" w:hAnsi="宋体" w:cs="Times New Roman"/>
                <w:color w:val="000000"/>
                <w:kern w:val="0"/>
                <w:sz w:val="2"/>
                <w:szCs w:val="2"/>
              </w:rPr>
              <w:t xml:space="preserve">　</w:t>
            </w:r>
          </w:p>
        </w:tc>
        <w:tc>
          <w:tcPr>
            <w:tcW w:w="383"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color w:val="000000"/>
                <w:kern w:val="0"/>
                <w:sz w:val="2"/>
                <w:szCs w:val="2"/>
              </w:rPr>
            </w:pPr>
          </w:p>
        </w:tc>
      </w:tr>
      <w:tr w:rsidR="00AD1AE3" w:rsidRPr="00AD1AE3" w:rsidTr="00AD1AE3">
        <w:trPr>
          <w:gridAfter w:val="6"/>
          <w:wAfter w:w="1071" w:type="pct"/>
          <w:trHeight w:val="300"/>
        </w:trPr>
        <w:tc>
          <w:tcPr>
            <w:tcW w:w="3929" w:type="pct"/>
            <w:gridSpan w:val="21"/>
            <w:tcBorders>
              <w:top w:val="nil"/>
              <w:left w:val="nil"/>
              <w:bottom w:val="single" w:sz="8" w:space="0" w:color="000000"/>
              <w:right w:val="nil"/>
            </w:tcBorders>
            <w:shd w:val="clear" w:color="auto" w:fill="auto"/>
            <w:vAlign w:val="center"/>
            <w:hideMark/>
          </w:tcPr>
          <w:p w:rsidR="00AD1AE3" w:rsidRPr="00AD1AE3" w:rsidRDefault="00AD1AE3" w:rsidP="00AD1AE3">
            <w:pPr>
              <w:widowControl/>
              <w:rPr>
                <w:rFonts w:ascii="宋体" w:eastAsia="宋体" w:hAnsi="宋体" w:cs="Times New Roman"/>
                <w:color w:val="000000"/>
                <w:kern w:val="0"/>
                <w:sz w:val="20"/>
                <w:szCs w:val="20"/>
              </w:rPr>
            </w:pPr>
            <w:r w:rsidRPr="00AD1AE3">
              <w:rPr>
                <w:rFonts w:ascii="宋体" w:eastAsia="宋体" w:hAnsi="宋体" w:cs="Times New Roman"/>
                <w:color w:val="000000"/>
                <w:kern w:val="0"/>
                <w:sz w:val="20"/>
                <w:szCs w:val="20"/>
              </w:rPr>
              <w:t xml:space="preserve">4.3 </w:t>
            </w:r>
            <w:r w:rsidRPr="00AD1AE3">
              <w:rPr>
                <w:rFonts w:ascii="宋体" w:eastAsia="宋体" w:hAnsi="宋体" w:cs="Times New Roman" w:hint="eastAsia"/>
                <w:color w:val="000000"/>
                <w:kern w:val="0"/>
                <w:sz w:val="20"/>
                <w:szCs w:val="20"/>
              </w:rPr>
              <w:t>报告期内投资的资管计划底层资产信息</w:t>
            </w:r>
          </w:p>
        </w:tc>
      </w:tr>
      <w:tr w:rsidR="00AD1AE3" w:rsidRPr="00AD1AE3" w:rsidTr="00AD1AE3">
        <w:trPr>
          <w:gridAfter w:val="6"/>
          <w:wAfter w:w="1071" w:type="pct"/>
          <w:trHeight w:val="360"/>
        </w:trPr>
        <w:tc>
          <w:tcPr>
            <w:tcW w:w="289"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b/>
                <w:color w:val="000000"/>
                <w:kern w:val="0"/>
                <w:sz w:val="20"/>
                <w:szCs w:val="20"/>
              </w:rPr>
            </w:pPr>
            <w:r w:rsidRPr="00AD1AE3">
              <w:rPr>
                <w:rFonts w:ascii="宋体" w:eastAsia="宋体" w:hAnsi="宋体" w:cs="宋体" w:hint="eastAsia"/>
                <w:b/>
                <w:color w:val="000000"/>
                <w:kern w:val="0"/>
                <w:sz w:val="20"/>
                <w:szCs w:val="20"/>
              </w:rPr>
              <w:t>序号</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b/>
                <w:color w:val="000000"/>
                <w:kern w:val="0"/>
                <w:sz w:val="20"/>
                <w:szCs w:val="20"/>
              </w:rPr>
            </w:pPr>
            <w:r w:rsidRPr="00AD1AE3">
              <w:rPr>
                <w:rFonts w:ascii="宋体" w:eastAsia="宋体" w:hAnsi="宋体" w:cs="宋体" w:hint="eastAsia"/>
                <w:b/>
                <w:color w:val="000000"/>
                <w:kern w:val="0"/>
                <w:sz w:val="20"/>
                <w:szCs w:val="20"/>
              </w:rPr>
              <w:t>资产类别</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b/>
                <w:color w:val="000000"/>
                <w:kern w:val="0"/>
                <w:sz w:val="20"/>
                <w:szCs w:val="20"/>
              </w:rPr>
            </w:pPr>
            <w:r w:rsidRPr="00AD1AE3">
              <w:rPr>
                <w:rFonts w:ascii="宋体" w:eastAsia="宋体" w:hAnsi="宋体" w:cs="宋体" w:hint="eastAsia"/>
                <w:b/>
                <w:color w:val="000000"/>
                <w:kern w:val="0"/>
                <w:sz w:val="20"/>
                <w:szCs w:val="20"/>
              </w:rPr>
              <w:t>占总资产的比例（%）</w:t>
            </w:r>
          </w:p>
        </w:tc>
      </w:tr>
      <w:tr w:rsidR="00AD1AE3" w:rsidRPr="00AD1AE3" w:rsidTr="00AD1AE3">
        <w:trPr>
          <w:gridAfter w:val="6"/>
          <w:wAfter w:w="1071" w:type="pct"/>
          <w:trHeight w:val="360"/>
        </w:trPr>
        <w:tc>
          <w:tcPr>
            <w:tcW w:w="289"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1</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银行存款及存出保证金</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1.32</w:t>
            </w:r>
          </w:p>
        </w:tc>
      </w:tr>
      <w:tr w:rsidR="00AD1AE3" w:rsidRPr="00AD1AE3" w:rsidTr="00AD1AE3">
        <w:trPr>
          <w:gridAfter w:val="6"/>
          <w:wAfter w:w="1071" w:type="pct"/>
          <w:trHeight w:val="360"/>
        </w:trPr>
        <w:tc>
          <w:tcPr>
            <w:tcW w:w="289"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2</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同业存单</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0</w:t>
            </w:r>
          </w:p>
        </w:tc>
      </w:tr>
      <w:tr w:rsidR="00AD1AE3" w:rsidRPr="00AD1AE3" w:rsidTr="00AD1AE3">
        <w:trPr>
          <w:gridAfter w:val="6"/>
          <w:wAfter w:w="1071" w:type="pct"/>
          <w:trHeight w:val="360"/>
        </w:trPr>
        <w:tc>
          <w:tcPr>
            <w:tcW w:w="289"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3</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买入返售证券</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6.63</w:t>
            </w:r>
          </w:p>
        </w:tc>
      </w:tr>
      <w:tr w:rsidR="00AD1AE3" w:rsidRPr="00AD1AE3" w:rsidTr="00AD1AE3">
        <w:trPr>
          <w:gridAfter w:val="6"/>
          <w:wAfter w:w="1071" w:type="pct"/>
          <w:trHeight w:val="360"/>
        </w:trPr>
        <w:tc>
          <w:tcPr>
            <w:tcW w:w="289"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4</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债券（含资产支持证券）</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92.05</w:t>
            </w:r>
          </w:p>
        </w:tc>
      </w:tr>
      <w:tr w:rsidR="00AD1AE3" w:rsidRPr="00AD1AE3" w:rsidTr="00AD1AE3">
        <w:trPr>
          <w:gridAfter w:val="6"/>
          <w:wAfter w:w="1071" w:type="pct"/>
          <w:trHeight w:val="360"/>
        </w:trPr>
        <w:tc>
          <w:tcPr>
            <w:tcW w:w="289"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5</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非标准化债权投资</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0</w:t>
            </w:r>
          </w:p>
        </w:tc>
      </w:tr>
      <w:tr w:rsidR="00AD1AE3" w:rsidRPr="00AD1AE3" w:rsidTr="00AD1AE3">
        <w:trPr>
          <w:gridAfter w:val="6"/>
          <w:wAfter w:w="1071" w:type="pct"/>
          <w:trHeight w:val="360"/>
        </w:trPr>
        <w:tc>
          <w:tcPr>
            <w:tcW w:w="289"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6</w:t>
            </w:r>
          </w:p>
        </w:tc>
        <w:tc>
          <w:tcPr>
            <w:tcW w:w="2149" w:type="pct"/>
            <w:gridSpan w:val="7"/>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其他资产</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0</w:t>
            </w:r>
          </w:p>
        </w:tc>
      </w:tr>
      <w:tr w:rsidR="00AD1AE3" w:rsidRPr="00AD1AE3" w:rsidTr="00AD1AE3">
        <w:trPr>
          <w:gridAfter w:val="6"/>
          <w:wAfter w:w="1071" w:type="pct"/>
          <w:trHeight w:val="360"/>
        </w:trPr>
        <w:tc>
          <w:tcPr>
            <w:tcW w:w="2439" w:type="pct"/>
            <w:gridSpan w:val="8"/>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合计</w:t>
            </w:r>
          </w:p>
        </w:tc>
        <w:tc>
          <w:tcPr>
            <w:tcW w:w="1490" w:type="pct"/>
            <w:gridSpan w:val="13"/>
            <w:tcBorders>
              <w:top w:val="single" w:sz="8" w:space="0" w:color="000000"/>
              <w:left w:val="nil"/>
              <w:bottom w:val="single" w:sz="8" w:space="0" w:color="000000"/>
              <w:right w:val="single" w:sz="8" w:space="0" w:color="000000"/>
            </w:tcBorders>
            <w:shd w:val="clear" w:color="000000" w:fill="FFFFFF"/>
            <w:vAlign w:val="center"/>
            <w:hideMark/>
          </w:tcPr>
          <w:p w:rsidR="00AD1AE3" w:rsidRPr="00AD1AE3" w:rsidRDefault="00AD1AE3" w:rsidP="00AD1AE3">
            <w:pPr>
              <w:widowControl/>
              <w:jc w:val="center"/>
              <w:rPr>
                <w:rFonts w:ascii="宋体" w:eastAsia="宋体" w:hAnsi="宋体" w:cs="宋体"/>
                <w:color w:val="000000"/>
                <w:kern w:val="0"/>
                <w:sz w:val="20"/>
                <w:szCs w:val="20"/>
              </w:rPr>
            </w:pPr>
            <w:r w:rsidRPr="00AD1AE3">
              <w:rPr>
                <w:rFonts w:ascii="宋体" w:eastAsia="宋体" w:hAnsi="宋体" w:cs="宋体" w:hint="eastAsia"/>
                <w:color w:val="000000"/>
                <w:kern w:val="0"/>
                <w:sz w:val="20"/>
                <w:szCs w:val="20"/>
              </w:rPr>
              <w:t>100</w:t>
            </w:r>
          </w:p>
        </w:tc>
      </w:tr>
      <w:tr w:rsidR="00AD1AE3" w:rsidRPr="00AD1AE3" w:rsidTr="00AD1AE3">
        <w:trPr>
          <w:trHeight w:val="285"/>
        </w:trPr>
        <w:tc>
          <w:tcPr>
            <w:tcW w:w="289" w:type="pct"/>
            <w:tcBorders>
              <w:top w:val="nil"/>
              <w:left w:val="nil"/>
              <w:bottom w:val="nil"/>
              <w:right w:val="nil"/>
            </w:tcBorders>
            <w:shd w:val="clear" w:color="auto" w:fill="auto"/>
            <w:vAlign w:val="center"/>
            <w:hideMark/>
          </w:tcPr>
          <w:p w:rsidR="00AD1AE3" w:rsidRPr="00AD1AE3" w:rsidRDefault="00AD1AE3" w:rsidP="00AD1AE3">
            <w:pPr>
              <w:widowControl/>
              <w:jc w:val="center"/>
              <w:rPr>
                <w:rFonts w:ascii="宋体" w:eastAsia="宋体" w:hAnsi="宋体" w:cs="宋体"/>
                <w:color w:val="000000"/>
                <w:kern w:val="0"/>
                <w:sz w:val="24"/>
                <w:szCs w:val="24"/>
              </w:rPr>
            </w:pPr>
          </w:p>
        </w:tc>
        <w:tc>
          <w:tcPr>
            <w:tcW w:w="709"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440" w:type="pct"/>
            <w:gridSpan w:val="6"/>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10"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42"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19"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04"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106"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357" w:type="pct"/>
            <w:gridSpan w:val="4"/>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352"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38"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36" w:type="pct"/>
            <w:gridSpan w:val="2"/>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235"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c>
          <w:tcPr>
            <w:tcW w:w="362" w:type="pct"/>
            <w:tcBorders>
              <w:top w:val="nil"/>
              <w:left w:val="nil"/>
              <w:bottom w:val="nil"/>
              <w:right w:val="nil"/>
            </w:tcBorders>
            <w:shd w:val="clear" w:color="auto" w:fill="auto"/>
            <w:vAlign w:val="center"/>
            <w:hideMark/>
          </w:tcPr>
          <w:p w:rsidR="00AD1AE3" w:rsidRPr="00AD1AE3" w:rsidRDefault="00AD1AE3" w:rsidP="00AD1AE3">
            <w:pPr>
              <w:widowControl/>
              <w:jc w:val="left"/>
              <w:rPr>
                <w:rFonts w:ascii="宋体" w:eastAsia="宋体" w:hAnsi="宋体" w:cs="Times New Roman"/>
                <w:kern w:val="0"/>
                <w:sz w:val="20"/>
                <w:szCs w:val="20"/>
              </w:rPr>
            </w:pPr>
          </w:p>
        </w:tc>
      </w:tr>
      <w:tr w:rsidR="00AD1AE3" w:rsidRPr="000F0A5A" w:rsidTr="00AD1AE3">
        <w:trPr>
          <w:gridAfter w:val="7"/>
          <w:wAfter w:w="1116" w:type="pct"/>
          <w:trHeight w:val="285"/>
        </w:trPr>
        <w:tc>
          <w:tcPr>
            <w:tcW w:w="3884" w:type="pct"/>
            <w:gridSpan w:val="20"/>
            <w:tcBorders>
              <w:top w:val="nil"/>
              <w:left w:val="nil"/>
              <w:bottom w:val="nil"/>
              <w:right w:val="nil"/>
            </w:tcBorders>
            <w:shd w:val="clear" w:color="auto" w:fill="auto"/>
            <w:vAlign w:val="center"/>
            <w:hideMark/>
          </w:tcPr>
          <w:p w:rsidR="00AD1AE3" w:rsidRPr="000F0A5A" w:rsidRDefault="00AD1AE3"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4.4 报告期末投资组合流动性风险分析</w:t>
            </w:r>
          </w:p>
        </w:tc>
      </w:tr>
      <w:tr w:rsidR="00AD1AE3" w:rsidRPr="000F0A5A" w:rsidTr="00AD1AE3">
        <w:trPr>
          <w:gridAfter w:val="7"/>
          <w:wAfter w:w="1116" w:type="pct"/>
          <w:trHeight w:val="1410"/>
        </w:trPr>
        <w:tc>
          <w:tcPr>
            <w:tcW w:w="3884" w:type="pct"/>
            <w:gridSpan w:val="20"/>
            <w:tcBorders>
              <w:top w:val="nil"/>
              <w:left w:val="nil"/>
              <w:bottom w:val="nil"/>
              <w:right w:val="nil"/>
            </w:tcBorders>
            <w:shd w:val="clear" w:color="auto" w:fill="auto"/>
            <w:vAlign w:val="center"/>
            <w:hideMark/>
          </w:tcPr>
          <w:p w:rsidR="00AD1AE3" w:rsidRDefault="00AD1AE3" w:rsidP="004A751F">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1.</w:t>
            </w:r>
            <w:r w:rsidRPr="000F0A5A">
              <w:rPr>
                <w:rFonts w:ascii="宋体" w:eastAsia="宋体" w:hAnsi="宋体" w:cs="Times New Roman" w:hint="eastAsia"/>
                <w:color w:val="000000"/>
                <w:kern w:val="0"/>
                <w:sz w:val="20"/>
                <w:szCs w:val="20"/>
              </w:rPr>
              <w:t>理财投资组合流动性风险分析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2.</w:t>
            </w:r>
            <w:r w:rsidRPr="000F0A5A">
              <w:rPr>
                <w:rFonts w:ascii="宋体" w:eastAsia="宋体" w:hAnsi="宋体" w:cs="Times New Roman" w:hint="eastAsia"/>
                <w:color w:val="000000"/>
                <w:kern w:val="0"/>
                <w:sz w:val="20"/>
                <w:szCs w:val="20"/>
              </w:rPr>
              <w:t>理财投资组合其他风险分析</w:t>
            </w:r>
            <w:r w:rsidRPr="000F0A5A">
              <w:rPr>
                <w:rFonts w:ascii="宋体" w:eastAsia="宋体" w:hAnsi="宋体" w:cs="Times New Roman" w:hint="eastAsia"/>
                <w:color w:val="000000"/>
                <w:kern w:val="0"/>
                <w:sz w:val="20"/>
                <w:szCs w:val="20"/>
              </w:rPr>
              <w:br/>
            </w:r>
            <w:r w:rsidRPr="000F0A5A">
              <w:rPr>
                <w:rFonts w:ascii="宋体" w:eastAsia="宋体" w:hAnsi="宋体" w:cs="Times New Roman"/>
                <w:color w:val="000000"/>
                <w:kern w:val="0"/>
                <w:sz w:val="20"/>
                <w:szCs w:val="20"/>
              </w:rPr>
              <w:t xml:space="preserve">      </w:t>
            </w:r>
            <w:r w:rsidRPr="000F0A5A">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AD1AE3" w:rsidRDefault="00AD1AE3" w:rsidP="004A751F">
            <w:pPr>
              <w:widowControl/>
              <w:ind w:firstLine="405"/>
              <w:rPr>
                <w:rFonts w:ascii="宋体" w:eastAsia="宋体" w:hAnsi="宋体" w:cs="Times New Roman"/>
                <w:color w:val="000000"/>
                <w:kern w:val="0"/>
                <w:sz w:val="20"/>
                <w:szCs w:val="20"/>
              </w:rPr>
            </w:pPr>
          </w:p>
          <w:p w:rsidR="00AD1AE3" w:rsidRPr="00BA5009" w:rsidRDefault="00AD1AE3" w:rsidP="004A751F">
            <w:pPr>
              <w:widowControl/>
              <w:rPr>
                <w:rFonts w:ascii="宋体" w:eastAsia="宋体" w:hAnsi="宋体" w:cs="Times New Roman"/>
                <w:b/>
                <w:bCs/>
                <w:color w:val="000000"/>
                <w:kern w:val="0"/>
                <w:sz w:val="20"/>
                <w:szCs w:val="20"/>
              </w:rPr>
            </w:pPr>
            <w:r w:rsidRPr="00BA5009">
              <w:rPr>
                <w:rFonts w:ascii="宋体" w:eastAsia="宋体" w:hAnsi="宋体" w:cs="Times New Roman" w:hint="eastAsia"/>
                <w:b/>
                <w:bCs/>
                <w:color w:val="000000"/>
                <w:kern w:val="0"/>
                <w:sz w:val="20"/>
                <w:szCs w:val="20"/>
              </w:rPr>
              <w:t>5. 投资账户信息</w:t>
            </w:r>
          </w:p>
          <w:tbl>
            <w:tblPr>
              <w:tblW w:w="5000" w:type="pct"/>
              <w:tblLook w:val="04A0" w:firstRow="1" w:lastRow="0" w:firstColumn="1" w:lastColumn="0" w:noHBand="0" w:noVBand="1"/>
            </w:tblPr>
            <w:tblGrid>
              <w:gridCol w:w="1615"/>
              <w:gridCol w:w="1614"/>
              <w:gridCol w:w="1335"/>
              <w:gridCol w:w="1893"/>
              <w:gridCol w:w="1614"/>
            </w:tblGrid>
            <w:tr w:rsidR="00AD1AE3" w:rsidRPr="000F0A5A" w:rsidTr="004A751F">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173" w:type="pct"/>
                  <w:tcBorders>
                    <w:top w:val="single" w:sz="8" w:space="0" w:color="000000"/>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AD1AE3" w:rsidRPr="000F0A5A" w:rsidTr="004A751F">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173" w:type="pct"/>
                  <w:tcBorders>
                    <w:top w:val="nil"/>
                    <w:left w:val="nil"/>
                    <w:bottom w:val="single" w:sz="8" w:space="0" w:color="000000"/>
                    <w:right w:val="single" w:sz="8" w:space="0" w:color="000000"/>
                  </w:tcBorders>
                  <w:shd w:val="clear" w:color="000000" w:fill="FFFFFF"/>
                  <w:vAlign w:val="center"/>
                  <w:hideMark/>
                </w:tcPr>
                <w:p w:rsidR="00AD1AE3" w:rsidRPr="000F0A5A" w:rsidRDefault="00AD1AE3" w:rsidP="008819C5">
                  <w:pPr>
                    <w:widowControl/>
                    <w:jc w:val="center"/>
                    <w:rPr>
                      <w:rFonts w:ascii="宋体" w:eastAsia="宋体" w:hAnsi="宋体" w:cs="宋体"/>
                      <w:color w:val="000000"/>
                      <w:kern w:val="0"/>
                      <w:sz w:val="20"/>
                      <w:szCs w:val="20"/>
                    </w:rPr>
                  </w:pPr>
                  <w:r w:rsidRPr="000F0A5A">
                    <w:rPr>
                      <w:rFonts w:ascii="宋体" w:eastAsia="宋体" w:hAnsi="宋体" w:cs="宋体"/>
                      <w:color w:val="000000"/>
                      <w:kern w:val="0"/>
                      <w:sz w:val="20"/>
                      <w:szCs w:val="20"/>
                    </w:rPr>
                    <w:t>09010400000004</w:t>
                  </w:r>
                  <w:r w:rsidR="008819C5">
                    <w:rPr>
                      <w:rFonts w:ascii="宋体" w:eastAsia="宋体" w:hAnsi="宋体" w:cs="宋体"/>
                      <w:color w:val="000000"/>
                      <w:kern w:val="0"/>
                      <w:sz w:val="20"/>
                      <w:szCs w:val="20"/>
                    </w:rPr>
                    <w:t>45</w:t>
                  </w:r>
                </w:p>
              </w:tc>
              <w:tc>
                <w:tcPr>
                  <w:tcW w:w="1000" w:type="pct"/>
                  <w:tcBorders>
                    <w:top w:val="nil"/>
                    <w:left w:val="nil"/>
                    <w:bottom w:val="single" w:sz="8" w:space="0" w:color="000000"/>
                    <w:right w:val="single" w:sz="8" w:space="0" w:color="000000"/>
                  </w:tcBorders>
                  <w:shd w:val="clear" w:color="000000" w:fill="FFFFFF"/>
                  <w:vAlign w:val="center"/>
                  <w:hideMark/>
                </w:tcPr>
                <w:p w:rsidR="00AD1AE3" w:rsidRPr="000F0A5A" w:rsidRDefault="00AD1AE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AD1AE3" w:rsidRPr="000F0A5A" w:rsidRDefault="00AD1AE3" w:rsidP="004A751F">
            <w:pPr>
              <w:widowControl/>
              <w:ind w:firstLine="405"/>
              <w:rPr>
                <w:rFonts w:ascii="宋体" w:eastAsia="宋体" w:hAnsi="宋体" w:cs="Times New Roman"/>
                <w:color w:val="000000"/>
                <w:kern w:val="0"/>
                <w:sz w:val="20"/>
                <w:szCs w:val="20"/>
              </w:rPr>
            </w:pPr>
          </w:p>
        </w:tc>
      </w:tr>
      <w:tr w:rsidR="00AD1AE3" w:rsidRPr="000F0A5A" w:rsidTr="00AD1AE3">
        <w:trPr>
          <w:gridAfter w:val="7"/>
          <w:wAfter w:w="1116" w:type="pct"/>
          <w:trHeight w:val="285"/>
        </w:trPr>
        <w:tc>
          <w:tcPr>
            <w:tcW w:w="3884" w:type="pct"/>
            <w:gridSpan w:val="20"/>
            <w:tcBorders>
              <w:top w:val="nil"/>
              <w:left w:val="nil"/>
              <w:bottom w:val="nil"/>
              <w:right w:val="nil"/>
            </w:tcBorders>
            <w:shd w:val="clear" w:color="auto" w:fill="auto"/>
            <w:vAlign w:val="center"/>
            <w:hideMark/>
          </w:tcPr>
          <w:p w:rsidR="00AD1AE3" w:rsidRPr="000F0A5A" w:rsidRDefault="00AD1AE3" w:rsidP="004A751F">
            <w:pPr>
              <w:widowControl/>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t xml:space="preserve">    特此公告。</w:t>
            </w:r>
          </w:p>
        </w:tc>
      </w:tr>
      <w:tr w:rsidR="00AD1AE3" w:rsidRPr="00BA5009" w:rsidTr="00AD1AE3">
        <w:trPr>
          <w:gridAfter w:val="7"/>
          <w:wAfter w:w="1116" w:type="pct"/>
          <w:trHeight w:val="285"/>
        </w:trPr>
        <w:tc>
          <w:tcPr>
            <w:tcW w:w="3884" w:type="pct"/>
            <w:gridSpan w:val="20"/>
            <w:tcBorders>
              <w:top w:val="nil"/>
              <w:left w:val="nil"/>
              <w:bottom w:val="nil"/>
              <w:right w:val="nil"/>
            </w:tcBorders>
            <w:shd w:val="clear" w:color="auto" w:fill="auto"/>
            <w:vAlign w:val="center"/>
            <w:hideMark/>
          </w:tcPr>
          <w:p w:rsidR="00AD1AE3" w:rsidRPr="00BA5009" w:rsidRDefault="00AD1AE3"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hint="eastAsia"/>
                <w:b/>
                <w:color w:val="000000"/>
                <w:kern w:val="0"/>
                <w:sz w:val="24"/>
                <w:szCs w:val="24"/>
              </w:rPr>
              <w:t>江苏</w:t>
            </w:r>
            <w:r w:rsidRPr="00BA5009">
              <w:rPr>
                <w:rFonts w:ascii="宋体" w:eastAsia="宋体" w:hAnsi="宋体" w:cs="Times New Roman"/>
                <w:b/>
                <w:color w:val="000000"/>
                <w:kern w:val="0"/>
                <w:sz w:val="24"/>
                <w:szCs w:val="24"/>
              </w:rPr>
              <w:t>太仓农村商业银行</w:t>
            </w:r>
            <w:r w:rsidRPr="00BA5009">
              <w:rPr>
                <w:rFonts w:ascii="宋体" w:eastAsia="宋体" w:hAnsi="宋体" w:cs="Times New Roman" w:hint="eastAsia"/>
                <w:b/>
                <w:color w:val="000000"/>
                <w:kern w:val="0"/>
                <w:sz w:val="24"/>
                <w:szCs w:val="24"/>
              </w:rPr>
              <w:t>股份</w:t>
            </w:r>
            <w:r w:rsidRPr="00BA5009">
              <w:rPr>
                <w:rFonts w:ascii="宋体" w:eastAsia="宋体" w:hAnsi="宋体" w:cs="Times New Roman"/>
                <w:b/>
                <w:color w:val="000000"/>
                <w:kern w:val="0"/>
                <w:sz w:val="24"/>
                <w:szCs w:val="24"/>
              </w:rPr>
              <w:t xml:space="preserve">有限公司                </w:t>
            </w:r>
          </w:p>
        </w:tc>
      </w:tr>
      <w:tr w:rsidR="00AD1AE3" w:rsidRPr="00BA5009" w:rsidTr="00AD1AE3">
        <w:trPr>
          <w:gridAfter w:val="7"/>
          <w:wAfter w:w="1116" w:type="pct"/>
          <w:trHeight w:val="285"/>
        </w:trPr>
        <w:tc>
          <w:tcPr>
            <w:tcW w:w="3884" w:type="pct"/>
            <w:gridSpan w:val="20"/>
            <w:tcBorders>
              <w:top w:val="nil"/>
              <w:left w:val="nil"/>
              <w:bottom w:val="nil"/>
              <w:right w:val="nil"/>
            </w:tcBorders>
            <w:shd w:val="clear" w:color="auto" w:fill="auto"/>
            <w:vAlign w:val="center"/>
            <w:hideMark/>
          </w:tcPr>
          <w:p w:rsidR="00AD1AE3" w:rsidRPr="00BA5009" w:rsidRDefault="00AD1AE3" w:rsidP="004A751F">
            <w:pPr>
              <w:widowControl/>
              <w:jc w:val="right"/>
              <w:rPr>
                <w:rFonts w:ascii="宋体" w:eastAsia="宋体" w:hAnsi="宋体" w:cs="Times New Roman"/>
                <w:b/>
                <w:color w:val="000000"/>
                <w:kern w:val="0"/>
                <w:sz w:val="24"/>
                <w:szCs w:val="24"/>
              </w:rPr>
            </w:pPr>
            <w:r w:rsidRPr="00BA5009">
              <w:rPr>
                <w:rFonts w:ascii="宋体" w:eastAsia="宋体" w:hAnsi="宋体" w:cs="Times New Roman"/>
                <w:b/>
                <w:color w:val="000000"/>
                <w:kern w:val="0"/>
                <w:sz w:val="24"/>
                <w:szCs w:val="24"/>
              </w:rPr>
              <w:t>2026年4月20日</w:t>
            </w:r>
          </w:p>
        </w:tc>
      </w:tr>
    </w:tbl>
    <w:p w:rsidR="00F2440A" w:rsidRDefault="00F2440A">
      <w:bookmarkStart w:id="0" w:name="_GoBack"/>
      <w:bookmarkEnd w:id="0"/>
    </w:p>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9C5" w:rsidRDefault="008819C5" w:rsidP="008819C5">
      <w:r>
        <w:separator/>
      </w:r>
    </w:p>
  </w:endnote>
  <w:endnote w:type="continuationSeparator" w:id="0">
    <w:p w:rsidR="008819C5" w:rsidRDefault="008819C5" w:rsidP="0088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9C5" w:rsidRDefault="008819C5" w:rsidP="008819C5">
      <w:r>
        <w:separator/>
      </w:r>
    </w:p>
  </w:footnote>
  <w:footnote w:type="continuationSeparator" w:id="0">
    <w:p w:rsidR="008819C5" w:rsidRDefault="008819C5" w:rsidP="00881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E3"/>
    <w:rsid w:val="006A5D32"/>
    <w:rsid w:val="008819C5"/>
    <w:rsid w:val="00AD1AE3"/>
    <w:rsid w:val="00F2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5FC26"/>
  <w15:chartTrackingRefBased/>
  <w15:docId w15:val="{EE501141-73C3-49DD-8602-10A542D7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9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19C5"/>
    <w:rPr>
      <w:sz w:val="18"/>
      <w:szCs w:val="18"/>
    </w:rPr>
  </w:style>
  <w:style w:type="paragraph" w:styleId="a5">
    <w:name w:val="footer"/>
    <w:basedOn w:val="a"/>
    <w:link w:val="a6"/>
    <w:uiPriority w:val="99"/>
    <w:unhideWhenUsed/>
    <w:rsid w:val="008819C5"/>
    <w:pPr>
      <w:tabs>
        <w:tab w:val="center" w:pos="4153"/>
        <w:tab w:val="right" w:pos="8306"/>
      </w:tabs>
      <w:snapToGrid w:val="0"/>
      <w:jc w:val="left"/>
    </w:pPr>
    <w:rPr>
      <w:sz w:val="18"/>
      <w:szCs w:val="18"/>
    </w:rPr>
  </w:style>
  <w:style w:type="character" w:customStyle="1" w:styleId="a6">
    <w:name w:val="页脚 字符"/>
    <w:basedOn w:val="a0"/>
    <w:link w:val="a5"/>
    <w:uiPriority w:val="99"/>
    <w:rsid w:val="008819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221</Words>
  <Characters>1261</Characters>
  <Application>Microsoft Office Word</Application>
  <DocSecurity>0</DocSecurity>
  <Lines>10</Lines>
  <Paragraphs>2</Paragraphs>
  <ScaleCrop>false</ScaleCrop>
  <Company>Lenovo</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3</cp:revision>
  <dcterms:created xsi:type="dcterms:W3CDTF">2026-04-20T12:25:00Z</dcterms:created>
  <dcterms:modified xsi:type="dcterms:W3CDTF">2026-04-20T12:48:00Z</dcterms:modified>
</cp:coreProperties>
</file>