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1C8A" w:rsidRPr="00CD4A56" w:rsidRDefault="00CD4A56">
      <w:pPr>
        <w:jc w:val="center"/>
        <w:rPr>
          <w:rFonts w:ascii="宋体" w:hAnsi="宋体"/>
          <w:b/>
          <w:bCs/>
          <w:sz w:val="36"/>
          <w:szCs w:val="36"/>
        </w:rPr>
      </w:pPr>
      <w:r w:rsidRPr="00CD4A56">
        <w:rPr>
          <w:rFonts w:ascii="宋体" w:hAnsi="宋体" w:hint="eastAsia"/>
          <w:b/>
          <w:bCs/>
          <w:sz w:val="36"/>
          <w:szCs w:val="36"/>
        </w:rPr>
        <w:t xml:space="preserve"> </w:t>
      </w:r>
      <w:r w:rsidR="00A30416" w:rsidRPr="00CD4A56">
        <w:rPr>
          <w:rFonts w:ascii="宋体" w:hAnsi="宋体" w:hint="eastAsia"/>
          <w:b/>
          <w:bCs/>
          <w:sz w:val="36"/>
          <w:szCs w:val="36"/>
        </w:rPr>
        <w:t>“惠享利1号”定期开放净值型人民币理财产品</w:t>
      </w:r>
    </w:p>
    <w:p w:rsidR="00FD1C8A" w:rsidRPr="00CD4A56" w:rsidRDefault="00A30416">
      <w:pPr>
        <w:jc w:val="center"/>
        <w:rPr>
          <w:rFonts w:ascii="宋体" w:hAnsi="宋体"/>
          <w:b/>
          <w:bCs/>
          <w:sz w:val="36"/>
          <w:szCs w:val="36"/>
        </w:rPr>
      </w:pPr>
      <w:r w:rsidRPr="00CD4A56">
        <w:rPr>
          <w:rFonts w:ascii="宋体" w:hAnsi="宋体" w:hint="eastAsia"/>
          <w:b/>
          <w:bCs/>
          <w:sz w:val="36"/>
          <w:szCs w:val="36"/>
        </w:rPr>
        <w:t>2025年年度报告</w:t>
      </w:r>
    </w:p>
    <w:p w:rsidR="00FD1C8A" w:rsidRPr="00CD4A56" w:rsidRDefault="00FD1C8A">
      <w:pPr>
        <w:rPr>
          <w:rFonts w:ascii="宋体" w:hAnsi="宋体"/>
          <w:b/>
          <w:bCs/>
          <w:sz w:val="28"/>
          <w:szCs w:val="28"/>
        </w:rPr>
      </w:pPr>
    </w:p>
    <w:p w:rsidR="00FD1C8A" w:rsidRPr="00CD4A56" w:rsidRDefault="00FD1C8A">
      <w:pPr>
        <w:rPr>
          <w:rFonts w:ascii="宋体" w:hAnsi="宋体"/>
          <w:b/>
          <w:bCs/>
          <w:sz w:val="28"/>
          <w:szCs w:val="28"/>
        </w:rPr>
      </w:pPr>
    </w:p>
    <w:p w:rsidR="00FD1C8A" w:rsidRPr="00CD4A56" w:rsidRDefault="00A30416">
      <w:pPr>
        <w:rPr>
          <w:rFonts w:ascii="宋体" w:hAnsi="宋体"/>
          <w:b/>
          <w:bCs/>
          <w:sz w:val="28"/>
          <w:szCs w:val="28"/>
        </w:rPr>
      </w:pPr>
      <w:r w:rsidRPr="00CD4A56">
        <w:rPr>
          <w:rFonts w:ascii="宋体" w:hAnsi="宋体" w:hint="eastAsia"/>
          <w:b/>
          <w:bCs/>
          <w:sz w:val="28"/>
          <w:szCs w:val="28"/>
        </w:rPr>
        <w:t>一、重要提示</w:t>
      </w:r>
    </w:p>
    <w:p w:rsidR="00FD1C8A" w:rsidRPr="00CD4A56" w:rsidRDefault="00A30416">
      <w:pPr>
        <w:pStyle w:val="1"/>
        <w:ind w:firstLine="480"/>
        <w:rPr>
          <w:rFonts w:ascii="宋体" w:hAnsi="宋体" w:cs="Calibri"/>
          <w:sz w:val="24"/>
          <w:szCs w:val="24"/>
        </w:rPr>
      </w:pPr>
      <w:r w:rsidRPr="00CD4A56">
        <w:rPr>
          <w:rFonts w:ascii="宋体" w:hAnsi="宋体" w:cs="Calibri" w:hint="eastAsia"/>
          <w:sz w:val="24"/>
          <w:szCs w:val="24"/>
        </w:rPr>
        <w:t>产品管理人承诺以诚实信用、勤勉尽责的原则管理和运用产品资产，但不保证产品一定盈利。</w:t>
      </w:r>
    </w:p>
    <w:p w:rsidR="00FD1C8A" w:rsidRPr="00CD4A56" w:rsidRDefault="00A30416">
      <w:pPr>
        <w:ind w:firstLine="480"/>
        <w:rPr>
          <w:rFonts w:ascii="宋体" w:hAnsi="宋体"/>
          <w:sz w:val="24"/>
          <w:szCs w:val="24"/>
        </w:rPr>
      </w:pPr>
      <w:r w:rsidRPr="00CD4A56">
        <w:rPr>
          <w:rFonts w:ascii="宋体" w:hAnsi="宋体" w:hint="eastAsia"/>
          <w:sz w:val="24"/>
          <w:szCs w:val="24"/>
        </w:rPr>
        <w:t>产品的过往业绩并不代表其未来表现。投资</w:t>
      </w:r>
      <w:bookmarkStart w:id="0" w:name="_GoBack"/>
      <w:bookmarkEnd w:id="0"/>
      <w:r w:rsidRPr="00CD4A56">
        <w:rPr>
          <w:rFonts w:ascii="宋体" w:hAnsi="宋体" w:hint="eastAsia"/>
          <w:sz w:val="24"/>
          <w:szCs w:val="24"/>
        </w:rPr>
        <w:t>有风险，投资者在做出投资决策前应仔细阅读本产品的销售文件。</w:t>
      </w:r>
    </w:p>
    <w:p w:rsidR="00FD1C8A" w:rsidRPr="00CD4A56" w:rsidRDefault="00A30416">
      <w:pPr>
        <w:pStyle w:val="1"/>
        <w:rPr>
          <w:rFonts w:ascii="宋体" w:hAnsi="宋体" w:cs="Calibri"/>
          <w:sz w:val="24"/>
          <w:szCs w:val="24"/>
        </w:rPr>
      </w:pPr>
      <w:r w:rsidRPr="00CD4A56">
        <w:rPr>
          <w:rFonts w:ascii="宋体" w:hAnsi="宋体" w:cs="Calibri" w:hint="eastAsia"/>
          <w:sz w:val="24"/>
          <w:szCs w:val="24"/>
        </w:rPr>
        <w:t>本报告中财务资料未经审计。</w:t>
      </w:r>
    </w:p>
    <w:p w:rsidR="00FD1C8A" w:rsidRPr="00CD4A56" w:rsidRDefault="00A30416">
      <w:pPr>
        <w:pStyle w:val="1"/>
        <w:ind w:firstLine="0"/>
        <w:rPr>
          <w:rFonts w:ascii="宋体" w:hAnsi="宋体"/>
          <w:b/>
          <w:bCs/>
          <w:sz w:val="28"/>
          <w:szCs w:val="28"/>
        </w:rPr>
      </w:pPr>
      <w:r w:rsidRPr="00CD4A56">
        <w:rPr>
          <w:rFonts w:ascii="宋体" w:hAnsi="宋体" w:hint="eastAsia"/>
          <w:b/>
          <w:bCs/>
          <w:sz w:val="28"/>
          <w:szCs w:val="28"/>
        </w:rPr>
        <w:t>二、产品概况</w:t>
      </w: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5"/>
        <w:gridCol w:w="5685"/>
      </w:tblGrid>
      <w:tr w:rsidR="00FD1C8A" w:rsidRPr="00CD4A56">
        <w:trPr>
          <w:trHeight w:val="480"/>
        </w:trPr>
        <w:tc>
          <w:tcPr>
            <w:tcW w:w="39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FD1C8A" w:rsidRPr="00CD4A56" w:rsidRDefault="00A30416">
            <w:pPr>
              <w:jc w:val="left"/>
              <w:rPr>
                <w:rFonts w:ascii="宋体" w:hAnsi="宋体"/>
              </w:rPr>
            </w:pPr>
            <w:r w:rsidRPr="00CD4A56">
              <w:rPr>
                <w:rFonts w:ascii="宋体" w:hAnsi="宋体" w:cs="微软雅黑"/>
                <w:color w:val="000000"/>
                <w:sz w:val="24"/>
              </w:rPr>
              <w:t>产品名称</w:t>
            </w:r>
          </w:p>
        </w:tc>
        <w:tc>
          <w:tcPr>
            <w:tcW w:w="568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FD1C8A" w:rsidRPr="00CD4A56" w:rsidRDefault="00A30416">
            <w:pPr>
              <w:jc w:val="left"/>
              <w:rPr>
                <w:rFonts w:ascii="宋体" w:hAnsi="宋体"/>
              </w:rPr>
            </w:pPr>
            <w:r w:rsidRPr="00CD4A56">
              <w:rPr>
                <w:rFonts w:ascii="宋体" w:hAnsi="宋体" w:cs="微软雅黑"/>
                <w:color w:val="000000"/>
                <w:sz w:val="24"/>
              </w:rPr>
              <w:t>“惠享利1号”定期开放净值型人民币理财产品</w:t>
            </w:r>
          </w:p>
        </w:tc>
      </w:tr>
      <w:tr w:rsidR="00FD1C8A" w:rsidRPr="00CD4A56">
        <w:trPr>
          <w:trHeight w:val="480"/>
        </w:trPr>
        <w:tc>
          <w:tcPr>
            <w:tcW w:w="39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FD1C8A" w:rsidRPr="00CD4A56" w:rsidRDefault="00A30416">
            <w:pPr>
              <w:jc w:val="left"/>
              <w:rPr>
                <w:rFonts w:ascii="宋体" w:hAnsi="宋体"/>
              </w:rPr>
            </w:pPr>
            <w:r w:rsidRPr="00CD4A56">
              <w:rPr>
                <w:rFonts w:ascii="宋体" w:hAnsi="宋体" w:cs="微软雅黑"/>
                <w:color w:val="000000"/>
                <w:sz w:val="24"/>
              </w:rPr>
              <w:t>产品代码</w:t>
            </w:r>
          </w:p>
        </w:tc>
        <w:tc>
          <w:tcPr>
            <w:tcW w:w="568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FD1C8A" w:rsidRPr="00CD4A56" w:rsidRDefault="00A30416">
            <w:pPr>
              <w:jc w:val="left"/>
              <w:rPr>
                <w:rFonts w:ascii="宋体" w:hAnsi="宋体"/>
              </w:rPr>
            </w:pPr>
            <w:r w:rsidRPr="00CD4A56">
              <w:rPr>
                <w:rFonts w:ascii="宋体" w:hAnsi="宋体" w:cs="微软雅黑"/>
                <w:color w:val="000000"/>
                <w:sz w:val="24"/>
              </w:rPr>
              <w:t>19HXL01-1M</w:t>
            </w:r>
          </w:p>
        </w:tc>
      </w:tr>
      <w:tr w:rsidR="00FD1C8A" w:rsidRPr="00CD4A56">
        <w:trPr>
          <w:trHeight w:val="480"/>
        </w:trPr>
        <w:tc>
          <w:tcPr>
            <w:tcW w:w="39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FD1C8A" w:rsidRPr="00CD4A56" w:rsidRDefault="00A30416">
            <w:pPr>
              <w:jc w:val="left"/>
              <w:rPr>
                <w:rFonts w:ascii="宋体" w:hAnsi="宋体"/>
              </w:rPr>
            </w:pPr>
            <w:r w:rsidRPr="00CD4A56">
              <w:rPr>
                <w:rFonts w:ascii="宋体" w:hAnsi="宋体" w:cs="微软雅黑"/>
                <w:color w:val="000000"/>
                <w:sz w:val="24"/>
              </w:rPr>
              <w:t>产品登记编码</w:t>
            </w:r>
          </w:p>
        </w:tc>
        <w:tc>
          <w:tcPr>
            <w:tcW w:w="568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FD1C8A" w:rsidRPr="00CD4A56" w:rsidRDefault="00A30416">
            <w:pPr>
              <w:jc w:val="left"/>
              <w:rPr>
                <w:rFonts w:ascii="宋体" w:hAnsi="宋体"/>
              </w:rPr>
            </w:pPr>
            <w:r w:rsidRPr="00CD4A56">
              <w:rPr>
                <w:rFonts w:ascii="宋体" w:hAnsi="宋体" w:cs="微软雅黑"/>
                <w:color w:val="000000"/>
                <w:sz w:val="24"/>
              </w:rPr>
              <w:t>C1115719000058</w:t>
            </w:r>
          </w:p>
        </w:tc>
      </w:tr>
      <w:tr w:rsidR="00FD1C8A" w:rsidRPr="00CD4A56">
        <w:trPr>
          <w:trHeight w:val="480"/>
        </w:trPr>
        <w:tc>
          <w:tcPr>
            <w:tcW w:w="39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FD1C8A" w:rsidRPr="00CD4A56" w:rsidRDefault="00A30416">
            <w:pPr>
              <w:jc w:val="left"/>
              <w:rPr>
                <w:rFonts w:ascii="宋体" w:hAnsi="宋体"/>
              </w:rPr>
            </w:pPr>
            <w:r w:rsidRPr="00CD4A56">
              <w:rPr>
                <w:rFonts w:ascii="宋体" w:hAnsi="宋体" w:cs="微软雅黑"/>
                <w:color w:val="000000"/>
                <w:sz w:val="24"/>
              </w:rPr>
              <w:t>产品成立日</w:t>
            </w:r>
          </w:p>
        </w:tc>
        <w:tc>
          <w:tcPr>
            <w:tcW w:w="568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FD1C8A" w:rsidRPr="00CD4A56" w:rsidRDefault="00A30416">
            <w:pPr>
              <w:jc w:val="left"/>
              <w:rPr>
                <w:rFonts w:ascii="宋体" w:hAnsi="宋体"/>
              </w:rPr>
            </w:pPr>
            <w:r w:rsidRPr="00CD4A56">
              <w:rPr>
                <w:rFonts w:ascii="宋体" w:hAnsi="宋体" w:cs="微软雅黑"/>
                <w:color w:val="000000"/>
                <w:sz w:val="24"/>
              </w:rPr>
              <w:t>2019年07月10日</w:t>
            </w:r>
          </w:p>
        </w:tc>
      </w:tr>
      <w:tr w:rsidR="00FD1C8A" w:rsidRPr="00CD4A56">
        <w:trPr>
          <w:trHeight w:val="480"/>
        </w:trPr>
        <w:tc>
          <w:tcPr>
            <w:tcW w:w="39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FD1C8A" w:rsidRPr="00CD4A56" w:rsidRDefault="00A30416">
            <w:pPr>
              <w:jc w:val="left"/>
              <w:rPr>
                <w:rFonts w:ascii="宋体" w:hAnsi="宋体"/>
              </w:rPr>
            </w:pPr>
            <w:r w:rsidRPr="00CD4A56">
              <w:rPr>
                <w:rFonts w:ascii="宋体" w:hAnsi="宋体" w:cs="微软雅黑"/>
                <w:color w:val="000000"/>
                <w:sz w:val="24"/>
              </w:rPr>
              <w:t>风险等级</w:t>
            </w:r>
          </w:p>
        </w:tc>
        <w:tc>
          <w:tcPr>
            <w:tcW w:w="568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FD1C8A" w:rsidRPr="00CD4A56" w:rsidRDefault="00A30416">
            <w:pPr>
              <w:jc w:val="left"/>
              <w:rPr>
                <w:rFonts w:ascii="宋体" w:hAnsi="宋体"/>
              </w:rPr>
            </w:pPr>
            <w:r w:rsidRPr="00CD4A56">
              <w:rPr>
                <w:rFonts w:ascii="宋体" w:hAnsi="宋体" w:cs="微软雅黑"/>
                <w:color w:val="000000"/>
                <w:sz w:val="24"/>
              </w:rPr>
              <w:t>二级(中低)</w:t>
            </w:r>
          </w:p>
        </w:tc>
      </w:tr>
      <w:tr w:rsidR="00FD1C8A" w:rsidRPr="00CD4A56">
        <w:trPr>
          <w:trHeight w:val="480"/>
        </w:trPr>
        <w:tc>
          <w:tcPr>
            <w:tcW w:w="39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FD1C8A" w:rsidRPr="00CD4A56" w:rsidRDefault="00A30416">
            <w:pPr>
              <w:jc w:val="left"/>
              <w:rPr>
                <w:rFonts w:ascii="宋体" w:hAnsi="宋体"/>
              </w:rPr>
            </w:pPr>
            <w:r w:rsidRPr="00CD4A56">
              <w:rPr>
                <w:rFonts w:ascii="宋体" w:hAnsi="宋体" w:cs="微软雅黑"/>
                <w:color w:val="000000"/>
                <w:sz w:val="24"/>
              </w:rPr>
              <w:t>报告期末产品份额总额</w:t>
            </w:r>
          </w:p>
        </w:tc>
        <w:tc>
          <w:tcPr>
            <w:tcW w:w="568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FD1C8A" w:rsidRPr="00CD4A56" w:rsidRDefault="00A30416">
            <w:pPr>
              <w:jc w:val="left"/>
              <w:rPr>
                <w:rFonts w:ascii="宋体" w:hAnsi="宋体"/>
              </w:rPr>
            </w:pPr>
            <w:r w:rsidRPr="00CD4A56">
              <w:rPr>
                <w:rFonts w:ascii="宋体" w:hAnsi="宋体" w:cs="微软雅黑"/>
                <w:color w:val="000000"/>
                <w:sz w:val="24"/>
              </w:rPr>
              <w:t>339,480,000.00</w:t>
            </w:r>
          </w:p>
        </w:tc>
      </w:tr>
      <w:tr w:rsidR="00FD1C8A" w:rsidRPr="00CD4A56">
        <w:trPr>
          <w:trHeight w:val="480"/>
        </w:trPr>
        <w:tc>
          <w:tcPr>
            <w:tcW w:w="39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FD1C8A" w:rsidRPr="00CD4A56" w:rsidRDefault="00A30416">
            <w:pPr>
              <w:jc w:val="left"/>
              <w:rPr>
                <w:rFonts w:ascii="宋体" w:hAnsi="宋体"/>
              </w:rPr>
            </w:pPr>
            <w:r w:rsidRPr="00CD4A56">
              <w:rPr>
                <w:rFonts w:ascii="宋体" w:hAnsi="宋体" w:cs="微软雅黑"/>
                <w:color w:val="000000"/>
                <w:sz w:val="24"/>
              </w:rPr>
              <w:t>产品管理人</w:t>
            </w:r>
          </w:p>
        </w:tc>
        <w:tc>
          <w:tcPr>
            <w:tcW w:w="568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FD1C8A" w:rsidRPr="00CD4A56" w:rsidRDefault="00A30416">
            <w:pPr>
              <w:jc w:val="left"/>
              <w:rPr>
                <w:rFonts w:ascii="宋体" w:hAnsi="宋体"/>
              </w:rPr>
            </w:pPr>
            <w:r w:rsidRPr="00CD4A56">
              <w:rPr>
                <w:rFonts w:ascii="宋体" w:hAnsi="宋体" w:cs="微软雅黑"/>
                <w:color w:val="000000"/>
                <w:sz w:val="24"/>
              </w:rPr>
              <w:t>江苏太仓农村商业银行股份有限公司</w:t>
            </w:r>
          </w:p>
        </w:tc>
      </w:tr>
      <w:tr w:rsidR="00FD1C8A" w:rsidRPr="00CD4A56">
        <w:trPr>
          <w:trHeight w:val="480"/>
        </w:trPr>
        <w:tc>
          <w:tcPr>
            <w:tcW w:w="39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FD1C8A" w:rsidRPr="00CD4A56" w:rsidRDefault="00A30416">
            <w:pPr>
              <w:jc w:val="left"/>
              <w:rPr>
                <w:rFonts w:ascii="宋体" w:hAnsi="宋体"/>
              </w:rPr>
            </w:pPr>
            <w:r w:rsidRPr="00CD4A56">
              <w:rPr>
                <w:rFonts w:ascii="宋体" w:hAnsi="宋体" w:cs="微软雅黑"/>
                <w:color w:val="000000"/>
                <w:sz w:val="24"/>
              </w:rPr>
              <w:t>产品托管人</w:t>
            </w:r>
          </w:p>
        </w:tc>
        <w:tc>
          <w:tcPr>
            <w:tcW w:w="568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FD1C8A" w:rsidRPr="00CD4A56" w:rsidRDefault="00A30416">
            <w:pPr>
              <w:jc w:val="left"/>
              <w:rPr>
                <w:rFonts w:ascii="宋体" w:hAnsi="宋体"/>
              </w:rPr>
            </w:pPr>
            <w:r w:rsidRPr="00CD4A56">
              <w:rPr>
                <w:rFonts w:ascii="宋体" w:hAnsi="宋体" w:cs="微软雅黑"/>
                <w:color w:val="000000"/>
                <w:sz w:val="24"/>
              </w:rPr>
              <w:t>江苏银行股份有限公司</w:t>
            </w:r>
          </w:p>
        </w:tc>
      </w:tr>
    </w:tbl>
    <w:p w:rsidR="00FD1C8A" w:rsidRPr="00CD4A56" w:rsidRDefault="00FD1C8A">
      <w:pPr>
        <w:rPr>
          <w:rFonts w:ascii="宋体" w:hAnsi="宋体"/>
          <w:b/>
          <w:bCs/>
          <w:sz w:val="28"/>
          <w:szCs w:val="28"/>
        </w:rPr>
      </w:pPr>
    </w:p>
    <w:p w:rsidR="00FD1C8A" w:rsidRPr="00CD4A56" w:rsidRDefault="00A30416">
      <w:pPr>
        <w:rPr>
          <w:rFonts w:ascii="宋体" w:hAnsi="宋体" w:cs="Times New Roman"/>
          <w:b/>
          <w:bCs/>
          <w:sz w:val="28"/>
          <w:szCs w:val="28"/>
        </w:rPr>
      </w:pPr>
      <w:r w:rsidRPr="00CD4A56">
        <w:rPr>
          <w:rFonts w:ascii="宋体" w:hAnsi="宋体" w:hint="eastAsia"/>
          <w:b/>
          <w:bCs/>
          <w:sz w:val="28"/>
          <w:szCs w:val="28"/>
        </w:rPr>
        <w:t>三、产品净值表现</w:t>
      </w:r>
    </w:p>
    <w:tbl>
      <w:tblPr>
        <w:tblW w:w="49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98"/>
        <w:gridCol w:w="5645"/>
      </w:tblGrid>
      <w:tr w:rsidR="00FD1C8A" w:rsidRPr="00CD4A56">
        <w:trPr>
          <w:trHeight w:val="90"/>
        </w:trPr>
        <w:tc>
          <w:tcPr>
            <w:tcW w:w="3988" w:type="dxa"/>
            <w:tcBorders>
              <w:top w:val="single" w:sz="4" w:space="0" w:color="auto"/>
              <w:left w:val="single" w:sz="4" w:space="0" w:color="auto"/>
              <w:bottom w:val="single" w:sz="4" w:space="0" w:color="auto"/>
              <w:right w:val="single" w:sz="4" w:space="0" w:color="auto"/>
            </w:tcBorders>
            <w:vAlign w:val="center"/>
          </w:tcPr>
          <w:p w:rsidR="00FD1C8A" w:rsidRPr="00CD4A56" w:rsidRDefault="00A30416">
            <w:pPr>
              <w:pStyle w:val="1"/>
              <w:ind w:firstLine="0"/>
              <w:rPr>
                <w:rStyle w:val="10"/>
                <w:rFonts w:ascii="宋体" w:hAnsi="宋体"/>
                <w:sz w:val="24"/>
                <w:szCs w:val="24"/>
              </w:rPr>
            </w:pPr>
            <w:r w:rsidRPr="00CD4A56">
              <w:rPr>
                <w:rFonts w:ascii="宋体" w:hAnsi="宋体" w:hint="eastAsia"/>
                <w:sz w:val="24"/>
                <w:szCs w:val="24"/>
              </w:rPr>
              <w:t>产品净值表现</w:t>
            </w:r>
          </w:p>
        </w:tc>
        <w:tc>
          <w:tcPr>
            <w:tcW w:w="5778" w:type="dxa"/>
            <w:tcBorders>
              <w:top w:val="single" w:sz="4" w:space="0" w:color="auto"/>
              <w:left w:val="nil"/>
              <w:bottom w:val="single" w:sz="4" w:space="0" w:color="auto"/>
              <w:right w:val="single" w:sz="4" w:space="0" w:color="auto"/>
            </w:tcBorders>
          </w:tcPr>
          <w:p w:rsidR="00FD1C8A" w:rsidRPr="00CD4A56" w:rsidRDefault="00A30416">
            <w:pPr>
              <w:pStyle w:val="1"/>
              <w:ind w:firstLineChars="1000" w:firstLine="2400"/>
              <w:rPr>
                <w:rStyle w:val="10"/>
                <w:rFonts w:ascii="宋体" w:hAnsi="宋体"/>
                <w:sz w:val="24"/>
                <w:szCs w:val="24"/>
              </w:rPr>
            </w:pPr>
            <w:r w:rsidRPr="00CD4A56">
              <w:rPr>
                <w:rFonts w:ascii="宋体" w:hAnsi="宋体" w:hint="eastAsia"/>
                <w:sz w:val="24"/>
                <w:szCs w:val="24"/>
              </w:rPr>
              <w:t>报告期</w:t>
            </w:r>
          </w:p>
          <w:p w:rsidR="00FD1C8A" w:rsidRPr="00CD4A56" w:rsidRDefault="00A30416">
            <w:pPr>
              <w:pStyle w:val="1"/>
              <w:ind w:firstLineChars="100" w:firstLine="240"/>
              <w:rPr>
                <w:rStyle w:val="10"/>
                <w:rFonts w:ascii="宋体" w:hAnsi="宋体"/>
                <w:sz w:val="24"/>
                <w:szCs w:val="24"/>
              </w:rPr>
            </w:pPr>
            <w:r w:rsidRPr="00CD4A56">
              <w:rPr>
                <w:rFonts w:ascii="宋体" w:hAnsi="宋体" w:hint="eastAsia"/>
                <w:sz w:val="24"/>
                <w:szCs w:val="24"/>
              </w:rPr>
              <w:t xml:space="preserve">2025年01月01日 </w:t>
            </w:r>
            <w:r w:rsidRPr="00CD4A56">
              <w:rPr>
                <w:rFonts w:ascii="宋体" w:hAnsi="宋体"/>
                <w:sz w:val="24"/>
                <w:szCs w:val="24"/>
              </w:rPr>
              <w:t>至</w:t>
            </w:r>
            <w:r w:rsidRPr="00CD4A56">
              <w:rPr>
                <w:rFonts w:ascii="宋体" w:hAnsi="宋体" w:hint="eastAsia"/>
                <w:sz w:val="24"/>
                <w:szCs w:val="24"/>
              </w:rPr>
              <w:t xml:space="preserve"> 2025年12月31日</w:t>
            </w:r>
          </w:p>
        </w:tc>
      </w:tr>
      <w:tr w:rsidR="00FD1C8A" w:rsidRPr="00CD4A56">
        <w:tc>
          <w:tcPr>
            <w:tcW w:w="3988" w:type="dxa"/>
            <w:tcBorders>
              <w:top w:val="single" w:sz="4" w:space="0" w:color="auto"/>
              <w:left w:val="single" w:sz="4" w:space="0" w:color="auto"/>
              <w:bottom w:val="single" w:sz="4" w:space="0" w:color="auto"/>
              <w:right w:val="single" w:sz="4" w:space="0" w:color="auto"/>
            </w:tcBorders>
          </w:tcPr>
          <w:p w:rsidR="00FD1C8A" w:rsidRPr="00CD4A56" w:rsidRDefault="00A30416">
            <w:pPr>
              <w:pStyle w:val="1"/>
              <w:ind w:firstLine="0"/>
              <w:rPr>
                <w:rStyle w:val="10"/>
                <w:rFonts w:ascii="宋体" w:hAnsi="宋体"/>
                <w:sz w:val="24"/>
                <w:szCs w:val="24"/>
              </w:rPr>
            </w:pPr>
            <w:r w:rsidRPr="00CD4A56">
              <w:rPr>
                <w:rFonts w:ascii="宋体" w:hAnsi="宋体" w:hint="eastAsia"/>
                <w:sz w:val="24"/>
                <w:szCs w:val="24"/>
              </w:rPr>
              <w:t>1.期末产品资产净值</w:t>
            </w:r>
          </w:p>
        </w:tc>
        <w:tc>
          <w:tcPr>
            <w:tcW w:w="5778" w:type="dxa"/>
            <w:tcBorders>
              <w:top w:val="single" w:sz="4" w:space="0" w:color="auto"/>
              <w:left w:val="nil"/>
              <w:bottom w:val="single" w:sz="4" w:space="0" w:color="auto"/>
              <w:right w:val="single" w:sz="4" w:space="0" w:color="auto"/>
            </w:tcBorders>
          </w:tcPr>
          <w:p w:rsidR="00FD1C8A" w:rsidRPr="00CD4A56" w:rsidRDefault="00A30416">
            <w:pPr>
              <w:pStyle w:val="1"/>
              <w:ind w:firstLine="0"/>
              <w:jc w:val="right"/>
              <w:rPr>
                <w:rStyle w:val="10"/>
                <w:rFonts w:ascii="宋体" w:hAnsi="宋体"/>
                <w:sz w:val="24"/>
                <w:szCs w:val="24"/>
              </w:rPr>
            </w:pPr>
            <w:r w:rsidRPr="00CD4A56">
              <w:rPr>
                <w:rFonts w:ascii="宋体" w:hAnsi="宋体" w:hint="eastAsia"/>
                <w:sz w:val="24"/>
                <w:szCs w:val="24"/>
              </w:rPr>
              <w:t>339,738,215.72</w:t>
            </w:r>
          </w:p>
        </w:tc>
      </w:tr>
      <w:tr w:rsidR="00FD1C8A" w:rsidRPr="00CD4A56">
        <w:tc>
          <w:tcPr>
            <w:tcW w:w="3988" w:type="dxa"/>
            <w:tcBorders>
              <w:top w:val="single" w:sz="4" w:space="0" w:color="auto"/>
              <w:left w:val="single" w:sz="4" w:space="0" w:color="auto"/>
              <w:bottom w:val="single" w:sz="4" w:space="0" w:color="auto"/>
              <w:right w:val="single" w:sz="4" w:space="0" w:color="auto"/>
            </w:tcBorders>
          </w:tcPr>
          <w:p w:rsidR="00FD1C8A" w:rsidRPr="00CD4A56" w:rsidRDefault="00A30416">
            <w:pPr>
              <w:pStyle w:val="1"/>
              <w:ind w:firstLine="0"/>
              <w:rPr>
                <w:rStyle w:val="10"/>
                <w:rFonts w:ascii="宋体" w:hAnsi="宋体"/>
                <w:sz w:val="24"/>
                <w:szCs w:val="24"/>
              </w:rPr>
            </w:pPr>
            <w:r w:rsidRPr="00CD4A56">
              <w:rPr>
                <w:rFonts w:ascii="宋体" w:hAnsi="宋体" w:hint="eastAsia"/>
                <w:sz w:val="24"/>
                <w:szCs w:val="24"/>
              </w:rPr>
              <w:t>2.期末产品份额净值</w:t>
            </w:r>
          </w:p>
        </w:tc>
        <w:tc>
          <w:tcPr>
            <w:tcW w:w="5778" w:type="dxa"/>
            <w:tcBorders>
              <w:top w:val="single" w:sz="4" w:space="0" w:color="auto"/>
              <w:left w:val="nil"/>
              <w:bottom w:val="single" w:sz="4" w:space="0" w:color="auto"/>
              <w:right w:val="single" w:sz="4" w:space="0" w:color="auto"/>
            </w:tcBorders>
          </w:tcPr>
          <w:p w:rsidR="00FD1C8A" w:rsidRPr="00CD4A56" w:rsidRDefault="00A30416">
            <w:pPr>
              <w:pStyle w:val="1"/>
              <w:ind w:firstLine="0"/>
              <w:jc w:val="right"/>
              <w:rPr>
                <w:rStyle w:val="10"/>
                <w:rFonts w:ascii="宋体" w:hAnsi="宋体"/>
                <w:sz w:val="24"/>
                <w:szCs w:val="24"/>
              </w:rPr>
            </w:pPr>
            <w:r w:rsidRPr="00CD4A56">
              <w:rPr>
                <w:rFonts w:ascii="宋体" w:hAnsi="宋体" w:hint="eastAsia"/>
                <w:sz w:val="24"/>
                <w:szCs w:val="24"/>
              </w:rPr>
              <w:t>1.00076062</w:t>
            </w:r>
          </w:p>
        </w:tc>
      </w:tr>
      <w:tr w:rsidR="00FD1C8A" w:rsidRPr="00CD4A56">
        <w:trPr>
          <w:trHeight w:val="384"/>
        </w:trPr>
        <w:tc>
          <w:tcPr>
            <w:tcW w:w="3988" w:type="dxa"/>
            <w:tcBorders>
              <w:top w:val="single" w:sz="4" w:space="0" w:color="auto"/>
              <w:left w:val="single" w:sz="4" w:space="0" w:color="auto"/>
              <w:bottom w:val="single" w:sz="4" w:space="0" w:color="auto"/>
              <w:right w:val="single" w:sz="4" w:space="0" w:color="auto"/>
            </w:tcBorders>
          </w:tcPr>
          <w:p w:rsidR="00FD1C8A" w:rsidRPr="00CD4A56" w:rsidRDefault="00A30416">
            <w:pPr>
              <w:pStyle w:val="1"/>
              <w:ind w:firstLine="0"/>
              <w:rPr>
                <w:rStyle w:val="10"/>
                <w:rFonts w:ascii="宋体" w:hAnsi="宋体"/>
                <w:sz w:val="24"/>
                <w:szCs w:val="24"/>
              </w:rPr>
            </w:pPr>
            <w:r w:rsidRPr="00CD4A56">
              <w:rPr>
                <w:rFonts w:ascii="宋体" w:hAnsi="宋体" w:hint="eastAsia"/>
                <w:sz w:val="24"/>
                <w:szCs w:val="24"/>
              </w:rPr>
              <w:t>3.期末产品份额累计净值</w:t>
            </w:r>
          </w:p>
        </w:tc>
        <w:tc>
          <w:tcPr>
            <w:tcW w:w="5778" w:type="dxa"/>
            <w:tcBorders>
              <w:top w:val="single" w:sz="4" w:space="0" w:color="auto"/>
              <w:left w:val="nil"/>
              <w:bottom w:val="single" w:sz="4" w:space="0" w:color="auto"/>
              <w:right w:val="single" w:sz="4" w:space="0" w:color="auto"/>
            </w:tcBorders>
          </w:tcPr>
          <w:p w:rsidR="00FD1C8A" w:rsidRPr="00CD4A56" w:rsidRDefault="00A30416">
            <w:pPr>
              <w:pStyle w:val="1"/>
              <w:ind w:firstLine="0"/>
              <w:jc w:val="right"/>
              <w:rPr>
                <w:rStyle w:val="10"/>
                <w:rFonts w:ascii="宋体" w:hAnsi="宋体"/>
                <w:sz w:val="24"/>
                <w:szCs w:val="24"/>
              </w:rPr>
            </w:pPr>
            <w:r w:rsidRPr="00CD4A56">
              <w:rPr>
                <w:rFonts w:ascii="宋体" w:hAnsi="宋体" w:hint="eastAsia"/>
                <w:sz w:val="24"/>
                <w:szCs w:val="24"/>
              </w:rPr>
              <w:t>1.20420997</w:t>
            </w:r>
          </w:p>
        </w:tc>
      </w:tr>
    </w:tbl>
    <w:p w:rsidR="00FD1C8A" w:rsidRPr="00CD4A56" w:rsidRDefault="00FD1C8A">
      <w:pPr>
        <w:rPr>
          <w:rFonts w:ascii="宋体" w:hAnsi="宋体"/>
          <w:b/>
          <w:bCs/>
          <w:sz w:val="28"/>
          <w:szCs w:val="28"/>
        </w:rPr>
      </w:pPr>
    </w:p>
    <w:p w:rsidR="00FD1C8A" w:rsidRPr="00CD4A56" w:rsidRDefault="00A30416">
      <w:pPr>
        <w:rPr>
          <w:rFonts w:ascii="宋体" w:hAnsi="宋体" w:cs="Times New Roman"/>
          <w:b/>
          <w:bCs/>
          <w:sz w:val="28"/>
          <w:szCs w:val="28"/>
        </w:rPr>
      </w:pPr>
      <w:r w:rsidRPr="00CD4A56">
        <w:rPr>
          <w:rFonts w:ascii="宋体" w:hAnsi="宋体" w:hint="eastAsia"/>
          <w:b/>
          <w:bCs/>
          <w:sz w:val="28"/>
          <w:szCs w:val="28"/>
        </w:rPr>
        <w:t>四、投资情况</w:t>
      </w:r>
    </w:p>
    <w:tbl>
      <w:tblPr>
        <w:tblW w:w="49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4"/>
        <w:gridCol w:w="2181"/>
        <w:gridCol w:w="1467"/>
        <w:gridCol w:w="2225"/>
        <w:gridCol w:w="1440"/>
      </w:tblGrid>
      <w:tr w:rsidR="00FD1C8A" w:rsidRPr="00CD4A56" w:rsidTr="00A30416">
        <w:tc>
          <w:tcPr>
            <w:tcW w:w="2358" w:type="dxa"/>
            <w:vMerge w:val="restart"/>
            <w:tcBorders>
              <w:top w:val="single" w:sz="4" w:space="0" w:color="auto"/>
              <w:left w:val="single" w:sz="4" w:space="0" w:color="auto"/>
              <w:bottom w:val="single" w:sz="4" w:space="0" w:color="auto"/>
              <w:right w:val="single" w:sz="4" w:space="0" w:color="auto"/>
            </w:tcBorders>
            <w:vAlign w:val="center"/>
          </w:tcPr>
          <w:p w:rsidR="00FD1C8A" w:rsidRPr="00CD4A56" w:rsidRDefault="00A30416">
            <w:pPr>
              <w:pStyle w:val="1"/>
              <w:ind w:firstLine="0"/>
              <w:rPr>
                <w:rStyle w:val="10"/>
                <w:rFonts w:ascii="宋体" w:hAnsi="宋体"/>
                <w:sz w:val="24"/>
                <w:szCs w:val="24"/>
              </w:rPr>
            </w:pPr>
            <w:r w:rsidRPr="00CD4A56">
              <w:rPr>
                <w:rFonts w:ascii="宋体" w:hAnsi="宋体" w:hint="eastAsia"/>
                <w:sz w:val="24"/>
                <w:szCs w:val="24"/>
              </w:rPr>
              <w:t>项</w:t>
            </w:r>
          </w:p>
          <w:p w:rsidR="00FD1C8A" w:rsidRPr="00CD4A56" w:rsidRDefault="00A30416">
            <w:pPr>
              <w:pStyle w:val="1"/>
              <w:ind w:firstLine="0"/>
              <w:rPr>
                <w:rStyle w:val="10"/>
                <w:rFonts w:ascii="宋体" w:hAnsi="宋体"/>
                <w:sz w:val="24"/>
                <w:szCs w:val="24"/>
              </w:rPr>
            </w:pPr>
            <w:r w:rsidRPr="00CD4A56">
              <w:rPr>
                <w:rFonts w:ascii="宋体" w:hAnsi="宋体" w:hint="eastAsia"/>
                <w:sz w:val="24"/>
                <w:szCs w:val="24"/>
              </w:rPr>
              <w:lastRenderedPageBreak/>
              <w:t>目</w:t>
            </w:r>
          </w:p>
        </w:tc>
        <w:tc>
          <w:tcPr>
            <w:tcW w:w="3732" w:type="dxa"/>
            <w:gridSpan w:val="2"/>
            <w:tcBorders>
              <w:top w:val="single" w:sz="4" w:space="0" w:color="auto"/>
              <w:left w:val="nil"/>
              <w:bottom w:val="single" w:sz="4" w:space="0" w:color="auto"/>
              <w:right w:val="single" w:sz="4" w:space="0" w:color="auto"/>
            </w:tcBorders>
          </w:tcPr>
          <w:p w:rsidR="00FD1C8A" w:rsidRPr="00CD4A56" w:rsidRDefault="00A30416">
            <w:pPr>
              <w:pStyle w:val="1"/>
              <w:ind w:firstLine="0"/>
              <w:rPr>
                <w:rStyle w:val="10"/>
                <w:rFonts w:ascii="宋体" w:hAnsi="宋体"/>
                <w:sz w:val="24"/>
                <w:szCs w:val="24"/>
              </w:rPr>
            </w:pPr>
            <w:r w:rsidRPr="00CD4A56">
              <w:rPr>
                <w:rFonts w:ascii="宋体" w:hAnsi="宋体" w:hint="eastAsia"/>
                <w:sz w:val="24"/>
                <w:szCs w:val="24"/>
              </w:rPr>
              <w:lastRenderedPageBreak/>
              <w:t>直接投资</w:t>
            </w:r>
          </w:p>
        </w:tc>
        <w:tc>
          <w:tcPr>
            <w:tcW w:w="3750" w:type="dxa"/>
            <w:gridSpan w:val="2"/>
            <w:tcBorders>
              <w:top w:val="single" w:sz="4" w:space="0" w:color="auto"/>
              <w:left w:val="nil"/>
              <w:bottom w:val="single" w:sz="4" w:space="0" w:color="auto"/>
              <w:right w:val="single" w:sz="4" w:space="0" w:color="auto"/>
            </w:tcBorders>
          </w:tcPr>
          <w:p w:rsidR="00FD1C8A" w:rsidRPr="00CD4A56" w:rsidRDefault="00A30416">
            <w:pPr>
              <w:pStyle w:val="1"/>
              <w:ind w:firstLine="0"/>
              <w:rPr>
                <w:rStyle w:val="10"/>
                <w:rFonts w:ascii="宋体" w:hAnsi="宋体"/>
                <w:sz w:val="24"/>
                <w:szCs w:val="24"/>
              </w:rPr>
            </w:pPr>
            <w:r w:rsidRPr="00CD4A56">
              <w:rPr>
                <w:rFonts w:ascii="宋体" w:hAnsi="宋体" w:hint="eastAsia"/>
                <w:sz w:val="24"/>
                <w:szCs w:val="24"/>
              </w:rPr>
              <w:t>间接投资</w:t>
            </w:r>
          </w:p>
        </w:tc>
      </w:tr>
      <w:tr w:rsidR="00FD1C8A" w:rsidRPr="00CD4A56" w:rsidTr="00A30416">
        <w:tc>
          <w:tcPr>
            <w:tcW w:w="2358" w:type="dxa"/>
            <w:vMerge/>
            <w:tcBorders>
              <w:top w:val="single" w:sz="4" w:space="0" w:color="auto"/>
              <w:left w:val="single" w:sz="4" w:space="0" w:color="auto"/>
              <w:bottom w:val="single" w:sz="4" w:space="0" w:color="auto"/>
              <w:right w:val="single" w:sz="4" w:space="0" w:color="auto"/>
            </w:tcBorders>
            <w:vAlign w:val="center"/>
          </w:tcPr>
          <w:p w:rsidR="00FD1C8A" w:rsidRPr="00CD4A56" w:rsidRDefault="00FD1C8A">
            <w:pPr>
              <w:widowControl/>
              <w:jc w:val="left"/>
              <w:rPr>
                <w:rStyle w:val="10"/>
                <w:rFonts w:ascii="宋体" w:hAnsi="宋体"/>
                <w:sz w:val="24"/>
                <w:szCs w:val="24"/>
              </w:rPr>
            </w:pPr>
          </w:p>
        </w:tc>
        <w:tc>
          <w:tcPr>
            <w:tcW w:w="2232" w:type="dxa"/>
            <w:tcBorders>
              <w:top w:val="single" w:sz="4" w:space="0" w:color="auto"/>
              <w:left w:val="nil"/>
              <w:bottom w:val="single" w:sz="4" w:space="0" w:color="auto"/>
              <w:right w:val="single" w:sz="4" w:space="0" w:color="auto"/>
            </w:tcBorders>
          </w:tcPr>
          <w:p w:rsidR="00FD1C8A" w:rsidRPr="00CD4A56" w:rsidRDefault="00A30416">
            <w:pPr>
              <w:pStyle w:val="1"/>
              <w:ind w:firstLine="0"/>
              <w:rPr>
                <w:rStyle w:val="10"/>
                <w:rFonts w:ascii="宋体" w:hAnsi="宋体"/>
                <w:sz w:val="24"/>
                <w:szCs w:val="24"/>
              </w:rPr>
            </w:pPr>
            <w:r w:rsidRPr="00CD4A56">
              <w:rPr>
                <w:rFonts w:ascii="宋体" w:hAnsi="宋体" w:hint="eastAsia"/>
                <w:sz w:val="24"/>
                <w:szCs w:val="24"/>
              </w:rPr>
              <w:t>资产余额（元）</w:t>
            </w:r>
          </w:p>
        </w:tc>
        <w:tc>
          <w:tcPr>
            <w:tcW w:w="1500" w:type="dxa"/>
            <w:tcBorders>
              <w:top w:val="single" w:sz="4" w:space="0" w:color="auto"/>
              <w:left w:val="nil"/>
              <w:bottom w:val="single" w:sz="4" w:space="0" w:color="auto"/>
              <w:right w:val="single" w:sz="4" w:space="0" w:color="auto"/>
            </w:tcBorders>
          </w:tcPr>
          <w:p w:rsidR="00FD1C8A" w:rsidRPr="00CD4A56" w:rsidRDefault="00A30416">
            <w:pPr>
              <w:pStyle w:val="1"/>
              <w:ind w:firstLine="0"/>
              <w:rPr>
                <w:rStyle w:val="10"/>
                <w:rFonts w:ascii="宋体" w:hAnsi="宋体"/>
                <w:sz w:val="24"/>
                <w:szCs w:val="24"/>
              </w:rPr>
            </w:pPr>
            <w:r w:rsidRPr="00CD4A56">
              <w:rPr>
                <w:rFonts w:ascii="宋体" w:hAnsi="宋体" w:hint="eastAsia"/>
                <w:sz w:val="24"/>
                <w:szCs w:val="24"/>
              </w:rPr>
              <w:t>占产品总资产的比例</w:t>
            </w:r>
          </w:p>
        </w:tc>
        <w:tc>
          <w:tcPr>
            <w:tcW w:w="2278" w:type="dxa"/>
            <w:tcBorders>
              <w:top w:val="single" w:sz="4" w:space="0" w:color="auto"/>
              <w:left w:val="nil"/>
              <w:bottom w:val="single" w:sz="4" w:space="0" w:color="auto"/>
              <w:right w:val="single" w:sz="4" w:space="0" w:color="auto"/>
            </w:tcBorders>
          </w:tcPr>
          <w:p w:rsidR="00FD1C8A" w:rsidRPr="00CD4A56" w:rsidRDefault="00A30416">
            <w:pPr>
              <w:pStyle w:val="1"/>
              <w:ind w:firstLine="0"/>
              <w:rPr>
                <w:rStyle w:val="10"/>
                <w:rFonts w:ascii="宋体" w:hAnsi="宋体"/>
                <w:sz w:val="24"/>
                <w:szCs w:val="24"/>
              </w:rPr>
            </w:pPr>
            <w:r w:rsidRPr="00CD4A56">
              <w:rPr>
                <w:rFonts w:ascii="宋体" w:hAnsi="宋体" w:hint="eastAsia"/>
                <w:sz w:val="24"/>
                <w:szCs w:val="24"/>
              </w:rPr>
              <w:t>资产余额（元）</w:t>
            </w:r>
          </w:p>
        </w:tc>
        <w:tc>
          <w:tcPr>
            <w:tcW w:w="1472" w:type="dxa"/>
            <w:tcBorders>
              <w:top w:val="single" w:sz="4" w:space="0" w:color="auto"/>
              <w:left w:val="nil"/>
              <w:bottom w:val="single" w:sz="4" w:space="0" w:color="auto"/>
              <w:right w:val="single" w:sz="4" w:space="0" w:color="auto"/>
            </w:tcBorders>
          </w:tcPr>
          <w:p w:rsidR="00FD1C8A" w:rsidRPr="00CD4A56" w:rsidRDefault="00A30416">
            <w:pPr>
              <w:pStyle w:val="1"/>
              <w:ind w:firstLine="0"/>
              <w:rPr>
                <w:rStyle w:val="10"/>
                <w:rFonts w:ascii="宋体" w:hAnsi="宋体"/>
                <w:sz w:val="24"/>
                <w:szCs w:val="24"/>
              </w:rPr>
            </w:pPr>
            <w:r w:rsidRPr="00CD4A56">
              <w:rPr>
                <w:rFonts w:ascii="宋体" w:hAnsi="宋体" w:hint="eastAsia"/>
                <w:sz w:val="24"/>
                <w:szCs w:val="24"/>
              </w:rPr>
              <w:t>占产品总资产的比例</w:t>
            </w:r>
          </w:p>
        </w:tc>
      </w:tr>
      <w:tr w:rsidR="00FD1C8A" w:rsidRPr="00CD4A56" w:rsidTr="00A30416">
        <w:tc>
          <w:tcPr>
            <w:tcW w:w="2358" w:type="dxa"/>
            <w:tcBorders>
              <w:top w:val="single" w:sz="4" w:space="0" w:color="auto"/>
              <w:left w:val="single" w:sz="4" w:space="0" w:color="auto"/>
              <w:bottom w:val="single" w:sz="4" w:space="0" w:color="auto"/>
              <w:right w:val="single" w:sz="4" w:space="0" w:color="auto"/>
            </w:tcBorders>
          </w:tcPr>
          <w:p w:rsidR="00FD1C8A" w:rsidRPr="00CD4A56" w:rsidRDefault="00A30416">
            <w:pPr>
              <w:pStyle w:val="1"/>
              <w:ind w:firstLine="0"/>
              <w:rPr>
                <w:rStyle w:val="10"/>
                <w:rFonts w:ascii="宋体" w:hAnsi="宋体"/>
                <w:sz w:val="24"/>
                <w:szCs w:val="24"/>
              </w:rPr>
            </w:pPr>
            <w:r w:rsidRPr="00CD4A56">
              <w:rPr>
                <w:rFonts w:ascii="宋体" w:hAnsi="宋体" w:hint="eastAsia"/>
                <w:sz w:val="24"/>
                <w:szCs w:val="24"/>
              </w:rPr>
              <w:lastRenderedPageBreak/>
              <w:t>1. 固定收益类</w:t>
            </w:r>
          </w:p>
        </w:tc>
        <w:tc>
          <w:tcPr>
            <w:tcW w:w="2232" w:type="dxa"/>
            <w:tcBorders>
              <w:top w:val="single" w:sz="4" w:space="0" w:color="auto"/>
              <w:left w:val="nil"/>
              <w:bottom w:val="single" w:sz="4" w:space="0" w:color="auto"/>
              <w:right w:val="single" w:sz="4" w:space="0" w:color="auto"/>
            </w:tcBorders>
            <w:vAlign w:val="bottom"/>
          </w:tcPr>
          <w:p w:rsidR="00FD1C8A" w:rsidRPr="00CD4A56" w:rsidRDefault="00A30416">
            <w:pPr>
              <w:pStyle w:val="1"/>
              <w:ind w:firstLine="0"/>
              <w:rPr>
                <w:rStyle w:val="10"/>
                <w:rFonts w:ascii="宋体" w:hAnsi="宋体"/>
                <w:sz w:val="24"/>
                <w:szCs w:val="24"/>
              </w:rPr>
            </w:pPr>
            <w:r w:rsidRPr="00CD4A56">
              <w:rPr>
                <w:rFonts w:ascii="宋体" w:hAnsi="宋体" w:hint="eastAsia"/>
                <w:sz w:val="24"/>
                <w:szCs w:val="24"/>
              </w:rPr>
              <w:t>340,203,702.79</w:t>
            </w:r>
          </w:p>
        </w:tc>
        <w:tc>
          <w:tcPr>
            <w:tcW w:w="1500" w:type="dxa"/>
            <w:tcBorders>
              <w:top w:val="single" w:sz="4" w:space="0" w:color="auto"/>
              <w:left w:val="nil"/>
              <w:bottom w:val="single" w:sz="4" w:space="0" w:color="auto"/>
              <w:right w:val="single" w:sz="4" w:space="0" w:color="auto"/>
            </w:tcBorders>
            <w:vAlign w:val="bottom"/>
          </w:tcPr>
          <w:p w:rsidR="00FD1C8A" w:rsidRPr="00CD4A56" w:rsidRDefault="00A30416">
            <w:pPr>
              <w:pStyle w:val="1"/>
              <w:ind w:firstLine="0"/>
              <w:rPr>
                <w:rStyle w:val="10"/>
                <w:rFonts w:ascii="宋体" w:hAnsi="宋体"/>
                <w:sz w:val="24"/>
                <w:szCs w:val="24"/>
              </w:rPr>
            </w:pPr>
            <w:r w:rsidRPr="00CD4A56">
              <w:rPr>
                <w:rFonts w:ascii="宋体" w:hAnsi="宋体" w:hint="eastAsia"/>
                <w:sz w:val="24"/>
                <w:szCs w:val="24"/>
              </w:rPr>
              <w:t>100.00%</w:t>
            </w:r>
          </w:p>
        </w:tc>
        <w:tc>
          <w:tcPr>
            <w:tcW w:w="2278" w:type="dxa"/>
            <w:tcBorders>
              <w:top w:val="single" w:sz="4" w:space="0" w:color="auto"/>
              <w:left w:val="nil"/>
              <w:bottom w:val="single" w:sz="4" w:space="0" w:color="auto"/>
              <w:right w:val="single" w:sz="4" w:space="0" w:color="auto"/>
            </w:tcBorders>
            <w:vAlign w:val="bottom"/>
          </w:tcPr>
          <w:p w:rsidR="00FD1C8A" w:rsidRPr="00CD4A56" w:rsidRDefault="00A30416">
            <w:pPr>
              <w:pStyle w:val="1"/>
              <w:ind w:firstLine="0"/>
              <w:rPr>
                <w:rStyle w:val="10"/>
                <w:rFonts w:ascii="宋体" w:hAnsi="宋体"/>
                <w:sz w:val="24"/>
                <w:szCs w:val="24"/>
              </w:rPr>
            </w:pPr>
            <w:r w:rsidRPr="00CD4A56">
              <w:rPr>
                <w:rFonts w:ascii="宋体" w:hAnsi="宋体" w:hint="eastAsia"/>
                <w:sz w:val="24"/>
                <w:szCs w:val="24"/>
              </w:rPr>
              <w:t>0.00</w:t>
            </w:r>
          </w:p>
        </w:tc>
        <w:tc>
          <w:tcPr>
            <w:tcW w:w="1472" w:type="dxa"/>
            <w:tcBorders>
              <w:top w:val="single" w:sz="4" w:space="0" w:color="auto"/>
              <w:left w:val="nil"/>
              <w:bottom w:val="single" w:sz="4" w:space="0" w:color="auto"/>
              <w:right w:val="single" w:sz="4" w:space="0" w:color="auto"/>
            </w:tcBorders>
            <w:vAlign w:val="bottom"/>
          </w:tcPr>
          <w:p w:rsidR="00FD1C8A" w:rsidRPr="00CD4A56" w:rsidRDefault="00A30416">
            <w:pPr>
              <w:pStyle w:val="1"/>
              <w:ind w:firstLine="0"/>
              <w:rPr>
                <w:rStyle w:val="10"/>
                <w:rFonts w:ascii="宋体" w:hAnsi="宋体"/>
                <w:sz w:val="24"/>
                <w:szCs w:val="24"/>
              </w:rPr>
            </w:pPr>
            <w:r w:rsidRPr="00CD4A56">
              <w:rPr>
                <w:rFonts w:ascii="宋体" w:hAnsi="宋体" w:hint="eastAsia"/>
                <w:sz w:val="24"/>
                <w:szCs w:val="24"/>
              </w:rPr>
              <w:t>0.00%</w:t>
            </w:r>
          </w:p>
        </w:tc>
      </w:tr>
      <w:tr w:rsidR="00FD1C8A" w:rsidRPr="00CD4A56" w:rsidTr="00A30416">
        <w:tc>
          <w:tcPr>
            <w:tcW w:w="2358" w:type="dxa"/>
            <w:tcBorders>
              <w:top w:val="single" w:sz="4" w:space="0" w:color="auto"/>
              <w:left w:val="single" w:sz="4" w:space="0" w:color="auto"/>
              <w:bottom w:val="single" w:sz="4" w:space="0" w:color="auto"/>
              <w:right w:val="single" w:sz="4" w:space="0" w:color="auto"/>
            </w:tcBorders>
          </w:tcPr>
          <w:p w:rsidR="00FD1C8A" w:rsidRPr="00CD4A56" w:rsidRDefault="00A30416">
            <w:pPr>
              <w:pStyle w:val="1"/>
              <w:ind w:firstLine="0"/>
              <w:rPr>
                <w:rStyle w:val="10"/>
                <w:rFonts w:ascii="宋体" w:hAnsi="宋体"/>
                <w:sz w:val="24"/>
                <w:szCs w:val="24"/>
              </w:rPr>
            </w:pPr>
            <w:r w:rsidRPr="00CD4A56">
              <w:rPr>
                <w:rFonts w:ascii="宋体" w:hAnsi="宋体" w:hint="eastAsia"/>
                <w:sz w:val="24"/>
                <w:szCs w:val="24"/>
              </w:rPr>
              <w:t>其中：</w:t>
            </w:r>
          </w:p>
          <w:p w:rsidR="00FD1C8A" w:rsidRPr="00CD4A56" w:rsidRDefault="00A30416">
            <w:pPr>
              <w:pStyle w:val="1"/>
              <w:ind w:firstLine="0"/>
              <w:rPr>
                <w:rStyle w:val="10"/>
                <w:rFonts w:ascii="宋体" w:hAnsi="宋体"/>
                <w:sz w:val="24"/>
                <w:szCs w:val="24"/>
              </w:rPr>
            </w:pPr>
            <w:r w:rsidRPr="00CD4A56">
              <w:rPr>
                <w:rFonts w:ascii="宋体" w:hAnsi="宋体" w:hint="eastAsia"/>
                <w:sz w:val="24"/>
                <w:szCs w:val="24"/>
              </w:rPr>
              <w:t>现金及货币工具</w:t>
            </w:r>
          </w:p>
        </w:tc>
        <w:tc>
          <w:tcPr>
            <w:tcW w:w="2232" w:type="dxa"/>
            <w:tcBorders>
              <w:top w:val="single" w:sz="4" w:space="0" w:color="auto"/>
              <w:left w:val="nil"/>
              <w:bottom w:val="single" w:sz="4" w:space="0" w:color="auto"/>
              <w:right w:val="single" w:sz="4" w:space="0" w:color="auto"/>
            </w:tcBorders>
            <w:vAlign w:val="bottom"/>
          </w:tcPr>
          <w:p w:rsidR="00FD1C8A" w:rsidRPr="00CD4A56" w:rsidRDefault="00A30416">
            <w:pPr>
              <w:pStyle w:val="1"/>
              <w:ind w:firstLine="0"/>
              <w:rPr>
                <w:rStyle w:val="10"/>
                <w:rFonts w:ascii="宋体" w:hAnsi="宋体"/>
                <w:sz w:val="24"/>
                <w:szCs w:val="24"/>
              </w:rPr>
            </w:pPr>
            <w:r w:rsidRPr="00CD4A56">
              <w:rPr>
                <w:rFonts w:ascii="宋体" w:hAnsi="宋体" w:hint="eastAsia"/>
                <w:sz w:val="24"/>
                <w:szCs w:val="24"/>
              </w:rPr>
              <w:t>36,681,381.48</w:t>
            </w:r>
          </w:p>
        </w:tc>
        <w:tc>
          <w:tcPr>
            <w:tcW w:w="1500" w:type="dxa"/>
            <w:tcBorders>
              <w:top w:val="single" w:sz="4" w:space="0" w:color="auto"/>
              <w:left w:val="nil"/>
              <w:bottom w:val="single" w:sz="4" w:space="0" w:color="auto"/>
              <w:right w:val="single" w:sz="4" w:space="0" w:color="auto"/>
            </w:tcBorders>
            <w:vAlign w:val="bottom"/>
          </w:tcPr>
          <w:p w:rsidR="00FD1C8A" w:rsidRPr="00CD4A56" w:rsidRDefault="00A30416">
            <w:pPr>
              <w:pStyle w:val="1"/>
              <w:ind w:firstLine="0"/>
              <w:rPr>
                <w:rStyle w:val="10"/>
                <w:rFonts w:ascii="宋体" w:hAnsi="宋体"/>
                <w:sz w:val="24"/>
                <w:szCs w:val="24"/>
              </w:rPr>
            </w:pPr>
            <w:r w:rsidRPr="00CD4A56">
              <w:rPr>
                <w:rFonts w:ascii="宋体" w:hAnsi="宋体" w:hint="eastAsia"/>
                <w:sz w:val="24"/>
                <w:szCs w:val="24"/>
              </w:rPr>
              <w:t>10.78%</w:t>
            </w:r>
          </w:p>
        </w:tc>
        <w:tc>
          <w:tcPr>
            <w:tcW w:w="2278" w:type="dxa"/>
            <w:tcBorders>
              <w:top w:val="single" w:sz="4" w:space="0" w:color="auto"/>
              <w:left w:val="nil"/>
              <w:bottom w:val="single" w:sz="4" w:space="0" w:color="auto"/>
              <w:right w:val="single" w:sz="4" w:space="0" w:color="auto"/>
            </w:tcBorders>
            <w:vAlign w:val="bottom"/>
          </w:tcPr>
          <w:p w:rsidR="00FD1C8A" w:rsidRPr="00CD4A56" w:rsidRDefault="00A30416">
            <w:pPr>
              <w:pStyle w:val="1"/>
              <w:ind w:firstLine="0"/>
              <w:rPr>
                <w:rStyle w:val="10"/>
                <w:rFonts w:ascii="宋体" w:hAnsi="宋体"/>
                <w:sz w:val="24"/>
                <w:szCs w:val="24"/>
              </w:rPr>
            </w:pPr>
            <w:r w:rsidRPr="00CD4A56">
              <w:rPr>
                <w:rFonts w:ascii="宋体" w:hAnsi="宋体" w:hint="eastAsia"/>
                <w:sz w:val="24"/>
                <w:szCs w:val="24"/>
              </w:rPr>
              <w:t>0.00</w:t>
            </w:r>
          </w:p>
        </w:tc>
        <w:tc>
          <w:tcPr>
            <w:tcW w:w="1472" w:type="dxa"/>
            <w:tcBorders>
              <w:top w:val="single" w:sz="4" w:space="0" w:color="auto"/>
              <w:left w:val="nil"/>
              <w:bottom w:val="single" w:sz="4" w:space="0" w:color="auto"/>
              <w:right w:val="single" w:sz="4" w:space="0" w:color="auto"/>
            </w:tcBorders>
            <w:vAlign w:val="bottom"/>
          </w:tcPr>
          <w:p w:rsidR="00FD1C8A" w:rsidRPr="00CD4A56" w:rsidRDefault="00A30416">
            <w:pPr>
              <w:pStyle w:val="1"/>
              <w:ind w:firstLine="0"/>
              <w:rPr>
                <w:rStyle w:val="10"/>
                <w:rFonts w:ascii="宋体" w:hAnsi="宋体"/>
                <w:sz w:val="24"/>
                <w:szCs w:val="24"/>
              </w:rPr>
            </w:pPr>
            <w:r w:rsidRPr="00CD4A56">
              <w:rPr>
                <w:rFonts w:ascii="宋体" w:hAnsi="宋体" w:hint="eastAsia"/>
                <w:sz w:val="24"/>
                <w:szCs w:val="24"/>
              </w:rPr>
              <w:t>0.00%</w:t>
            </w:r>
          </w:p>
        </w:tc>
      </w:tr>
      <w:tr w:rsidR="00FD1C8A" w:rsidRPr="00CD4A56" w:rsidTr="00A30416">
        <w:tc>
          <w:tcPr>
            <w:tcW w:w="2358" w:type="dxa"/>
            <w:tcBorders>
              <w:top w:val="single" w:sz="4" w:space="0" w:color="auto"/>
              <w:left w:val="single" w:sz="4" w:space="0" w:color="auto"/>
              <w:bottom w:val="single" w:sz="4" w:space="0" w:color="auto"/>
              <w:right w:val="single" w:sz="4" w:space="0" w:color="auto"/>
            </w:tcBorders>
          </w:tcPr>
          <w:p w:rsidR="00FD1C8A" w:rsidRPr="00CD4A56" w:rsidRDefault="00A30416">
            <w:pPr>
              <w:pStyle w:val="1"/>
              <w:ind w:firstLine="0"/>
              <w:rPr>
                <w:rStyle w:val="10"/>
                <w:rFonts w:ascii="宋体" w:hAnsi="宋体"/>
                <w:sz w:val="24"/>
                <w:szCs w:val="24"/>
              </w:rPr>
            </w:pPr>
            <w:r w:rsidRPr="00CD4A56">
              <w:rPr>
                <w:rFonts w:ascii="宋体" w:hAnsi="宋体" w:hint="eastAsia"/>
                <w:sz w:val="24"/>
                <w:szCs w:val="24"/>
              </w:rPr>
              <w:t>债券类资产</w:t>
            </w:r>
          </w:p>
        </w:tc>
        <w:tc>
          <w:tcPr>
            <w:tcW w:w="2232" w:type="dxa"/>
            <w:tcBorders>
              <w:top w:val="single" w:sz="4" w:space="0" w:color="auto"/>
              <w:left w:val="nil"/>
              <w:bottom w:val="single" w:sz="4" w:space="0" w:color="auto"/>
              <w:right w:val="single" w:sz="4" w:space="0" w:color="auto"/>
            </w:tcBorders>
            <w:vAlign w:val="bottom"/>
          </w:tcPr>
          <w:p w:rsidR="00FD1C8A" w:rsidRPr="00CD4A56" w:rsidRDefault="00A30416">
            <w:pPr>
              <w:pStyle w:val="1"/>
              <w:ind w:firstLine="0"/>
              <w:rPr>
                <w:rStyle w:val="10"/>
                <w:rFonts w:ascii="宋体" w:hAnsi="宋体"/>
                <w:sz w:val="24"/>
                <w:szCs w:val="24"/>
              </w:rPr>
            </w:pPr>
            <w:r w:rsidRPr="00CD4A56">
              <w:rPr>
                <w:rFonts w:ascii="宋体" w:hAnsi="宋体" w:hint="eastAsia"/>
                <w:sz w:val="24"/>
                <w:szCs w:val="24"/>
              </w:rPr>
              <w:t>303,522,321.31</w:t>
            </w:r>
          </w:p>
        </w:tc>
        <w:tc>
          <w:tcPr>
            <w:tcW w:w="1500" w:type="dxa"/>
            <w:tcBorders>
              <w:top w:val="single" w:sz="4" w:space="0" w:color="auto"/>
              <w:left w:val="nil"/>
              <w:bottom w:val="single" w:sz="4" w:space="0" w:color="auto"/>
              <w:right w:val="single" w:sz="4" w:space="0" w:color="auto"/>
            </w:tcBorders>
            <w:vAlign w:val="bottom"/>
          </w:tcPr>
          <w:p w:rsidR="00FD1C8A" w:rsidRPr="00CD4A56" w:rsidRDefault="00A30416">
            <w:pPr>
              <w:pStyle w:val="1"/>
              <w:ind w:firstLine="0"/>
              <w:rPr>
                <w:rStyle w:val="10"/>
                <w:rFonts w:ascii="宋体" w:hAnsi="宋体"/>
                <w:sz w:val="24"/>
                <w:szCs w:val="24"/>
              </w:rPr>
            </w:pPr>
            <w:r w:rsidRPr="00CD4A56">
              <w:rPr>
                <w:rFonts w:ascii="宋体" w:hAnsi="宋体" w:hint="eastAsia"/>
                <w:sz w:val="24"/>
                <w:szCs w:val="24"/>
              </w:rPr>
              <w:t>89.22%</w:t>
            </w:r>
          </w:p>
        </w:tc>
        <w:tc>
          <w:tcPr>
            <w:tcW w:w="2278" w:type="dxa"/>
            <w:tcBorders>
              <w:top w:val="single" w:sz="4" w:space="0" w:color="auto"/>
              <w:left w:val="nil"/>
              <w:bottom w:val="single" w:sz="4" w:space="0" w:color="auto"/>
              <w:right w:val="single" w:sz="4" w:space="0" w:color="auto"/>
            </w:tcBorders>
            <w:vAlign w:val="bottom"/>
          </w:tcPr>
          <w:p w:rsidR="00FD1C8A" w:rsidRPr="00CD4A56" w:rsidRDefault="00A30416">
            <w:pPr>
              <w:pStyle w:val="1"/>
              <w:ind w:firstLine="0"/>
              <w:rPr>
                <w:rStyle w:val="10"/>
                <w:rFonts w:ascii="宋体" w:hAnsi="宋体"/>
                <w:sz w:val="24"/>
                <w:szCs w:val="24"/>
              </w:rPr>
            </w:pPr>
            <w:r w:rsidRPr="00CD4A56">
              <w:rPr>
                <w:rFonts w:ascii="宋体" w:hAnsi="宋体" w:hint="eastAsia"/>
                <w:sz w:val="24"/>
                <w:szCs w:val="24"/>
              </w:rPr>
              <w:t>0.00</w:t>
            </w:r>
          </w:p>
        </w:tc>
        <w:tc>
          <w:tcPr>
            <w:tcW w:w="1472" w:type="dxa"/>
            <w:tcBorders>
              <w:top w:val="single" w:sz="4" w:space="0" w:color="auto"/>
              <w:left w:val="nil"/>
              <w:bottom w:val="single" w:sz="4" w:space="0" w:color="auto"/>
              <w:right w:val="single" w:sz="4" w:space="0" w:color="auto"/>
            </w:tcBorders>
            <w:vAlign w:val="bottom"/>
          </w:tcPr>
          <w:p w:rsidR="00FD1C8A" w:rsidRPr="00CD4A56" w:rsidRDefault="00A30416">
            <w:pPr>
              <w:pStyle w:val="1"/>
              <w:ind w:firstLine="0"/>
              <w:rPr>
                <w:rStyle w:val="10"/>
                <w:rFonts w:ascii="宋体" w:hAnsi="宋体"/>
                <w:sz w:val="24"/>
                <w:szCs w:val="24"/>
              </w:rPr>
            </w:pPr>
            <w:r w:rsidRPr="00CD4A56">
              <w:rPr>
                <w:rFonts w:ascii="宋体" w:hAnsi="宋体" w:hint="eastAsia"/>
                <w:sz w:val="24"/>
                <w:szCs w:val="24"/>
              </w:rPr>
              <w:t>0.00%</w:t>
            </w:r>
          </w:p>
        </w:tc>
      </w:tr>
      <w:tr w:rsidR="00FD1C8A" w:rsidRPr="00CD4A56" w:rsidTr="00A30416">
        <w:tc>
          <w:tcPr>
            <w:tcW w:w="2358" w:type="dxa"/>
            <w:tcBorders>
              <w:top w:val="single" w:sz="4" w:space="0" w:color="auto"/>
              <w:left w:val="single" w:sz="4" w:space="0" w:color="auto"/>
              <w:bottom w:val="single" w:sz="4" w:space="0" w:color="auto"/>
              <w:right w:val="single" w:sz="4" w:space="0" w:color="auto"/>
            </w:tcBorders>
          </w:tcPr>
          <w:p w:rsidR="00FD1C8A" w:rsidRPr="00CD4A56" w:rsidRDefault="00A30416">
            <w:pPr>
              <w:pStyle w:val="1"/>
              <w:ind w:firstLine="0"/>
              <w:rPr>
                <w:rStyle w:val="10"/>
                <w:rFonts w:ascii="宋体" w:hAnsi="宋体"/>
                <w:sz w:val="24"/>
                <w:szCs w:val="24"/>
              </w:rPr>
            </w:pPr>
            <w:r w:rsidRPr="00CD4A56">
              <w:rPr>
                <w:rFonts w:ascii="宋体" w:hAnsi="宋体" w:hint="eastAsia"/>
                <w:sz w:val="24"/>
                <w:szCs w:val="24"/>
              </w:rPr>
              <w:t>非标准化债权</w:t>
            </w:r>
          </w:p>
        </w:tc>
        <w:tc>
          <w:tcPr>
            <w:tcW w:w="2232" w:type="dxa"/>
            <w:tcBorders>
              <w:top w:val="single" w:sz="4" w:space="0" w:color="auto"/>
              <w:left w:val="nil"/>
              <w:bottom w:val="single" w:sz="4" w:space="0" w:color="auto"/>
              <w:right w:val="single" w:sz="4" w:space="0" w:color="auto"/>
            </w:tcBorders>
            <w:vAlign w:val="bottom"/>
          </w:tcPr>
          <w:p w:rsidR="00FD1C8A" w:rsidRPr="00CD4A56" w:rsidRDefault="00A30416">
            <w:pPr>
              <w:pStyle w:val="1"/>
              <w:ind w:firstLine="0"/>
              <w:rPr>
                <w:rStyle w:val="10"/>
                <w:rFonts w:ascii="宋体" w:hAnsi="宋体"/>
                <w:sz w:val="24"/>
                <w:szCs w:val="24"/>
              </w:rPr>
            </w:pPr>
            <w:r w:rsidRPr="00CD4A56">
              <w:rPr>
                <w:rFonts w:ascii="宋体" w:hAnsi="宋体" w:hint="eastAsia"/>
                <w:sz w:val="24"/>
                <w:szCs w:val="24"/>
              </w:rPr>
              <w:t>0.00</w:t>
            </w:r>
          </w:p>
        </w:tc>
        <w:tc>
          <w:tcPr>
            <w:tcW w:w="1500" w:type="dxa"/>
            <w:tcBorders>
              <w:top w:val="single" w:sz="4" w:space="0" w:color="auto"/>
              <w:left w:val="nil"/>
              <w:bottom w:val="single" w:sz="4" w:space="0" w:color="auto"/>
              <w:right w:val="single" w:sz="4" w:space="0" w:color="auto"/>
            </w:tcBorders>
            <w:vAlign w:val="bottom"/>
          </w:tcPr>
          <w:p w:rsidR="00FD1C8A" w:rsidRPr="00CD4A56" w:rsidRDefault="00A30416">
            <w:pPr>
              <w:pStyle w:val="1"/>
              <w:ind w:firstLine="0"/>
              <w:rPr>
                <w:rStyle w:val="10"/>
                <w:rFonts w:ascii="宋体" w:hAnsi="宋体"/>
                <w:sz w:val="24"/>
                <w:szCs w:val="24"/>
              </w:rPr>
            </w:pPr>
            <w:r w:rsidRPr="00CD4A56">
              <w:rPr>
                <w:rFonts w:ascii="宋体" w:hAnsi="宋体" w:hint="eastAsia"/>
                <w:sz w:val="24"/>
                <w:szCs w:val="24"/>
              </w:rPr>
              <w:t>0.00%</w:t>
            </w:r>
          </w:p>
        </w:tc>
        <w:tc>
          <w:tcPr>
            <w:tcW w:w="2278" w:type="dxa"/>
            <w:tcBorders>
              <w:top w:val="single" w:sz="4" w:space="0" w:color="auto"/>
              <w:left w:val="nil"/>
              <w:bottom w:val="single" w:sz="4" w:space="0" w:color="auto"/>
              <w:right w:val="single" w:sz="4" w:space="0" w:color="auto"/>
            </w:tcBorders>
            <w:vAlign w:val="bottom"/>
          </w:tcPr>
          <w:p w:rsidR="00FD1C8A" w:rsidRPr="00CD4A56" w:rsidRDefault="00A30416">
            <w:pPr>
              <w:pStyle w:val="1"/>
              <w:ind w:firstLine="0"/>
              <w:rPr>
                <w:rStyle w:val="10"/>
                <w:rFonts w:ascii="宋体" w:hAnsi="宋体"/>
                <w:sz w:val="24"/>
                <w:szCs w:val="24"/>
              </w:rPr>
            </w:pPr>
            <w:r w:rsidRPr="00CD4A56">
              <w:rPr>
                <w:rFonts w:ascii="宋体" w:hAnsi="宋体" w:hint="eastAsia"/>
                <w:sz w:val="24"/>
                <w:szCs w:val="24"/>
              </w:rPr>
              <w:t>0.00</w:t>
            </w:r>
          </w:p>
        </w:tc>
        <w:tc>
          <w:tcPr>
            <w:tcW w:w="1472" w:type="dxa"/>
            <w:tcBorders>
              <w:top w:val="single" w:sz="4" w:space="0" w:color="auto"/>
              <w:left w:val="nil"/>
              <w:bottom w:val="single" w:sz="4" w:space="0" w:color="auto"/>
              <w:right w:val="single" w:sz="4" w:space="0" w:color="auto"/>
            </w:tcBorders>
            <w:vAlign w:val="bottom"/>
          </w:tcPr>
          <w:p w:rsidR="00FD1C8A" w:rsidRPr="00CD4A56" w:rsidRDefault="00A30416">
            <w:pPr>
              <w:pStyle w:val="1"/>
              <w:ind w:firstLine="0"/>
              <w:rPr>
                <w:rStyle w:val="10"/>
                <w:rFonts w:ascii="宋体" w:hAnsi="宋体"/>
                <w:sz w:val="24"/>
                <w:szCs w:val="24"/>
              </w:rPr>
            </w:pPr>
            <w:r w:rsidRPr="00CD4A56">
              <w:rPr>
                <w:rFonts w:ascii="宋体" w:hAnsi="宋体" w:hint="eastAsia"/>
                <w:sz w:val="24"/>
                <w:szCs w:val="24"/>
              </w:rPr>
              <w:t>0.00%</w:t>
            </w:r>
          </w:p>
        </w:tc>
      </w:tr>
      <w:tr w:rsidR="00FD1C8A" w:rsidRPr="00CD4A56" w:rsidTr="00A30416">
        <w:tc>
          <w:tcPr>
            <w:tcW w:w="2358" w:type="dxa"/>
            <w:tcBorders>
              <w:top w:val="single" w:sz="4" w:space="0" w:color="auto"/>
              <w:left w:val="single" w:sz="4" w:space="0" w:color="auto"/>
              <w:bottom w:val="single" w:sz="4" w:space="0" w:color="auto"/>
              <w:right w:val="single" w:sz="4" w:space="0" w:color="auto"/>
            </w:tcBorders>
          </w:tcPr>
          <w:p w:rsidR="00FD1C8A" w:rsidRPr="00CD4A56" w:rsidRDefault="00A30416">
            <w:pPr>
              <w:pStyle w:val="1"/>
              <w:ind w:firstLine="0"/>
              <w:rPr>
                <w:rStyle w:val="10"/>
                <w:rFonts w:ascii="宋体" w:hAnsi="宋体"/>
                <w:sz w:val="24"/>
                <w:szCs w:val="24"/>
              </w:rPr>
            </w:pPr>
            <w:r w:rsidRPr="00CD4A56">
              <w:rPr>
                <w:rFonts w:ascii="宋体" w:hAnsi="宋体" w:hint="eastAsia"/>
                <w:sz w:val="24"/>
                <w:szCs w:val="24"/>
              </w:rPr>
              <w:t>其他投资</w:t>
            </w:r>
          </w:p>
        </w:tc>
        <w:tc>
          <w:tcPr>
            <w:tcW w:w="2232" w:type="dxa"/>
            <w:tcBorders>
              <w:top w:val="single" w:sz="4" w:space="0" w:color="auto"/>
              <w:left w:val="nil"/>
              <w:bottom w:val="single" w:sz="4" w:space="0" w:color="auto"/>
              <w:right w:val="single" w:sz="4" w:space="0" w:color="auto"/>
            </w:tcBorders>
            <w:vAlign w:val="bottom"/>
          </w:tcPr>
          <w:p w:rsidR="00FD1C8A" w:rsidRPr="00CD4A56" w:rsidRDefault="00A30416">
            <w:pPr>
              <w:pStyle w:val="1"/>
              <w:ind w:firstLine="0"/>
              <w:rPr>
                <w:rStyle w:val="10"/>
                <w:rFonts w:ascii="宋体" w:hAnsi="宋体"/>
                <w:sz w:val="24"/>
                <w:szCs w:val="24"/>
              </w:rPr>
            </w:pPr>
            <w:r w:rsidRPr="00CD4A56">
              <w:rPr>
                <w:rFonts w:ascii="宋体" w:hAnsi="宋体" w:hint="eastAsia"/>
                <w:sz w:val="24"/>
                <w:szCs w:val="24"/>
              </w:rPr>
              <w:t>0.00</w:t>
            </w:r>
          </w:p>
        </w:tc>
        <w:tc>
          <w:tcPr>
            <w:tcW w:w="1500" w:type="dxa"/>
            <w:tcBorders>
              <w:top w:val="single" w:sz="4" w:space="0" w:color="auto"/>
              <w:left w:val="nil"/>
              <w:bottom w:val="single" w:sz="4" w:space="0" w:color="auto"/>
              <w:right w:val="single" w:sz="4" w:space="0" w:color="auto"/>
            </w:tcBorders>
            <w:vAlign w:val="bottom"/>
          </w:tcPr>
          <w:p w:rsidR="00FD1C8A" w:rsidRPr="00CD4A56" w:rsidRDefault="00A30416">
            <w:pPr>
              <w:pStyle w:val="1"/>
              <w:ind w:firstLine="0"/>
              <w:rPr>
                <w:rStyle w:val="10"/>
                <w:rFonts w:ascii="宋体" w:hAnsi="宋体"/>
                <w:sz w:val="24"/>
                <w:szCs w:val="24"/>
              </w:rPr>
            </w:pPr>
            <w:r w:rsidRPr="00CD4A56">
              <w:rPr>
                <w:rFonts w:ascii="宋体" w:hAnsi="宋体" w:hint="eastAsia"/>
                <w:sz w:val="24"/>
                <w:szCs w:val="24"/>
              </w:rPr>
              <w:t>0.00%</w:t>
            </w:r>
          </w:p>
        </w:tc>
        <w:tc>
          <w:tcPr>
            <w:tcW w:w="2278" w:type="dxa"/>
            <w:tcBorders>
              <w:top w:val="single" w:sz="4" w:space="0" w:color="auto"/>
              <w:left w:val="nil"/>
              <w:bottom w:val="single" w:sz="4" w:space="0" w:color="auto"/>
              <w:right w:val="single" w:sz="4" w:space="0" w:color="auto"/>
            </w:tcBorders>
            <w:vAlign w:val="bottom"/>
          </w:tcPr>
          <w:p w:rsidR="00FD1C8A" w:rsidRPr="00CD4A56" w:rsidRDefault="00A30416">
            <w:pPr>
              <w:pStyle w:val="1"/>
              <w:ind w:firstLine="0"/>
              <w:rPr>
                <w:rStyle w:val="10"/>
                <w:rFonts w:ascii="宋体" w:hAnsi="宋体"/>
                <w:sz w:val="24"/>
                <w:szCs w:val="24"/>
              </w:rPr>
            </w:pPr>
            <w:r w:rsidRPr="00CD4A56">
              <w:rPr>
                <w:rFonts w:ascii="宋体" w:hAnsi="宋体" w:hint="eastAsia"/>
                <w:sz w:val="24"/>
                <w:szCs w:val="24"/>
              </w:rPr>
              <w:t>0.00</w:t>
            </w:r>
          </w:p>
        </w:tc>
        <w:tc>
          <w:tcPr>
            <w:tcW w:w="1472" w:type="dxa"/>
            <w:tcBorders>
              <w:top w:val="single" w:sz="4" w:space="0" w:color="auto"/>
              <w:left w:val="nil"/>
              <w:bottom w:val="single" w:sz="4" w:space="0" w:color="auto"/>
              <w:right w:val="single" w:sz="4" w:space="0" w:color="auto"/>
            </w:tcBorders>
            <w:vAlign w:val="bottom"/>
          </w:tcPr>
          <w:p w:rsidR="00FD1C8A" w:rsidRPr="00CD4A56" w:rsidRDefault="00A30416">
            <w:pPr>
              <w:pStyle w:val="1"/>
              <w:ind w:firstLine="0"/>
              <w:rPr>
                <w:rStyle w:val="10"/>
                <w:rFonts w:ascii="宋体" w:hAnsi="宋体"/>
                <w:sz w:val="24"/>
                <w:szCs w:val="24"/>
              </w:rPr>
            </w:pPr>
            <w:r w:rsidRPr="00CD4A56">
              <w:rPr>
                <w:rFonts w:ascii="宋体" w:hAnsi="宋体" w:hint="eastAsia"/>
                <w:sz w:val="24"/>
                <w:szCs w:val="24"/>
              </w:rPr>
              <w:t>0.00%</w:t>
            </w:r>
          </w:p>
        </w:tc>
      </w:tr>
      <w:tr w:rsidR="00FD1C8A" w:rsidRPr="00CD4A56" w:rsidTr="00A30416">
        <w:tc>
          <w:tcPr>
            <w:tcW w:w="2358" w:type="dxa"/>
            <w:tcBorders>
              <w:top w:val="single" w:sz="4" w:space="0" w:color="auto"/>
              <w:left w:val="single" w:sz="4" w:space="0" w:color="auto"/>
              <w:bottom w:val="single" w:sz="4" w:space="0" w:color="auto"/>
              <w:right w:val="single" w:sz="4" w:space="0" w:color="auto"/>
            </w:tcBorders>
          </w:tcPr>
          <w:p w:rsidR="00FD1C8A" w:rsidRPr="00CD4A56" w:rsidRDefault="00A30416">
            <w:pPr>
              <w:pStyle w:val="1"/>
              <w:ind w:firstLine="0"/>
              <w:rPr>
                <w:rStyle w:val="10"/>
                <w:rFonts w:ascii="宋体" w:hAnsi="宋体"/>
                <w:sz w:val="24"/>
                <w:szCs w:val="24"/>
              </w:rPr>
            </w:pPr>
            <w:r w:rsidRPr="00CD4A56">
              <w:rPr>
                <w:rFonts w:ascii="宋体" w:hAnsi="宋体" w:hint="eastAsia"/>
                <w:sz w:val="24"/>
                <w:szCs w:val="24"/>
              </w:rPr>
              <w:t>2.权益类</w:t>
            </w:r>
          </w:p>
        </w:tc>
        <w:tc>
          <w:tcPr>
            <w:tcW w:w="2232" w:type="dxa"/>
            <w:tcBorders>
              <w:top w:val="single" w:sz="4" w:space="0" w:color="auto"/>
              <w:left w:val="nil"/>
              <w:bottom w:val="single" w:sz="4" w:space="0" w:color="auto"/>
              <w:right w:val="single" w:sz="4" w:space="0" w:color="auto"/>
            </w:tcBorders>
            <w:vAlign w:val="bottom"/>
          </w:tcPr>
          <w:p w:rsidR="00FD1C8A" w:rsidRPr="00CD4A56" w:rsidRDefault="00A30416">
            <w:pPr>
              <w:pStyle w:val="1"/>
              <w:ind w:firstLine="0"/>
              <w:rPr>
                <w:rStyle w:val="10"/>
                <w:rFonts w:ascii="宋体" w:hAnsi="宋体"/>
                <w:sz w:val="24"/>
                <w:szCs w:val="24"/>
              </w:rPr>
            </w:pPr>
            <w:r w:rsidRPr="00CD4A56">
              <w:rPr>
                <w:rFonts w:ascii="宋体" w:hAnsi="宋体" w:hint="eastAsia"/>
                <w:sz w:val="24"/>
                <w:szCs w:val="24"/>
              </w:rPr>
              <w:t>0.00</w:t>
            </w:r>
          </w:p>
        </w:tc>
        <w:tc>
          <w:tcPr>
            <w:tcW w:w="1500" w:type="dxa"/>
            <w:tcBorders>
              <w:top w:val="single" w:sz="4" w:space="0" w:color="auto"/>
              <w:left w:val="nil"/>
              <w:bottom w:val="single" w:sz="4" w:space="0" w:color="auto"/>
              <w:right w:val="single" w:sz="4" w:space="0" w:color="auto"/>
            </w:tcBorders>
            <w:vAlign w:val="bottom"/>
          </w:tcPr>
          <w:p w:rsidR="00FD1C8A" w:rsidRPr="00CD4A56" w:rsidRDefault="00A30416">
            <w:pPr>
              <w:pStyle w:val="1"/>
              <w:ind w:firstLine="0"/>
              <w:rPr>
                <w:rStyle w:val="10"/>
                <w:rFonts w:ascii="宋体" w:hAnsi="宋体"/>
                <w:sz w:val="24"/>
                <w:szCs w:val="24"/>
              </w:rPr>
            </w:pPr>
            <w:r w:rsidRPr="00CD4A56">
              <w:rPr>
                <w:rFonts w:ascii="宋体" w:hAnsi="宋体" w:hint="eastAsia"/>
                <w:sz w:val="24"/>
                <w:szCs w:val="24"/>
              </w:rPr>
              <w:t>0.00%</w:t>
            </w:r>
          </w:p>
        </w:tc>
        <w:tc>
          <w:tcPr>
            <w:tcW w:w="2278" w:type="dxa"/>
            <w:tcBorders>
              <w:top w:val="single" w:sz="4" w:space="0" w:color="auto"/>
              <w:left w:val="nil"/>
              <w:bottom w:val="single" w:sz="4" w:space="0" w:color="auto"/>
              <w:right w:val="single" w:sz="4" w:space="0" w:color="auto"/>
            </w:tcBorders>
            <w:vAlign w:val="bottom"/>
          </w:tcPr>
          <w:p w:rsidR="00FD1C8A" w:rsidRPr="00CD4A56" w:rsidRDefault="00A30416">
            <w:pPr>
              <w:pStyle w:val="1"/>
              <w:ind w:firstLine="0"/>
              <w:rPr>
                <w:rStyle w:val="10"/>
                <w:rFonts w:ascii="宋体" w:hAnsi="宋体"/>
                <w:sz w:val="24"/>
                <w:szCs w:val="24"/>
              </w:rPr>
            </w:pPr>
            <w:r w:rsidRPr="00CD4A56">
              <w:rPr>
                <w:rFonts w:ascii="宋体" w:hAnsi="宋体" w:hint="eastAsia"/>
                <w:sz w:val="24"/>
                <w:szCs w:val="24"/>
              </w:rPr>
              <w:t>0.00</w:t>
            </w:r>
          </w:p>
        </w:tc>
        <w:tc>
          <w:tcPr>
            <w:tcW w:w="1472" w:type="dxa"/>
            <w:tcBorders>
              <w:top w:val="single" w:sz="4" w:space="0" w:color="auto"/>
              <w:left w:val="nil"/>
              <w:bottom w:val="single" w:sz="4" w:space="0" w:color="auto"/>
              <w:right w:val="single" w:sz="4" w:space="0" w:color="auto"/>
            </w:tcBorders>
            <w:vAlign w:val="bottom"/>
          </w:tcPr>
          <w:p w:rsidR="00FD1C8A" w:rsidRPr="00CD4A56" w:rsidRDefault="00A30416">
            <w:pPr>
              <w:pStyle w:val="1"/>
              <w:ind w:firstLine="0"/>
              <w:rPr>
                <w:rStyle w:val="10"/>
                <w:rFonts w:ascii="宋体" w:hAnsi="宋体"/>
                <w:sz w:val="24"/>
                <w:szCs w:val="24"/>
              </w:rPr>
            </w:pPr>
            <w:r w:rsidRPr="00CD4A56">
              <w:rPr>
                <w:rFonts w:ascii="宋体" w:hAnsi="宋体" w:hint="eastAsia"/>
                <w:sz w:val="24"/>
                <w:szCs w:val="24"/>
              </w:rPr>
              <w:t>0.00%</w:t>
            </w:r>
          </w:p>
        </w:tc>
      </w:tr>
      <w:tr w:rsidR="00FD1C8A" w:rsidRPr="00CD4A56" w:rsidTr="00A30416">
        <w:tc>
          <w:tcPr>
            <w:tcW w:w="2358" w:type="dxa"/>
            <w:tcBorders>
              <w:top w:val="single" w:sz="4" w:space="0" w:color="auto"/>
              <w:left w:val="single" w:sz="4" w:space="0" w:color="auto"/>
              <w:bottom w:val="single" w:sz="4" w:space="0" w:color="auto"/>
              <w:right w:val="single" w:sz="4" w:space="0" w:color="auto"/>
            </w:tcBorders>
          </w:tcPr>
          <w:p w:rsidR="00FD1C8A" w:rsidRPr="00CD4A56" w:rsidRDefault="00A30416">
            <w:pPr>
              <w:pStyle w:val="1"/>
              <w:ind w:firstLine="0"/>
              <w:rPr>
                <w:rStyle w:val="10"/>
                <w:rFonts w:ascii="宋体" w:hAnsi="宋体"/>
                <w:sz w:val="24"/>
                <w:szCs w:val="24"/>
              </w:rPr>
            </w:pPr>
            <w:r w:rsidRPr="00CD4A56">
              <w:rPr>
                <w:rFonts w:ascii="宋体" w:hAnsi="宋体" w:hint="eastAsia"/>
                <w:sz w:val="24"/>
                <w:szCs w:val="24"/>
              </w:rPr>
              <w:t>3.商品及金融衍生品类</w:t>
            </w:r>
          </w:p>
        </w:tc>
        <w:tc>
          <w:tcPr>
            <w:tcW w:w="2232" w:type="dxa"/>
            <w:tcBorders>
              <w:top w:val="single" w:sz="4" w:space="0" w:color="auto"/>
              <w:left w:val="nil"/>
              <w:bottom w:val="single" w:sz="4" w:space="0" w:color="auto"/>
              <w:right w:val="single" w:sz="4" w:space="0" w:color="auto"/>
            </w:tcBorders>
            <w:vAlign w:val="bottom"/>
          </w:tcPr>
          <w:p w:rsidR="00FD1C8A" w:rsidRPr="00CD4A56" w:rsidRDefault="00A30416">
            <w:pPr>
              <w:pStyle w:val="1"/>
              <w:ind w:firstLine="0"/>
              <w:rPr>
                <w:rStyle w:val="10"/>
                <w:rFonts w:ascii="宋体" w:hAnsi="宋体"/>
                <w:sz w:val="24"/>
                <w:szCs w:val="24"/>
              </w:rPr>
            </w:pPr>
            <w:r w:rsidRPr="00CD4A56">
              <w:rPr>
                <w:rFonts w:ascii="宋体" w:hAnsi="宋体" w:hint="eastAsia"/>
                <w:sz w:val="24"/>
                <w:szCs w:val="24"/>
              </w:rPr>
              <w:t>0.00</w:t>
            </w:r>
          </w:p>
        </w:tc>
        <w:tc>
          <w:tcPr>
            <w:tcW w:w="1500" w:type="dxa"/>
            <w:tcBorders>
              <w:top w:val="single" w:sz="4" w:space="0" w:color="auto"/>
              <w:left w:val="nil"/>
              <w:bottom w:val="single" w:sz="4" w:space="0" w:color="auto"/>
              <w:right w:val="single" w:sz="4" w:space="0" w:color="auto"/>
            </w:tcBorders>
            <w:vAlign w:val="bottom"/>
          </w:tcPr>
          <w:p w:rsidR="00FD1C8A" w:rsidRPr="00CD4A56" w:rsidRDefault="00A30416">
            <w:pPr>
              <w:pStyle w:val="1"/>
              <w:ind w:firstLine="0"/>
              <w:rPr>
                <w:rStyle w:val="10"/>
                <w:rFonts w:ascii="宋体" w:hAnsi="宋体"/>
                <w:sz w:val="24"/>
                <w:szCs w:val="24"/>
              </w:rPr>
            </w:pPr>
            <w:r w:rsidRPr="00CD4A56">
              <w:rPr>
                <w:rFonts w:ascii="宋体" w:hAnsi="宋体" w:hint="eastAsia"/>
                <w:sz w:val="24"/>
                <w:szCs w:val="24"/>
              </w:rPr>
              <w:t>0.00%</w:t>
            </w:r>
          </w:p>
        </w:tc>
        <w:tc>
          <w:tcPr>
            <w:tcW w:w="2278" w:type="dxa"/>
            <w:tcBorders>
              <w:top w:val="single" w:sz="4" w:space="0" w:color="auto"/>
              <w:left w:val="nil"/>
              <w:bottom w:val="single" w:sz="4" w:space="0" w:color="auto"/>
              <w:right w:val="single" w:sz="4" w:space="0" w:color="auto"/>
            </w:tcBorders>
            <w:vAlign w:val="bottom"/>
          </w:tcPr>
          <w:p w:rsidR="00FD1C8A" w:rsidRPr="00CD4A56" w:rsidRDefault="00A30416">
            <w:pPr>
              <w:pStyle w:val="1"/>
              <w:ind w:firstLine="0"/>
              <w:rPr>
                <w:rStyle w:val="10"/>
                <w:rFonts w:ascii="宋体" w:hAnsi="宋体"/>
                <w:sz w:val="24"/>
                <w:szCs w:val="24"/>
              </w:rPr>
            </w:pPr>
            <w:r w:rsidRPr="00CD4A56">
              <w:rPr>
                <w:rFonts w:ascii="宋体" w:hAnsi="宋体" w:hint="eastAsia"/>
                <w:sz w:val="24"/>
                <w:szCs w:val="24"/>
              </w:rPr>
              <w:t>0.00</w:t>
            </w:r>
          </w:p>
        </w:tc>
        <w:tc>
          <w:tcPr>
            <w:tcW w:w="1472" w:type="dxa"/>
            <w:tcBorders>
              <w:top w:val="single" w:sz="4" w:space="0" w:color="auto"/>
              <w:left w:val="nil"/>
              <w:bottom w:val="single" w:sz="4" w:space="0" w:color="auto"/>
              <w:right w:val="single" w:sz="4" w:space="0" w:color="auto"/>
            </w:tcBorders>
            <w:vAlign w:val="bottom"/>
          </w:tcPr>
          <w:p w:rsidR="00FD1C8A" w:rsidRPr="00CD4A56" w:rsidRDefault="00A30416">
            <w:pPr>
              <w:pStyle w:val="1"/>
              <w:ind w:firstLine="0"/>
              <w:rPr>
                <w:rStyle w:val="10"/>
                <w:rFonts w:ascii="宋体" w:hAnsi="宋体"/>
                <w:sz w:val="24"/>
                <w:szCs w:val="24"/>
              </w:rPr>
            </w:pPr>
            <w:r w:rsidRPr="00CD4A56">
              <w:rPr>
                <w:rFonts w:ascii="宋体" w:hAnsi="宋体" w:hint="eastAsia"/>
                <w:sz w:val="24"/>
                <w:szCs w:val="24"/>
              </w:rPr>
              <w:t>0.00%</w:t>
            </w:r>
          </w:p>
        </w:tc>
      </w:tr>
      <w:tr w:rsidR="00FD1C8A" w:rsidRPr="00CD4A56" w:rsidTr="00A30416">
        <w:tc>
          <w:tcPr>
            <w:tcW w:w="2358" w:type="dxa"/>
            <w:tcBorders>
              <w:top w:val="single" w:sz="4" w:space="0" w:color="auto"/>
              <w:left w:val="single" w:sz="4" w:space="0" w:color="auto"/>
              <w:bottom w:val="single" w:sz="4" w:space="0" w:color="auto"/>
              <w:right w:val="single" w:sz="4" w:space="0" w:color="auto"/>
            </w:tcBorders>
            <w:vAlign w:val="center"/>
          </w:tcPr>
          <w:p w:rsidR="00FD1C8A" w:rsidRPr="00CD4A56" w:rsidRDefault="00A30416">
            <w:pPr>
              <w:pStyle w:val="1"/>
              <w:ind w:firstLine="0"/>
              <w:rPr>
                <w:rStyle w:val="10"/>
                <w:rFonts w:ascii="宋体" w:hAnsi="宋体"/>
                <w:sz w:val="24"/>
                <w:szCs w:val="24"/>
              </w:rPr>
            </w:pPr>
            <w:r w:rsidRPr="00CD4A56">
              <w:rPr>
                <w:rFonts w:ascii="宋体" w:hAnsi="宋体" w:hint="eastAsia"/>
                <w:sz w:val="24"/>
                <w:szCs w:val="24"/>
              </w:rPr>
              <w:t>合计</w:t>
            </w:r>
          </w:p>
        </w:tc>
        <w:tc>
          <w:tcPr>
            <w:tcW w:w="2232" w:type="dxa"/>
            <w:tcBorders>
              <w:top w:val="single" w:sz="4" w:space="0" w:color="auto"/>
              <w:left w:val="nil"/>
              <w:bottom w:val="single" w:sz="4" w:space="0" w:color="auto"/>
              <w:right w:val="single" w:sz="4" w:space="0" w:color="auto"/>
            </w:tcBorders>
            <w:vAlign w:val="bottom"/>
          </w:tcPr>
          <w:p w:rsidR="00FD1C8A" w:rsidRPr="00CD4A56" w:rsidRDefault="00A30416">
            <w:pPr>
              <w:pStyle w:val="1"/>
              <w:ind w:firstLine="0"/>
              <w:rPr>
                <w:rStyle w:val="10"/>
                <w:rFonts w:ascii="宋体" w:hAnsi="宋体"/>
                <w:sz w:val="24"/>
                <w:szCs w:val="24"/>
              </w:rPr>
            </w:pPr>
            <w:r w:rsidRPr="00CD4A56">
              <w:rPr>
                <w:rFonts w:ascii="宋体" w:hAnsi="宋体" w:hint="eastAsia"/>
                <w:sz w:val="24"/>
                <w:szCs w:val="24"/>
              </w:rPr>
              <w:t>340,203,702.79</w:t>
            </w:r>
          </w:p>
        </w:tc>
        <w:tc>
          <w:tcPr>
            <w:tcW w:w="1500" w:type="dxa"/>
            <w:tcBorders>
              <w:top w:val="single" w:sz="4" w:space="0" w:color="auto"/>
              <w:left w:val="nil"/>
              <w:bottom w:val="single" w:sz="4" w:space="0" w:color="auto"/>
              <w:right w:val="single" w:sz="4" w:space="0" w:color="auto"/>
            </w:tcBorders>
            <w:vAlign w:val="bottom"/>
          </w:tcPr>
          <w:p w:rsidR="00FD1C8A" w:rsidRPr="00CD4A56" w:rsidRDefault="00A30416">
            <w:pPr>
              <w:pStyle w:val="1"/>
              <w:ind w:firstLine="0"/>
              <w:rPr>
                <w:rStyle w:val="10"/>
                <w:rFonts w:ascii="宋体" w:hAnsi="宋体"/>
                <w:sz w:val="24"/>
                <w:szCs w:val="24"/>
              </w:rPr>
            </w:pPr>
            <w:r w:rsidRPr="00CD4A56">
              <w:rPr>
                <w:rFonts w:ascii="宋体" w:hAnsi="宋体" w:hint="eastAsia"/>
                <w:sz w:val="24"/>
                <w:szCs w:val="24"/>
              </w:rPr>
              <w:t>100.00%</w:t>
            </w:r>
          </w:p>
        </w:tc>
        <w:tc>
          <w:tcPr>
            <w:tcW w:w="2278" w:type="dxa"/>
            <w:tcBorders>
              <w:top w:val="single" w:sz="4" w:space="0" w:color="auto"/>
              <w:left w:val="nil"/>
              <w:bottom w:val="single" w:sz="4" w:space="0" w:color="auto"/>
              <w:right w:val="single" w:sz="4" w:space="0" w:color="auto"/>
            </w:tcBorders>
            <w:vAlign w:val="bottom"/>
          </w:tcPr>
          <w:p w:rsidR="00FD1C8A" w:rsidRPr="00CD4A56" w:rsidRDefault="00A30416">
            <w:pPr>
              <w:pStyle w:val="1"/>
              <w:ind w:firstLine="0"/>
              <w:rPr>
                <w:rStyle w:val="10"/>
                <w:rFonts w:ascii="宋体" w:hAnsi="宋体"/>
                <w:sz w:val="24"/>
                <w:szCs w:val="24"/>
              </w:rPr>
            </w:pPr>
            <w:r w:rsidRPr="00CD4A56">
              <w:rPr>
                <w:rFonts w:ascii="宋体" w:hAnsi="宋体" w:hint="eastAsia"/>
                <w:sz w:val="24"/>
                <w:szCs w:val="24"/>
              </w:rPr>
              <w:t>0.00</w:t>
            </w:r>
          </w:p>
        </w:tc>
        <w:tc>
          <w:tcPr>
            <w:tcW w:w="1472" w:type="dxa"/>
            <w:tcBorders>
              <w:top w:val="single" w:sz="4" w:space="0" w:color="auto"/>
              <w:left w:val="nil"/>
              <w:bottom w:val="single" w:sz="4" w:space="0" w:color="auto"/>
              <w:right w:val="single" w:sz="4" w:space="0" w:color="auto"/>
            </w:tcBorders>
            <w:vAlign w:val="bottom"/>
          </w:tcPr>
          <w:p w:rsidR="00FD1C8A" w:rsidRPr="00CD4A56" w:rsidRDefault="00A30416">
            <w:pPr>
              <w:pStyle w:val="1"/>
              <w:ind w:firstLine="0"/>
              <w:rPr>
                <w:rStyle w:val="10"/>
                <w:rFonts w:ascii="宋体" w:hAnsi="宋体"/>
                <w:sz w:val="24"/>
                <w:szCs w:val="24"/>
              </w:rPr>
            </w:pPr>
            <w:r w:rsidRPr="00CD4A56">
              <w:rPr>
                <w:rFonts w:ascii="宋体" w:hAnsi="宋体" w:hint="eastAsia"/>
                <w:sz w:val="24"/>
                <w:szCs w:val="24"/>
              </w:rPr>
              <w:t>0.00%</w:t>
            </w:r>
          </w:p>
        </w:tc>
      </w:tr>
    </w:tbl>
    <w:p w:rsidR="00A30416" w:rsidRPr="00CD4A56" w:rsidRDefault="00A30416">
      <w:pPr>
        <w:jc w:val="left"/>
        <w:rPr>
          <w:rFonts w:ascii="宋体" w:hAnsi="宋体"/>
          <w:b/>
          <w:bCs/>
          <w:sz w:val="28"/>
          <w:szCs w:val="28"/>
        </w:rPr>
      </w:pPr>
      <w:r w:rsidRPr="00CD4A56">
        <w:rPr>
          <w:rFonts w:ascii="宋体" w:hAnsi="宋体" w:cs="微软雅黑" w:hint="eastAsia"/>
          <w:sz w:val="28"/>
          <w:szCs w:val="28"/>
        </w:rPr>
        <w:t>本产品截至报告期末的杠杆率为</w:t>
      </w:r>
      <w:r w:rsidRPr="00CD4A56">
        <w:rPr>
          <w:rFonts w:ascii="宋体" w:hAnsi="宋体" w:cs="微软雅黑"/>
          <w:sz w:val="28"/>
          <w:szCs w:val="28"/>
        </w:rPr>
        <w:t>100.14%</w:t>
      </w:r>
    </w:p>
    <w:p w:rsidR="00FD1C8A" w:rsidRPr="00CD4A56" w:rsidRDefault="00A30416">
      <w:pPr>
        <w:jc w:val="left"/>
        <w:rPr>
          <w:rFonts w:ascii="宋体" w:hAnsi="宋体"/>
          <w:b/>
          <w:bCs/>
          <w:sz w:val="28"/>
          <w:szCs w:val="28"/>
        </w:rPr>
      </w:pPr>
      <w:r w:rsidRPr="00CD4A56">
        <w:rPr>
          <w:rFonts w:ascii="宋体" w:hAnsi="宋体" w:hint="eastAsia"/>
          <w:b/>
          <w:bCs/>
          <w:sz w:val="28"/>
          <w:szCs w:val="28"/>
        </w:rPr>
        <w:t>五、报告期末按公允价值占理财产品资产净值比例大小排序的前十项资产投资明细</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0"/>
        <w:gridCol w:w="3600"/>
        <w:gridCol w:w="2790"/>
        <w:gridCol w:w="2130"/>
      </w:tblGrid>
      <w:tr w:rsidR="00FD1C8A" w:rsidRPr="00CD4A56">
        <w:trPr>
          <w:trHeight w:val="345"/>
        </w:trPr>
        <w:tc>
          <w:tcPr>
            <w:tcW w:w="111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FD1C8A" w:rsidRPr="00CD4A56" w:rsidRDefault="00A30416">
            <w:pPr>
              <w:jc w:val="center"/>
              <w:rPr>
                <w:rFonts w:ascii="宋体" w:hAnsi="宋体"/>
              </w:rPr>
            </w:pPr>
            <w:r w:rsidRPr="00CD4A56">
              <w:rPr>
                <w:rFonts w:ascii="宋体" w:hAnsi="宋体" w:cs="微软雅黑"/>
                <w:color w:val="000000"/>
                <w:sz w:val="24"/>
              </w:rPr>
              <w:t>序号</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FD1C8A" w:rsidRPr="00CD4A56" w:rsidRDefault="00A30416">
            <w:pPr>
              <w:jc w:val="center"/>
              <w:rPr>
                <w:rFonts w:ascii="宋体" w:hAnsi="宋体"/>
              </w:rPr>
            </w:pPr>
            <w:r w:rsidRPr="00CD4A56">
              <w:rPr>
                <w:rFonts w:ascii="宋体" w:hAnsi="宋体" w:cs="微软雅黑"/>
                <w:color w:val="000000"/>
                <w:sz w:val="24"/>
              </w:rPr>
              <w:t>资产名称</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FD1C8A" w:rsidRPr="00CD4A56" w:rsidRDefault="00A30416">
            <w:pPr>
              <w:jc w:val="center"/>
              <w:rPr>
                <w:rFonts w:ascii="宋体" w:hAnsi="宋体"/>
              </w:rPr>
            </w:pPr>
            <w:r w:rsidRPr="00CD4A56">
              <w:rPr>
                <w:rFonts w:ascii="宋体" w:hAnsi="宋体" w:cs="微软雅黑"/>
                <w:color w:val="000000"/>
                <w:sz w:val="24"/>
              </w:rPr>
              <w:t>资产余额（元）</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FD1C8A" w:rsidRPr="00CD4A56" w:rsidRDefault="00A30416">
            <w:pPr>
              <w:jc w:val="center"/>
              <w:rPr>
                <w:rFonts w:ascii="宋体" w:hAnsi="宋体"/>
              </w:rPr>
            </w:pPr>
            <w:r w:rsidRPr="00CD4A56">
              <w:rPr>
                <w:rFonts w:ascii="宋体" w:hAnsi="宋体" w:cs="微软雅黑"/>
                <w:color w:val="000000"/>
                <w:sz w:val="24"/>
              </w:rPr>
              <w:t>资产占比</w:t>
            </w:r>
          </w:p>
        </w:tc>
      </w:tr>
      <w:tr w:rsidR="00FD1C8A" w:rsidRPr="00CD4A56">
        <w:trPr>
          <w:trHeight w:val="345"/>
        </w:trPr>
        <w:tc>
          <w:tcPr>
            <w:tcW w:w="111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FD1C8A" w:rsidRPr="00CD4A56" w:rsidRDefault="00A30416">
            <w:pPr>
              <w:jc w:val="center"/>
              <w:rPr>
                <w:rFonts w:ascii="宋体" w:hAnsi="宋体"/>
              </w:rPr>
            </w:pPr>
            <w:r w:rsidRPr="00CD4A56">
              <w:rPr>
                <w:rFonts w:ascii="宋体" w:hAnsi="宋体" w:cs="微软雅黑"/>
                <w:color w:val="000000"/>
                <w:sz w:val="24"/>
              </w:rPr>
              <w:t>1</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FD1C8A" w:rsidRPr="00CD4A56" w:rsidRDefault="00A30416">
            <w:pPr>
              <w:jc w:val="left"/>
              <w:rPr>
                <w:rFonts w:ascii="宋体" w:hAnsi="宋体"/>
              </w:rPr>
            </w:pPr>
            <w:r w:rsidRPr="00CD4A56">
              <w:rPr>
                <w:rFonts w:ascii="宋体" w:hAnsi="宋体" w:cs="微软雅黑"/>
                <w:color w:val="000000"/>
                <w:sz w:val="24"/>
              </w:rPr>
              <w:t>21工商银行二级01</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FD1C8A" w:rsidRPr="00CD4A56" w:rsidRDefault="00A30416">
            <w:pPr>
              <w:jc w:val="right"/>
              <w:rPr>
                <w:rFonts w:ascii="宋体" w:hAnsi="宋体"/>
              </w:rPr>
            </w:pPr>
            <w:r w:rsidRPr="00CD4A56">
              <w:rPr>
                <w:rFonts w:ascii="宋体" w:hAnsi="宋体" w:cs="微软雅黑"/>
                <w:color w:val="000000"/>
                <w:sz w:val="24"/>
              </w:rPr>
              <w:t xml:space="preserve">20,813,280.55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FD1C8A" w:rsidRPr="00CD4A56" w:rsidRDefault="00A30416">
            <w:pPr>
              <w:jc w:val="right"/>
              <w:rPr>
                <w:rFonts w:ascii="宋体" w:hAnsi="宋体"/>
              </w:rPr>
            </w:pPr>
            <w:r w:rsidRPr="00CD4A56">
              <w:rPr>
                <w:rFonts w:ascii="宋体" w:hAnsi="宋体" w:cs="微软雅黑"/>
                <w:color w:val="000000"/>
                <w:sz w:val="24"/>
              </w:rPr>
              <w:t>6.13%</w:t>
            </w:r>
          </w:p>
        </w:tc>
      </w:tr>
      <w:tr w:rsidR="00FD1C8A" w:rsidRPr="00CD4A56">
        <w:trPr>
          <w:trHeight w:val="345"/>
        </w:trPr>
        <w:tc>
          <w:tcPr>
            <w:tcW w:w="111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FD1C8A" w:rsidRPr="00CD4A56" w:rsidRDefault="00A30416">
            <w:pPr>
              <w:jc w:val="center"/>
              <w:rPr>
                <w:rFonts w:ascii="宋体" w:hAnsi="宋体"/>
              </w:rPr>
            </w:pPr>
            <w:r w:rsidRPr="00CD4A56">
              <w:rPr>
                <w:rFonts w:ascii="宋体" w:hAnsi="宋体" w:cs="微软雅黑"/>
                <w:color w:val="000000"/>
                <w:sz w:val="24"/>
              </w:rPr>
              <w:t>2</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FD1C8A" w:rsidRPr="00CD4A56" w:rsidRDefault="00A30416">
            <w:pPr>
              <w:jc w:val="left"/>
              <w:rPr>
                <w:rFonts w:ascii="宋体" w:hAnsi="宋体"/>
              </w:rPr>
            </w:pPr>
            <w:r w:rsidRPr="00CD4A56">
              <w:rPr>
                <w:rFonts w:ascii="宋体" w:hAnsi="宋体" w:cs="微软雅黑"/>
                <w:color w:val="000000"/>
                <w:sz w:val="24"/>
              </w:rPr>
              <w:t>22嘉新01</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FD1C8A" w:rsidRPr="00CD4A56" w:rsidRDefault="00A30416">
            <w:pPr>
              <w:jc w:val="right"/>
              <w:rPr>
                <w:rFonts w:ascii="宋体" w:hAnsi="宋体"/>
              </w:rPr>
            </w:pPr>
            <w:r w:rsidRPr="00CD4A56">
              <w:rPr>
                <w:rFonts w:ascii="宋体" w:hAnsi="宋体" w:cs="微软雅黑"/>
                <w:color w:val="000000"/>
                <w:sz w:val="24"/>
              </w:rPr>
              <w:t xml:space="preserve">20,431,776.99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FD1C8A" w:rsidRPr="00CD4A56" w:rsidRDefault="00A30416">
            <w:pPr>
              <w:jc w:val="right"/>
              <w:rPr>
                <w:rFonts w:ascii="宋体" w:hAnsi="宋体"/>
              </w:rPr>
            </w:pPr>
            <w:r w:rsidRPr="00CD4A56">
              <w:rPr>
                <w:rFonts w:ascii="宋体" w:hAnsi="宋体" w:cs="微软雅黑"/>
                <w:color w:val="000000"/>
                <w:sz w:val="24"/>
              </w:rPr>
              <w:t>6.01%</w:t>
            </w:r>
          </w:p>
        </w:tc>
      </w:tr>
      <w:tr w:rsidR="00FD1C8A" w:rsidRPr="00CD4A56">
        <w:trPr>
          <w:trHeight w:val="345"/>
        </w:trPr>
        <w:tc>
          <w:tcPr>
            <w:tcW w:w="111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FD1C8A" w:rsidRPr="00CD4A56" w:rsidRDefault="00A30416">
            <w:pPr>
              <w:jc w:val="center"/>
              <w:rPr>
                <w:rFonts w:ascii="宋体" w:hAnsi="宋体"/>
              </w:rPr>
            </w:pPr>
            <w:r w:rsidRPr="00CD4A56">
              <w:rPr>
                <w:rFonts w:ascii="宋体" w:hAnsi="宋体" w:cs="微软雅黑"/>
                <w:color w:val="000000"/>
                <w:sz w:val="24"/>
              </w:rPr>
              <w:t>3</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FD1C8A" w:rsidRPr="00CD4A56" w:rsidRDefault="00A30416">
            <w:pPr>
              <w:jc w:val="left"/>
              <w:rPr>
                <w:rFonts w:ascii="宋体" w:hAnsi="宋体"/>
              </w:rPr>
            </w:pPr>
            <w:r w:rsidRPr="00CD4A56">
              <w:rPr>
                <w:rFonts w:ascii="宋体" w:hAnsi="宋体" w:cs="微软雅黑"/>
                <w:color w:val="000000"/>
                <w:sz w:val="24"/>
              </w:rPr>
              <w:t>23昆山农商小微债</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FD1C8A" w:rsidRPr="00CD4A56" w:rsidRDefault="00A30416">
            <w:pPr>
              <w:jc w:val="right"/>
              <w:rPr>
                <w:rFonts w:ascii="宋体" w:hAnsi="宋体"/>
              </w:rPr>
            </w:pPr>
            <w:r w:rsidRPr="00CD4A56">
              <w:rPr>
                <w:rFonts w:ascii="宋体" w:hAnsi="宋体" w:cs="微软雅黑"/>
                <w:color w:val="000000"/>
                <w:sz w:val="24"/>
              </w:rPr>
              <w:t xml:space="preserve">20,431,776.16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FD1C8A" w:rsidRPr="00CD4A56" w:rsidRDefault="00A30416">
            <w:pPr>
              <w:jc w:val="right"/>
              <w:rPr>
                <w:rFonts w:ascii="宋体" w:hAnsi="宋体"/>
              </w:rPr>
            </w:pPr>
            <w:r w:rsidRPr="00CD4A56">
              <w:rPr>
                <w:rFonts w:ascii="宋体" w:hAnsi="宋体" w:cs="微软雅黑"/>
                <w:color w:val="000000"/>
                <w:sz w:val="24"/>
              </w:rPr>
              <w:t>6.01%</w:t>
            </w:r>
          </w:p>
        </w:tc>
      </w:tr>
      <w:tr w:rsidR="00FD1C8A" w:rsidRPr="00CD4A56">
        <w:trPr>
          <w:trHeight w:val="345"/>
        </w:trPr>
        <w:tc>
          <w:tcPr>
            <w:tcW w:w="111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FD1C8A" w:rsidRPr="00CD4A56" w:rsidRDefault="00A30416">
            <w:pPr>
              <w:jc w:val="center"/>
              <w:rPr>
                <w:rFonts w:ascii="宋体" w:hAnsi="宋体"/>
              </w:rPr>
            </w:pPr>
            <w:r w:rsidRPr="00CD4A56">
              <w:rPr>
                <w:rFonts w:ascii="宋体" w:hAnsi="宋体" w:cs="微软雅黑"/>
                <w:color w:val="000000"/>
                <w:sz w:val="24"/>
              </w:rPr>
              <w:t>4</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FD1C8A" w:rsidRPr="00CD4A56" w:rsidRDefault="00A30416">
            <w:pPr>
              <w:jc w:val="left"/>
              <w:rPr>
                <w:rFonts w:ascii="宋体" w:hAnsi="宋体"/>
              </w:rPr>
            </w:pPr>
            <w:r w:rsidRPr="00CD4A56">
              <w:rPr>
                <w:rFonts w:ascii="宋体" w:hAnsi="宋体" w:cs="微软雅黑"/>
                <w:color w:val="000000"/>
                <w:sz w:val="24"/>
              </w:rPr>
              <w:t>23稠州商行小微债01</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FD1C8A" w:rsidRPr="00CD4A56" w:rsidRDefault="00A30416">
            <w:pPr>
              <w:jc w:val="right"/>
              <w:rPr>
                <w:rFonts w:ascii="宋体" w:hAnsi="宋体"/>
              </w:rPr>
            </w:pPr>
            <w:r w:rsidRPr="00CD4A56">
              <w:rPr>
                <w:rFonts w:ascii="宋体" w:hAnsi="宋体" w:cs="微软雅黑"/>
                <w:color w:val="000000"/>
                <w:sz w:val="24"/>
              </w:rPr>
              <w:t xml:space="preserve">20,301,876.99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FD1C8A" w:rsidRPr="00CD4A56" w:rsidRDefault="00A30416">
            <w:pPr>
              <w:jc w:val="right"/>
              <w:rPr>
                <w:rFonts w:ascii="宋体" w:hAnsi="宋体"/>
              </w:rPr>
            </w:pPr>
            <w:r w:rsidRPr="00CD4A56">
              <w:rPr>
                <w:rFonts w:ascii="宋体" w:hAnsi="宋体" w:cs="微软雅黑"/>
                <w:color w:val="000000"/>
                <w:sz w:val="24"/>
              </w:rPr>
              <w:t>5.98%</w:t>
            </w:r>
          </w:p>
        </w:tc>
      </w:tr>
      <w:tr w:rsidR="00FD1C8A" w:rsidRPr="00CD4A56">
        <w:trPr>
          <w:trHeight w:val="345"/>
        </w:trPr>
        <w:tc>
          <w:tcPr>
            <w:tcW w:w="111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FD1C8A" w:rsidRPr="00CD4A56" w:rsidRDefault="00A30416">
            <w:pPr>
              <w:jc w:val="center"/>
              <w:rPr>
                <w:rFonts w:ascii="宋体" w:hAnsi="宋体"/>
              </w:rPr>
            </w:pPr>
            <w:r w:rsidRPr="00CD4A56">
              <w:rPr>
                <w:rFonts w:ascii="宋体" w:hAnsi="宋体" w:cs="微软雅黑"/>
                <w:color w:val="000000"/>
                <w:sz w:val="24"/>
              </w:rPr>
              <w:t>5</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FD1C8A" w:rsidRPr="00CD4A56" w:rsidRDefault="00A30416">
            <w:pPr>
              <w:jc w:val="left"/>
              <w:rPr>
                <w:rFonts w:ascii="宋体" w:hAnsi="宋体"/>
              </w:rPr>
            </w:pPr>
            <w:r w:rsidRPr="00CD4A56">
              <w:rPr>
                <w:rFonts w:ascii="宋体" w:hAnsi="宋体" w:cs="微软雅黑"/>
                <w:color w:val="000000"/>
                <w:sz w:val="24"/>
              </w:rPr>
              <w:t>23农发13</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FD1C8A" w:rsidRPr="00CD4A56" w:rsidRDefault="00A30416">
            <w:pPr>
              <w:jc w:val="right"/>
              <w:rPr>
                <w:rFonts w:ascii="宋体" w:hAnsi="宋体"/>
              </w:rPr>
            </w:pPr>
            <w:r w:rsidRPr="00CD4A56">
              <w:rPr>
                <w:rFonts w:ascii="宋体" w:hAnsi="宋体" w:cs="微软雅黑"/>
                <w:color w:val="000000"/>
                <w:sz w:val="24"/>
              </w:rPr>
              <w:t xml:space="preserve">20,263,109.86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FD1C8A" w:rsidRPr="00CD4A56" w:rsidRDefault="00A30416">
            <w:pPr>
              <w:jc w:val="right"/>
              <w:rPr>
                <w:rFonts w:ascii="宋体" w:hAnsi="宋体"/>
              </w:rPr>
            </w:pPr>
            <w:r w:rsidRPr="00CD4A56">
              <w:rPr>
                <w:rFonts w:ascii="宋体" w:hAnsi="宋体" w:cs="微软雅黑"/>
                <w:color w:val="000000"/>
                <w:sz w:val="24"/>
              </w:rPr>
              <w:t>5.96%</w:t>
            </w:r>
          </w:p>
        </w:tc>
      </w:tr>
      <w:tr w:rsidR="00FD1C8A" w:rsidRPr="00CD4A56">
        <w:trPr>
          <w:trHeight w:val="345"/>
        </w:trPr>
        <w:tc>
          <w:tcPr>
            <w:tcW w:w="111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FD1C8A" w:rsidRPr="00CD4A56" w:rsidRDefault="00A30416">
            <w:pPr>
              <w:jc w:val="center"/>
              <w:rPr>
                <w:rFonts w:ascii="宋体" w:hAnsi="宋体"/>
              </w:rPr>
            </w:pPr>
            <w:r w:rsidRPr="00CD4A56">
              <w:rPr>
                <w:rFonts w:ascii="宋体" w:hAnsi="宋体" w:cs="微软雅黑"/>
                <w:color w:val="000000"/>
                <w:sz w:val="24"/>
              </w:rPr>
              <w:t>6</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FD1C8A" w:rsidRPr="00CD4A56" w:rsidRDefault="00A30416">
            <w:pPr>
              <w:jc w:val="left"/>
              <w:rPr>
                <w:rFonts w:ascii="宋体" w:hAnsi="宋体"/>
              </w:rPr>
            </w:pPr>
            <w:r w:rsidRPr="00CD4A56">
              <w:rPr>
                <w:rFonts w:ascii="宋体" w:hAnsi="宋体" w:cs="微软雅黑"/>
                <w:color w:val="000000"/>
                <w:sz w:val="24"/>
              </w:rPr>
              <w:t>25农发21</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FD1C8A" w:rsidRPr="00CD4A56" w:rsidRDefault="00A30416">
            <w:pPr>
              <w:jc w:val="right"/>
              <w:rPr>
                <w:rFonts w:ascii="宋体" w:hAnsi="宋体"/>
              </w:rPr>
            </w:pPr>
            <w:r w:rsidRPr="00CD4A56">
              <w:rPr>
                <w:rFonts w:ascii="宋体" w:hAnsi="宋体" w:cs="微软雅黑"/>
                <w:color w:val="000000"/>
                <w:sz w:val="24"/>
              </w:rPr>
              <w:t xml:space="preserve">20,161,248.22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FD1C8A" w:rsidRPr="00CD4A56" w:rsidRDefault="00A30416">
            <w:pPr>
              <w:jc w:val="right"/>
              <w:rPr>
                <w:rFonts w:ascii="宋体" w:hAnsi="宋体"/>
              </w:rPr>
            </w:pPr>
            <w:r w:rsidRPr="00CD4A56">
              <w:rPr>
                <w:rFonts w:ascii="宋体" w:hAnsi="宋体" w:cs="微软雅黑"/>
                <w:color w:val="000000"/>
                <w:sz w:val="24"/>
              </w:rPr>
              <w:t>5.93%</w:t>
            </w:r>
          </w:p>
        </w:tc>
      </w:tr>
      <w:tr w:rsidR="00FD1C8A" w:rsidRPr="00CD4A56">
        <w:trPr>
          <w:trHeight w:val="345"/>
        </w:trPr>
        <w:tc>
          <w:tcPr>
            <w:tcW w:w="111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FD1C8A" w:rsidRPr="00CD4A56" w:rsidRDefault="00A30416">
            <w:pPr>
              <w:jc w:val="center"/>
              <w:rPr>
                <w:rFonts w:ascii="宋体" w:hAnsi="宋体"/>
              </w:rPr>
            </w:pPr>
            <w:r w:rsidRPr="00CD4A56">
              <w:rPr>
                <w:rFonts w:ascii="宋体" w:hAnsi="宋体" w:cs="微软雅黑"/>
                <w:color w:val="000000"/>
                <w:sz w:val="24"/>
              </w:rPr>
              <w:t>7</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FD1C8A" w:rsidRPr="00CD4A56" w:rsidRDefault="00A30416">
            <w:pPr>
              <w:jc w:val="left"/>
              <w:rPr>
                <w:rFonts w:ascii="宋体" w:hAnsi="宋体"/>
              </w:rPr>
            </w:pPr>
            <w:r w:rsidRPr="00CD4A56">
              <w:rPr>
                <w:rFonts w:ascii="宋体" w:hAnsi="宋体" w:cs="微软雅黑"/>
                <w:color w:val="000000"/>
                <w:sz w:val="24"/>
              </w:rPr>
              <w:t>23宜兴经开PPN001</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FD1C8A" w:rsidRPr="00CD4A56" w:rsidRDefault="00A30416">
            <w:pPr>
              <w:jc w:val="right"/>
              <w:rPr>
                <w:rFonts w:ascii="宋体" w:hAnsi="宋体"/>
              </w:rPr>
            </w:pPr>
            <w:r w:rsidRPr="00CD4A56">
              <w:rPr>
                <w:rFonts w:ascii="宋体" w:hAnsi="宋体" w:cs="微软雅黑"/>
                <w:color w:val="000000"/>
                <w:sz w:val="24"/>
              </w:rPr>
              <w:t xml:space="preserve">18,032,326.03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FD1C8A" w:rsidRPr="00CD4A56" w:rsidRDefault="00A30416">
            <w:pPr>
              <w:jc w:val="right"/>
              <w:rPr>
                <w:rFonts w:ascii="宋体" w:hAnsi="宋体"/>
              </w:rPr>
            </w:pPr>
            <w:r w:rsidRPr="00CD4A56">
              <w:rPr>
                <w:rFonts w:ascii="宋体" w:hAnsi="宋体" w:cs="微软雅黑"/>
                <w:color w:val="000000"/>
                <w:sz w:val="24"/>
              </w:rPr>
              <w:t>5.31%</w:t>
            </w:r>
          </w:p>
        </w:tc>
      </w:tr>
      <w:tr w:rsidR="00FD1C8A" w:rsidRPr="00CD4A56">
        <w:trPr>
          <w:trHeight w:val="345"/>
        </w:trPr>
        <w:tc>
          <w:tcPr>
            <w:tcW w:w="111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FD1C8A" w:rsidRPr="00CD4A56" w:rsidRDefault="00A30416">
            <w:pPr>
              <w:jc w:val="center"/>
              <w:rPr>
                <w:rFonts w:ascii="宋体" w:hAnsi="宋体"/>
              </w:rPr>
            </w:pPr>
            <w:r w:rsidRPr="00CD4A56">
              <w:rPr>
                <w:rFonts w:ascii="宋体" w:hAnsi="宋体" w:cs="微软雅黑"/>
                <w:color w:val="000000"/>
                <w:sz w:val="24"/>
              </w:rPr>
              <w:t>8</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FD1C8A" w:rsidRPr="00CD4A56" w:rsidRDefault="00A30416">
            <w:pPr>
              <w:jc w:val="left"/>
              <w:rPr>
                <w:rFonts w:ascii="宋体" w:hAnsi="宋体"/>
              </w:rPr>
            </w:pPr>
            <w:r w:rsidRPr="00CD4A56">
              <w:rPr>
                <w:rFonts w:ascii="宋体" w:hAnsi="宋体" w:cs="微软雅黑"/>
                <w:color w:val="000000"/>
                <w:sz w:val="24"/>
              </w:rPr>
              <w:t>22舜通02</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FD1C8A" w:rsidRPr="00CD4A56" w:rsidRDefault="00A30416">
            <w:pPr>
              <w:jc w:val="right"/>
              <w:rPr>
                <w:rFonts w:ascii="宋体" w:hAnsi="宋体"/>
              </w:rPr>
            </w:pPr>
            <w:r w:rsidRPr="00CD4A56">
              <w:rPr>
                <w:rFonts w:ascii="宋体" w:hAnsi="宋体" w:cs="微软雅黑"/>
                <w:color w:val="000000"/>
                <w:sz w:val="24"/>
              </w:rPr>
              <w:t xml:space="preserve">12,253,873.97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FD1C8A" w:rsidRPr="00CD4A56" w:rsidRDefault="00A30416">
            <w:pPr>
              <w:jc w:val="right"/>
              <w:rPr>
                <w:rFonts w:ascii="宋体" w:hAnsi="宋体"/>
              </w:rPr>
            </w:pPr>
            <w:r w:rsidRPr="00CD4A56">
              <w:rPr>
                <w:rFonts w:ascii="宋体" w:hAnsi="宋体" w:cs="微软雅黑"/>
                <w:color w:val="000000"/>
                <w:sz w:val="24"/>
              </w:rPr>
              <w:t>3.61%</w:t>
            </w:r>
          </w:p>
        </w:tc>
      </w:tr>
      <w:tr w:rsidR="00FD1C8A" w:rsidRPr="00CD4A56">
        <w:trPr>
          <w:trHeight w:val="345"/>
        </w:trPr>
        <w:tc>
          <w:tcPr>
            <w:tcW w:w="111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FD1C8A" w:rsidRPr="00CD4A56" w:rsidRDefault="00A30416">
            <w:pPr>
              <w:jc w:val="center"/>
              <w:rPr>
                <w:rFonts w:ascii="宋体" w:hAnsi="宋体"/>
              </w:rPr>
            </w:pPr>
            <w:r w:rsidRPr="00CD4A56">
              <w:rPr>
                <w:rFonts w:ascii="宋体" w:hAnsi="宋体" w:cs="微软雅黑"/>
                <w:color w:val="000000"/>
                <w:sz w:val="24"/>
              </w:rPr>
              <w:t>9</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FD1C8A" w:rsidRPr="00CD4A56" w:rsidRDefault="00A30416">
            <w:pPr>
              <w:jc w:val="left"/>
              <w:rPr>
                <w:rFonts w:ascii="宋体" w:hAnsi="宋体"/>
              </w:rPr>
            </w:pPr>
            <w:r w:rsidRPr="00CD4A56">
              <w:rPr>
                <w:rFonts w:ascii="宋体" w:hAnsi="宋体" w:cs="微软雅黑"/>
                <w:color w:val="000000"/>
                <w:sz w:val="24"/>
              </w:rPr>
              <w:t>21建设银行二级01</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FD1C8A" w:rsidRPr="00CD4A56" w:rsidRDefault="00A30416">
            <w:pPr>
              <w:jc w:val="right"/>
              <w:rPr>
                <w:rFonts w:ascii="宋体" w:hAnsi="宋体"/>
              </w:rPr>
            </w:pPr>
            <w:r w:rsidRPr="00CD4A56">
              <w:rPr>
                <w:rFonts w:ascii="宋体" w:hAnsi="宋体" w:cs="微软雅黑"/>
                <w:color w:val="000000"/>
                <w:sz w:val="24"/>
              </w:rPr>
              <w:t xml:space="preserve">10,239,929.59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FD1C8A" w:rsidRPr="00CD4A56" w:rsidRDefault="00A30416">
            <w:pPr>
              <w:jc w:val="right"/>
              <w:rPr>
                <w:rFonts w:ascii="宋体" w:hAnsi="宋体"/>
              </w:rPr>
            </w:pPr>
            <w:r w:rsidRPr="00CD4A56">
              <w:rPr>
                <w:rFonts w:ascii="宋体" w:hAnsi="宋体" w:cs="微软雅黑"/>
                <w:color w:val="000000"/>
                <w:sz w:val="24"/>
              </w:rPr>
              <w:t>3.01%</w:t>
            </w:r>
          </w:p>
        </w:tc>
      </w:tr>
      <w:tr w:rsidR="00FD1C8A" w:rsidRPr="00CD4A56">
        <w:trPr>
          <w:trHeight w:val="345"/>
        </w:trPr>
        <w:tc>
          <w:tcPr>
            <w:tcW w:w="111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FD1C8A" w:rsidRPr="00CD4A56" w:rsidRDefault="00A30416">
            <w:pPr>
              <w:jc w:val="center"/>
              <w:rPr>
                <w:rFonts w:ascii="宋体" w:hAnsi="宋体"/>
              </w:rPr>
            </w:pPr>
            <w:r w:rsidRPr="00CD4A56">
              <w:rPr>
                <w:rFonts w:ascii="宋体" w:hAnsi="宋体" w:cs="微软雅黑"/>
                <w:color w:val="000000"/>
                <w:sz w:val="24"/>
              </w:rPr>
              <w:t>10</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FD1C8A" w:rsidRPr="00CD4A56" w:rsidRDefault="00A30416">
            <w:pPr>
              <w:jc w:val="left"/>
              <w:rPr>
                <w:rFonts w:ascii="宋体" w:hAnsi="宋体"/>
              </w:rPr>
            </w:pPr>
            <w:r w:rsidRPr="00CD4A56">
              <w:rPr>
                <w:rFonts w:ascii="宋体" w:hAnsi="宋体" w:cs="微软雅黑"/>
                <w:color w:val="000000"/>
                <w:sz w:val="24"/>
              </w:rPr>
              <w:t>24中山农商小微债</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FD1C8A" w:rsidRPr="00CD4A56" w:rsidRDefault="00A30416">
            <w:pPr>
              <w:jc w:val="right"/>
              <w:rPr>
                <w:rFonts w:ascii="宋体" w:hAnsi="宋体"/>
              </w:rPr>
            </w:pPr>
            <w:r w:rsidRPr="00CD4A56">
              <w:rPr>
                <w:rFonts w:ascii="宋体" w:hAnsi="宋体" w:cs="微软雅黑"/>
                <w:color w:val="000000"/>
                <w:sz w:val="24"/>
              </w:rPr>
              <w:t xml:space="preserve">10,224,314.38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FD1C8A" w:rsidRPr="00CD4A56" w:rsidRDefault="00A30416">
            <w:pPr>
              <w:jc w:val="right"/>
              <w:rPr>
                <w:rFonts w:ascii="宋体" w:hAnsi="宋体"/>
              </w:rPr>
            </w:pPr>
            <w:r w:rsidRPr="00CD4A56">
              <w:rPr>
                <w:rFonts w:ascii="宋体" w:hAnsi="宋体" w:cs="微软雅黑"/>
                <w:color w:val="000000"/>
                <w:sz w:val="24"/>
              </w:rPr>
              <w:t>3.01%</w:t>
            </w:r>
          </w:p>
        </w:tc>
      </w:tr>
    </w:tbl>
    <w:p w:rsidR="00FD1C8A" w:rsidRPr="00CD4A56" w:rsidRDefault="00A30416">
      <w:pPr>
        <w:jc w:val="left"/>
        <w:rPr>
          <w:rFonts w:ascii="宋体" w:hAnsi="宋体" w:cs="Times New Roman"/>
          <w:b/>
          <w:bCs/>
          <w:sz w:val="28"/>
          <w:szCs w:val="28"/>
        </w:rPr>
      </w:pPr>
      <w:r w:rsidRPr="00CD4A56">
        <w:rPr>
          <w:rFonts w:ascii="宋体" w:hAnsi="宋体" w:hint="eastAsia"/>
          <w:b/>
          <w:bCs/>
          <w:sz w:val="28"/>
          <w:szCs w:val="28"/>
        </w:rPr>
        <w:t xml:space="preserve">六、报告期内投资的非标准化债权类资产信息 </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800"/>
        <w:gridCol w:w="1965"/>
        <w:gridCol w:w="2145"/>
        <w:gridCol w:w="1575"/>
      </w:tblGrid>
      <w:tr w:rsidR="00FD1C8A" w:rsidRPr="00CD4A56">
        <w:trPr>
          <w:trHeight w:val="360"/>
        </w:trPr>
        <w:tc>
          <w:tcPr>
            <w:tcW w:w="151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FD1C8A" w:rsidRPr="00CD4A56" w:rsidRDefault="00A30416">
            <w:pPr>
              <w:jc w:val="center"/>
              <w:rPr>
                <w:rFonts w:ascii="宋体" w:hAnsi="宋体"/>
              </w:rPr>
            </w:pPr>
            <w:r w:rsidRPr="00CD4A56">
              <w:rPr>
                <w:rFonts w:ascii="宋体" w:hAnsi="宋体" w:cs="微软雅黑"/>
                <w:color w:val="000000"/>
                <w:sz w:val="22"/>
              </w:rPr>
              <w:t>产品名称</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FD1C8A" w:rsidRPr="00CD4A56" w:rsidRDefault="00A30416">
            <w:pPr>
              <w:jc w:val="center"/>
              <w:rPr>
                <w:rFonts w:ascii="宋体" w:hAnsi="宋体"/>
              </w:rPr>
            </w:pPr>
            <w:r w:rsidRPr="00CD4A56">
              <w:rPr>
                <w:rFonts w:ascii="宋体" w:hAnsi="宋体" w:cs="微软雅黑"/>
                <w:color w:val="000000"/>
                <w:sz w:val="22"/>
              </w:rPr>
              <w:t>项目名称</w:t>
            </w:r>
          </w:p>
        </w:tc>
        <w:tc>
          <w:tcPr>
            <w:tcW w:w="196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FD1C8A" w:rsidRPr="00CD4A56" w:rsidRDefault="00A30416">
            <w:pPr>
              <w:jc w:val="center"/>
              <w:rPr>
                <w:rFonts w:ascii="宋体" w:hAnsi="宋体"/>
              </w:rPr>
            </w:pPr>
            <w:r w:rsidRPr="00CD4A56">
              <w:rPr>
                <w:rFonts w:ascii="宋体" w:hAnsi="宋体" w:cs="微软雅黑"/>
                <w:color w:val="000000"/>
                <w:sz w:val="22"/>
              </w:rPr>
              <w:t>融资客户名称</w:t>
            </w:r>
          </w:p>
        </w:tc>
        <w:tc>
          <w:tcPr>
            <w:tcW w:w="214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FD1C8A" w:rsidRPr="00CD4A56" w:rsidRDefault="00A30416">
            <w:pPr>
              <w:jc w:val="center"/>
              <w:rPr>
                <w:rFonts w:ascii="宋体" w:hAnsi="宋体"/>
              </w:rPr>
            </w:pPr>
            <w:r w:rsidRPr="00CD4A56">
              <w:rPr>
                <w:rFonts w:ascii="宋体" w:hAnsi="宋体" w:cs="微软雅黑"/>
                <w:color w:val="000000"/>
                <w:sz w:val="22"/>
              </w:rPr>
              <w:t>剩余融资期限（天）</w:t>
            </w:r>
          </w:p>
        </w:tc>
        <w:tc>
          <w:tcPr>
            <w:tcW w:w="15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FD1C8A" w:rsidRPr="00CD4A56" w:rsidRDefault="00A30416">
            <w:pPr>
              <w:jc w:val="center"/>
              <w:rPr>
                <w:rFonts w:ascii="宋体" w:hAnsi="宋体"/>
              </w:rPr>
            </w:pPr>
            <w:r w:rsidRPr="00CD4A56">
              <w:rPr>
                <w:rFonts w:ascii="宋体" w:hAnsi="宋体" w:cs="微软雅黑"/>
                <w:color w:val="000000"/>
                <w:sz w:val="22"/>
              </w:rPr>
              <w:t>交易结构</w:t>
            </w:r>
          </w:p>
        </w:tc>
      </w:tr>
      <w:tr w:rsidR="00FD1C8A" w:rsidRPr="00CD4A56">
        <w:trPr>
          <w:trHeight w:val="360"/>
        </w:trPr>
        <w:tc>
          <w:tcPr>
            <w:tcW w:w="151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FD1C8A" w:rsidRPr="00CD4A56" w:rsidRDefault="00A30416">
            <w:pPr>
              <w:jc w:val="left"/>
              <w:rPr>
                <w:rFonts w:ascii="宋体" w:hAnsi="宋体"/>
              </w:rPr>
            </w:pPr>
            <w:r w:rsidRPr="00CD4A56">
              <w:rPr>
                <w:rFonts w:ascii="宋体" w:hAnsi="宋体" w:cs="微软雅黑"/>
                <w:color w:val="000000"/>
                <w:sz w:val="22"/>
              </w:rPr>
              <w:t>-</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FD1C8A" w:rsidRPr="00CD4A56" w:rsidRDefault="00A30416">
            <w:pPr>
              <w:jc w:val="left"/>
              <w:rPr>
                <w:rFonts w:ascii="宋体" w:hAnsi="宋体"/>
              </w:rPr>
            </w:pPr>
            <w:r w:rsidRPr="00CD4A56">
              <w:rPr>
                <w:rFonts w:ascii="宋体" w:hAnsi="宋体" w:cs="微软雅黑"/>
                <w:color w:val="000000"/>
                <w:sz w:val="22"/>
              </w:rPr>
              <w:t>-</w:t>
            </w:r>
          </w:p>
        </w:tc>
        <w:tc>
          <w:tcPr>
            <w:tcW w:w="196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FD1C8A" w:rsidRPr="00CD4A56" w:rsidRDefault="00A30416">
            <w:pPr>
              <w:jc w:val="left"/>
              <w:rPr>
                <w:rFonts w:ascii="宋体" w:hAnsi="宋体"/>
              </w:rPr>
            </w:pPr>
            <w:r w:rsidRPr="00CD4A56">
              <w:rPr>
                <w:rFonts w:ascii="宋体" w:hAnsi="宋体" w:cs="微软雅黑"/>
                <w:color w:val="000000"/>
                <w:sz w:val="22"/>
              </w:rPr>
              <w:t>-</w:t>
            </w:r>
          </w:p>
        </w:tc>
        <w:tc>
          <w:tcPr>
            <w:tcW w:w="214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FD1C8A" w:rsidRPr="00CD4A56" w:rsidRDefault="00A30416">
            <w:pPr>
              <w:jc w:val="left"/>
              <w:rPr>
                <w:rFonts w:ascii="宋体" w:hAnsi="宋体"/>
              </w:rPr>
            </w:pPr>
            <w:r w:rsidRPr="00CD4A56">
              <w:rPr>
                <w:rFonts w:ascii="宋体" w:hAnsi="宋体" w:cs="微软雅黑"/>
                <w:color w:val="000000"/>
                <w:sz w:val="22"/>
              </w:rPr>
              <w:t>-</w:t>
            </w:r>
          </w:p>
        </w:tc>
        <w:tc>
          <w:tcPr>
            <w:tcW w:w="15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FD1C8A" w:rsidRPr="00CD4A56" w:rsidRDefault="00A30416">
            <w:pPr>
              <w:jc w:val="left"/>
              <w:rPr>
                <w:rFonts w:ascii="宋体" w:hAnsi="宋体"/>
              </w:rPr>
            </w:pPr>
            <w:r w:rsidRPr="00CD4A56">
              <w:rPr>
                <w:rFonts w:ascii="宋体" w:hAnsi="宋体" w:cs="微软雅黑"/>
                <w:color w:val="000000"/>
                <w:sz w:val="22"/>
              </w:rPr>
              <w:t>-</w:t>
            </w:r>
          </w:p>
        </w:tc>
      </w:tr>
    </w:tbl>
    <w:p w:rsidR="00FD1C8A" w:rsidRPr="00CD4A56" w:rsidRDefault="00A30416">
      <w:pPr>
        <w:rPr>
          <w:rFonts w:ascii="宋体" w:hAnsi="宋体"/>
          <w:b/>
          <w:bCs/>
          <w:sz w:val="28"/>
          <w:szCs w:val="28"/>
        </w:rPr>
      </w:pPr>
      <w:r w:rsidRPr="00CD4A56">
        <w:rPr>
          <w:rFonts w:ascii="宋体" w:hAnsi="宋体" w:hint="eastAsia"/>
          <w:b/>
          <w:bCs/>
          <w:sz w:val="28"/>
          <w:szCs w:val="28"/>
        </w:rPr>
        <w:t>七、产品整体运作情况</w:t>
      </w:r>
    </w:p>
    <w:p w:rsidR="00FD1C8A" w:rsidRPr="00CD4A56" w:rsidRDefault="00A30416">
      <w:pPr>
        <w:ind w:firstLine="480"/>
        <w:rPr>
          <w:rFonts w:ascii="宋体" w:hAnsi="宋体"/>
          <w:sz w:val="24"/>
          <w:szCs w:val="24"/>
        </w:rPr>
      </w:pPr>
      <w:r w:rsidRPr="00CD4A56">
        <w:rPr>
          <w:rFonts w:ascii="宋体" w:hAnsi="宋体" w:hint="eastAsia"/>
          <w:sz w:val="24"/>
          <w:szCs w:val="24"/>
        </w:rPr>
        <w:t>自本产品成立起至本报告日，产品管理人恪尽职守、勤勉尽责、谨慎管理，忠实履行有关法律、行政法规和相关文件的规定。</w:t>
      </w:r>
    </w:p>
    <w:p w:rsidR="00FD1C8A" w:rsidRPr="00CD4A56" w:rsidRDefault="00A30416">
      <w:pPr>
        <w:ind w:firstLine="480"/>
        <w:rPr>
          <w:rFonts w:ascii="宋体" w:hAnsi="宋体"/>
          <w:sz w:val="24"/>
          <w:szCs w:val="24"/>
        </w:rPr>
      </w:pPr>
      <w:r w:rsidRPr="00CD4A56">
        <w:rPr>
          <w:rFonts w:ascii="宋体" w:hAnsi="宋体" w:hint="eastAsia"/>
          <w:sz w:val="24"/>
          <w:szCs w:val="24"/>
        </w:rPr>
        <w:t>截至本报告日，全部项目均能正常付息，各项投资资产正常运营，产品流动性良好，风险可控。</w:t>
      </w:r>
    </w:p>
    <w:p w:rsidR="00FD1C8A" w:rsidRPr="00CD4A56" w:rsidRDefault="00A30416">
      <w:pPr>
        <w:ind w:firstLine="480"/>
        <w:rPr>
          <w:rFonts w:ascii="宋体" w:hAnsi="宋体"/>
          <w:sz w:val="24"/>
          <w:szCs w:val="24"/>
        </w:rPr>
      </w:pPr>
      <w:r w:rsidRPr="00CD4A56">
        <w:rPr>
          <w:rFonts w:ascii="宋体" w:hAnsi="宋体" w:hint="eastAsia"/>
          <w:sz w:val="24"/>
          <w:szCs w:val="24"/>
        </w:rPr>
        <w:t>本产品自成立至本报告日，没有发生涉诉及诉讼等损害投资者利益的情形。</w:t>
      </w:r>
    </w:p>
    <w:p w:rsidR="00FD1C8A" w:rsidRPr="00CD4A56" w:rsidRDefault="00A30416">
      <w:pPr>
        <w:rPr>
          <w:rFonts w:ascii="宋体" w:hAnsi="宋体"/>
          <w:b/>
          <w:bCs/>
          <w:sz w:val="28"/>
          <w:szCs w:val="28"/>
        </w:rPr>
      </w:pPr>
      <w:r w:rsidRPr="00CD4A56">
        <w:rPr>
          <w:rFonts w:ascii="宋体" w:hAnsi="宋体" w:hint="eastAsia"/>
          <w:b/>
          <w:bCs/>
          <w:sz w:val="28"/>
          <w:szCs w:val="28"/>
        </w:rPr>
        <w:t>八、投资组合的流动性分析</w:t>
      </w:r>
    </w:p>
    <w:p w:rsidR="00FD1C8A" w:rsidRPr="00CD4A56" w:rsidRDefault="00A30416">
      <w:pPr>
        <w:ind w:firstLine="480"/>
        <w:rPr>
          <w:rFonts w:ascii="宋体" w:hAnsi="宋体"/>
          <w:sz w:val="24"/>
          <w:szCs w:val="24"/>
        </w:rPr>
      </w:pPr>
      <w:r w:rsidRPr="00CD4A56">
        <w:rPr>
          <w:rFonts w:ascii="宋体" w:hAnsi="宋体" w:hint="eastAsia"/>
          <w:sz w:val="24"/>
          <w:szCs w:val="24"/>
        </w:rPr>
        <w:lastRenderedPageBreak/>
        <w:t>投资组合的流动性风险是指本产品资金不足履行与负债相关义务的风险。流动性风险主要来源于市场不活跃可能带来市场变现困难或在市场出现剧烈波动的情况下不能以合理价格变现的风险。</w:t>
      </w:r>
    </w:p>
    <w:p w:rsidR="00FD1C8A" w:rsidRPr="00CD4A56" w:rsidRDefault="00A30416">
      <w:pPr>
        <w:ind w:firstLine="480"/>
        <w:rPr>
          <w:rFonts w:ascii="宋体" w:hAnsi="宋体"/>
          <w:sz w:val="24"/>
          <w:szCs w:val="24"/>
        </w:rPr>
      </w:pPr>
      <w:r w:rsidRPr="00CD4A56">
        <w:rPr>
          <w:rFonts w:ascii="宋体" w:hAnsi="宋体" w:hint="eastAsia"/>
          <w:sz w:val="24"/>
          <w:szCs w:val="24"/>
        </w:rPr>
        <w:t>本产品管理人将合理安排所投资产的期限，尽可能降低流动性风险，有效保障投资者的利益。</w:t>
      </w:r>
    </w:p>
    <w:p w:rsidR="00FD1C8A" w:rsidRPr="00CD4A56" w:rsidRDefault="00A30416">
      <w:pPr>
        <w:rPr>
          <w:rFonts w:ascii="宋体" w:hAnsi="宋体"/>
          <w:sz w:val="28"/>
          <w:szCs w:val="28"/>
        </w:rPr>
      </w:pPr>
      <w:r w:rsidRPr="00CD4A56">
        <w:rPr>
          <w:rFonts w:ascii="宋体" w:hAnsi="宋体" w:hint="eastAsia"/>
          <w:sz w:val="28"/>
          <w:szCs w:val="28"/>
        </w:rPr>
        <w:t xml:space="preserve"> </w:t>
      </w:r>
    </w:p>
    <w:p w:rsidR="00FD1C8A" w:rsidRPr="00CD4A56" w:rsidRDefault="00A30416">
      <w:pPr>
        <w:ind w:firstLine="4760"/>
        <w:rPr>
          <w:rFonts w:ascii="宋体" w:hAnsi="宋体"/>
          <w:sz w:val="28"/>
          <w:szCs w:val="28"/>
        </w:rPr>
      </w:pPr>
      <w:r w:rsidRPr="00CD4A56">
        <w:rPr>
          <w:rFonts w:ascii="宋体" w:hAnsi="宋体" w:hint="eastAsia"/>
          <w:sz w:val="28"/>
          <w:szCs w:val="28"/>
        </w:rPr>
        <w:t xml:space="preserve"> </w:t>
      </w:r>
    </w:p>
    <w:p w:rsidR="00FD1C8A" w:rsidRPr="00CD4A56" w:rsidRDefault="00A30416">
      <w:pPr>
        <w:ind w:firstLine="4760"/>
        <w:rPr>
          <w:rFonts w:ascii="宋体" w:hAnsi="宋体"/>
          <w:sz w:val="28"/>
          <w:szCs w:val="28"/>
        </w:rPr>
      </w:pPr>
      <w:r w:rsidRPr="00CD4A56">
        <w:rPr>
          <w:rFonts w:ascii="宋体" w:hAnsi="宋体" w:hint="eastAsia"/>
          <w:sz w:val="28"/>
          <w:szCs w:val="28"/>
        </w:rPr>
        <w:t xml:space="preserve"> </w:t>
      </w:r>
    </w:p>
    <w:p w:rsidR="00FD1C8A" w:rsidRPr="00CD4A56" w:rsidRDefault="00A30416" w:rsidP="00A30416">
      <w:pPr>
        <w:jc w:val="right"/>
        <w:rPr>
          <w:rFonts w:ascii="宋体" w:hAnsi="宋体"/>
          <w:sz w:val="28"/>
          <w:szCs w:val="28"/>
        </w:rPr>
      </w:pPr>
      <w:r w:rsidRPr="00CD4A56">
        <w:rPr>
          <w:rFonts w:ascii="宋体" w:hAnsi="宋体" w:hint="eastAsia"/>
          <w:sz w:val="28"/>
          <w:szCs w:val="28"/>
        </w:rPr>
        <w:t>江苏太仓农村商业银行股份有限公司</w:t>
      </w:r>
    </w:p>
    <w:p w:rsidR="00FD1C8A" w:rsidRPr="00CD4A56" w:rsidRDefault="00A30416">
      <w:pPr>
        <w:ind w:firstLineChars="2300" w:firstLine="6440"/>
        <w:rPr>
          <w:rFonts w:ascii="宋体" w:hAnsi="宋体"/>
        </w:rPr>
      </w:pPr>
      <w:r w:rsidRPr="00CD4A56">
        <w:rPr>
          <w:rFonts w:ascii="宋体" w:hAnsi="宋体" w:hint="eastAsia"/>
          <w:sz w:val="28"/>
          <w:szCs w:val="28"/>
        </w:rPr>
        <w:t>2026年0</w:t>
      </w:r>
      <w:r w:rsidRPr="00CD4A56">
        <w:rPr>
          <w:rFonts w:ascii="宋体" w:hAnsi="宋体"/>
          <w:sz w:val="28"/>
          <w:szCs w:val="28"/>
        </w:rPr>
        <w:t>4</w:t>
      </w:r>
      <w:r w:rsidRPr="00CD4A56">
        <w:rPr>
          <w:rFonts w:ascii="宋体" w:hAnsi="宋体" w:hint="eastAsia"/>
          <w:sz w:val="28"/>
          <w:szCs w:val="28"/>
        </w:rPr>
        <w:t>月</w:t>
      </w:r>
      <w:r w:rsidRPr="00CD4A56">
        <w:rPr>
          <w:rFonts w:ascii="宋体" w:hAnsi="宋体"/>
          <w:sz w:val="28"/>
          <w:szCs w:val="28"/>
        </w:rPr>
        <w:t>20</w:t>
      </w:r>
      <w:r w:rsidRPr="00CD4A56">
        <w:rPr>
          <w:rFonts w:ascii="宋体" w:hAnsi="宋体" w:hint="eastAsia"/>
          <w:sz w:val="28"/>
          <w:szCs w:val="28"/>
        </w:rPr>
        <w:t>日</w:t>
      </w:r>
    </w:p>
    <w:sectPr w:rsidR="00FD1C8A" w:rsidRPr="00CD4A56">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4A56" w:rsidRDefault="00CD4A56" w:rsidP="00CD4A56">
      <w:r>
        <w:separator/>
      </w:r>
    </w:p>
  </w:endnote>
  <w:endnote w:type="continuationSeparator" w:id="0">
    <w:p w:rsidR="00CD4A56" w:rsidRDefault="00CD4A56" w:rsidP="00CD4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4A56" w:rsidRDefault="00CD4A56" w:rsidP="00CD4A56">
      <w:r>
        <w:separator/>
      </w:r>
    </w:p>
  </w:footnote>
  <w:footnote w:type="continuationSeparator" w:id="0">
    <w:p w:rsidR="00CD4A56" w:rsidRDefault="00CD4A56" w:rsidP="00CD4A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05"/>
  <w:drawingGridVerticalSpacing w:val="156"/>
  <w:noPunctuationKerning/>
  <w:characterSpacingControl w:val="doNotCompress"/>
  <w:hdrShapeDefaults>
    <o:shapedefaults v:ext="edit" spidmax="2049"/>
  </w:hdrShapeDefaults>
  <w:footnotePr>
    <w:footnote w:id="-1"/>
    <w:footnote w:id="0"/>
  </w:footnotePr>
  <w:endnotePr>
    <w:endnote w:id="-1"/>
    <w:endnote w:id="0"/>
  </w:endnotePr>
  <w:compat>
    <w:doNotLeaveBackslashAlone/>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C8A"/>
    <w:rsid w:val="00A30416"/>
    <w:rsid w:val="00CD4A56"/>
    <w:rsid w:val="00FD1C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45726A"/>
  <w15:docId w15:val="{0CCDBBBD-8080-4192-B598-19546935D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10">
    <w:name w:val="10"/>
    <w:basedOn w:val="a0"/>
    <w:qFormat/>
    <w:rPr>
      <w:rFonts w:ascii="Calibri" w:hAnsi="Calibri" w:cs="Calibri" w:hint="default"/>
    </w:rPr>
  </w:style>
  <w:style w:type="character" w:customStyle="1" w:styleId="a4">
    <w:name w:val="批注框文本 字符"/>
    <w:basedOn w:val="a0"/>
    <w:link w:val="a3"/>
    <w:uiPriority w:val="99"/>
    <w:semiHidden/>
    <w:qFormat/>
    <w:rPr>
      <w:rFonts w:ascii="Calibri" w:eastAsia="宋体" w:hAnsi="Calibri" w:cs="Calibri"/>
      <w:sz w:val="18"/>
      <w:szCs w:val="18"/>
    </w:rPr>
  </w:style>
  <w:style w:type="character" w:styleId="a9">
    <w:name w:val="Placeholder Text"/>
    <w:basedOn w:val="a0"/>
    <w:uiPriority w:val="99"/>
    <w:semiHidden/>
    <w:qFormat/>
    <w:rPr>
      <w:color w:val="808080"/>
    </w:rPr>
  </w:style>
  <w:style w:type="paragraph" w:customStyle="1" w:styleId="1">
    <w:name w:val="列出段落1"/>
    <w:basedOn w:val="a"/>
    <w:qFormat/>
    <w:pPr>
      <w:ind w:firstLine="420"/>
    </w:pPr>
    <w:rPr>
      <w:rFonts w:cs="Times New Roman"/>
    </w:rPr>
  </w:style>
  <w:style w:type="character" w:customStyle="1" w:styleId="a8">
    <w:name w:val="页眉 字符"/>
    <w:basedOn w:val="a0"/>
    <w:link w:val="a7"/>
    <w:uiPriority w:val="99"/>
    <w:qFormat/>
    <w:rPr>
      <w:rFonts w:ascii="Calibri" w:eastAsia="宋体" w:hAnsi="Calibri" w:cs="Calibri"/>
      <w:sz w:val="18"/>
      <w:szCs w:val="18"/>
    </w:rPr>
  </w:style>
  <w:style w:type="character" w:customStyle="1" w:styleId="a6">
    <w:name w:val="页脚 字符"/>
    <w:basedOn w:val="a0"/>
    <w:link w:val="a5"/>
    <w:uiPriority w:val="99"/>
    <w:qFormat/>
    <w:rPr>
      <w:rFonts w:ascii="Calibri" w:eastAsia="宋体" w:hAnsi="Calibri" w:cs="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238</Words>
  <Characters>1360</Characters>
  <Application>Microsoft Office Word</Application>
  <DocSecurity>0</DocSecurity>
  <Lines>11</Lines>
  <Paragraphs>3</Paragraphs>
  <ScaleCrop>false</ScaleCrop>
  <Company>Organization</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王经纬</dc:creator>
  <cp:lastModifiedBy>顾敏菊</cp:lastModifiedBy>
  <cp:revision>3</cp:revision>
  <dcterms:created xsi:type="dcterms:W3CDTF">2026-04-20T12:56:00Z</dcterms:created>
  <dcterms:modified xsi:type="dcterms:W3CDTF">2026-04-20T12:59:00Z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257DBB3469BA44AB9258B37B5369D2FE</vt:lpwstr>
  </property>
  <property fmtid="{D5CDD505-2E9C-101B-9397-08002B2CF9AE}" pid="3" name="KSOProductBuildVer">
    <vt:lpwstr>2052-11.8.2.12085</vt:lpwstr>
  </property>
</Properties>
</file>