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南银理财珠联璧合鑫逸稳三个月134期封闭式公募人民币理财产品（NYXY000844）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NYXY000844)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13,085,789.55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