
<file path=[Content_Types].xml><?xml version="1.0" encoding="utf-8"?>
<Types xmlns="http://schemas.openxmlformats.org/package/2006/content-types">
  <Default Extension="xml" ContentType="application/xml"/>
  <Default Extension="png" ContentType="image/png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pStyle w:val="6"/>
        <w:spacing w:before="0" w:beforeAutospacing="0" w:after="0" w:afterAutospacing="0"/>
        <w:jc w:val="center"/>
        <w:rPr>
          <w:rFonts w:hint="eastAsia" w:ascii="楷体" w:hAnsi="楷体" w:eastAsia="楷体" w:cs="Times New Roman"/>
          <w:b/>
          <w:sz w:val="40"/>
          <w:szCs w:val="40"/>
          <w:highlight w:val="none"/>
        </w:rPr>
      </w:pPr>
    </w:p>
    <w:p>
      <w:pPr>
        <w:pStyle w:val="6"/>
        <w:spacing w:before="0" w:beforeAutospacing="0" w:after="0" w:afterAutospacing="0"/>
        <w:jc w:val="center"/>
        <w:rPr>
          <w:rFonts w:hint="eastAsia" w:ascii="楷体" w:hAnsi="楷体" w:eastAsia="楷体" w:cs="Times New Roman"/>
          <w:b/>
          <w:sz w:val="40"/>
          <w:szCs w:val="40"/>
          <w:highlight w:val="none"/>
        </w:rPr>
      </w:pPr>
      <w:r>
        <w:rPr>
          <w:rFonts w:hint="eastAsia" w:ascii="楷体" w:hAnsi="楷体" w:eastAsia="楷体" w:cs="Times New Roman"/>
          <w:b/>
          <w:sz w:val="40"/>
          <w:szCs w:val="40"/>
          <w:highlight w:val="none"/>
        </w:rPr>
        <w:t>关于苏银理财启源现金12号</w:t>
      </w:r>
    </w:p>
    <w:p>
      <w:pPr>
        <w:pStyle w:val="6"/>
        <w:spacing w:before="0" w:beforeAutospacing="0" w:after="0" w:afterAutospacing="0"/>
        <w:jc w:val="center"/>
        <w:rPr>
          <w:rFonts w:hint="default" w:ascii="楷体" w:hAnsi="楷体" w:eastAsia="楷体" w:cs="Times New Roman"/>
          <w:b/>
          <w:sz w:val="40"/>
          <w:szCs w:val="40"/>
          <w:highlight w:val="none"/>
          <w:lang w:val="en-US" w:eastAsia="zh-CN"/>
        </w:rPr>
      </w:pPr>
      <w:r>
        <w:rPr>
          <w:rFonts w:hint="eastAsia" w:ascii="楷体" w:hAnsi="楷体" w:eastAsia="楷体" w:cs="Times New Roman"/>
          <w:b/>
          <w:sz w:val="40"/>
          <w:szCs w:val="40"/>
          <w:highlight w:val="none"/>
        </w:rPr>
        <w:t>增设</w:t>
      </w:r>
      <w:r>
        <w:rPr>
          <w:rFonts w:hint="eastAsia" w:ascii="楷体" w:hAnsi="楷体" w:eastAsia="楷体" w:cs="Times New Roman"/>
          <w:b/>
          <w:sz w:val="40"/>
          <w:szCs w:val="40"/>
          <w:highlight w:val="none"/>
          <w:lang w:val="en-US" w:eastAsia="zh-CN"/>
        </w:rPr>
        <w:t>C份额、QY份额</w:t>
      </w:r>
      <w:r>
        <w:rPr>
          <w:rFonts w:hint="eastAsia" w:ascii="楷体" w:hAnsi="楷体" w:eastAsia="楷体" w:cs="Times New Roman"/>
          <w:b/>
          <w:sz w:val="40"/>
          <w:szCs w:val="40"/>
          <w:highlight w:val="none"/>
        </w:rPr>
        <w:t>的公告</w:t>
      </w:r>
    </w:p>
    <w:p>
      <w:pPr>
        <w:pStyle w:val="6"/>
        <w:spacing w:before="0" w:beforeAutospacing="0" w:after="0" w:afterAutospacing="0"/>
        <w:rPr>
          <w:rFonts w:hint="eastAsia" w:ascii="楷体" w:hAnsi="楷体" w:eastAsia="楷体" w:cs="Times New Roman"/>
          <w:sz w:val="28"/>
          <w:szCs w:val="28"/>
          <w:highlight w:val="none"/>
        </w:rPr>
      </w:pPr>
    </w:p>
    <w:p>
      <w:pPr>
        <w:pStyle w:val="6"/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/>
        <w:jc w:val="both"/>
        <w:textAlignment w:val="auto"/>
        <w:rPr>
          <w:rFonts w:ascii="楷体" w:hAnsi="楷体" w:eastAsia="楷体" w:cs="Times New Roman"/>
          <w:sz w:val="28"/>
          <w:szCs w:val="28"/>
          <w:highlight w:val="none"/>
        </w:rPr>
      </w:pPr>
      <w:r>
        <w:rPr>
          <w:rFonts w:hint="eastAsia" w:ascii="楷体" w:hAnsi="楷体" w:eastAsia="楷体" w:cs="Times New Roman"/>
          <w:sz w:val="28"/>
          <w:szCs w:val="28"/>
          <w:highlight w:val="none"/>
        </w:rPr>
        <w:t>尊敬的投资者：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ind w:firstLine="560" w:firstLineChars="200"/>
        <w:jc w:val="both"/>
        <w:textAlignment w:val="auto"/>
        <w:rPr>
          <w:rFonts w:hint="eastAsia" w:ascii="楷体" w:hAnsi="楷体" w:eastAsia="楷体" w:cs="Times New Roman"/>
          <w:sz w:val="28"/>
          <w:szCs w:val="28"/>
          <w:highlight w:val="none"/>
          <w:lang w:eastAsia="zh-CN"/>
        </w:rPr>
      </w:pPr>
      <w:r>
        <w:rPr>
          <w:rFonts w:hint="eastAsia" w:ascii="楷体" w:hAnsi="楷体" w:eastAsia="楷体" w:cs="楷体"/>
          <w:sz w:val="28"/>
          <w:szCs w:val="28"/>
          <w:highlight w:val="none"/>
        </w:rPr>
        <w:t>苏银理财启源现金12号（以下简称“本产品”）于</w:t>
      </w:r>
      <w:r>
        <w:rPr>
          <w:rFonts w:hint="eastAsia" w:ascii="楷体" w:hAnsi="楷体" w:eastAsia="楷体" w:cs="楷体"/>
          <w:sz w:val="28"/>
          <w:szCs w:val="28"/>
          <w:highlight w:val="none"/>
          <w:lang w:val="en-US" w:eastAsia="zh-CN"/>
        </w:rPr>
        <w:t>2025年11月14日</w:t>
      </w:r>
      <w:r>
        <w:rPr>
          <w:rFonts w:hint="eastAsia" w:ascii="楷体" w:hAnsi="楷体" w:eastAsia="楷体" w:cs="楷体"/>
          <w:sz w:val="28"/>
          <w:szCs w:val="28"/>
          <w:highlight w:val="none"/>
        </w:rPr>
        <w:t>成立，产品登记编码：</w:t>
      </w:r>
      <w:r>
        <w:rPr>
          <w:rFonts w:hint="eastAsia" w:ascii="楷体" w:hAnsi="楷体" w:eastAsia="楷体" w:cs="楷体"/>
          <w:kern w:val="0"/>
          <w:sz w:val="28"/>
          <w:szCs w:val="28"/>
          <w:highlight w:val="none"/>
        </w:rPr>
        <w:t>Z7003125000225</w:t>
      </w:r>
      <w:r>
        <w:rPr>
          <w:rFonts w:hint="eastAsia" w:ascii="楷体" w:hAnsi="楷体" w:eastAsia="楷体" w:cs="楷体"/>
          <w:sz w:val="28"/>
          <w:szCs w:val="28"/>
          <w:highlight w:val="none"/>
          <w:lang w:eastAsia="zh-CN"/>
        </w:rPr>
        <w:t>，产品代码：</w:t>
      </w:r>
      <w:r>
        <w:rPr>
          <w:rFonts w:hint="eastAsia" w:ascii="楷体" w:hAnsi="楷体" w:eastAsia="楷体" w:cs="楷体"/>
          <w:kern w:val="0"/>
          <w:sz w:val="28"/>
          <w:szCs w:val="28"/>
          <w:highlight w:val="none"/>
        </w:rPr>
        <w:t>SYLC20255502</w:t>
      </w:r>
      <w:r>
        <w:rPr>
          <w:rFonts w:hint="eastAsia" w:ascii="楷体" w:hAnsi="楷体" w:eastAsia="楷体" w:cs="Times New Roman"/>
          <w:sz w:val="28"/>
          <w:szCs w:val="28"/>
          <w:highlight w:val="none"/>
          <w:lang w:eastAsia="zh-CN"/>
        </w:rPr>
        <w:t>。</w:t>
      </w:r>
    </w:p>
    <w:p>
      <w:pPr>
        <w:keepNext w:val="0"/>
        <w:keepLines w:val="0"/>
        <w:pageBreakBefore w:val="0"/>
        <w:widowControl w:val="0"/>
        <w:numPr>
          <w:ilvl w:val="0"/>
          <w:numId w:val="1"/>
        </w:numPr>
        <w:kinsoku/>
        <w:wordWrap/>
        <w:overflowPunct/>
        <w:topLinePunct w:val="0"/>
        <w:autoSpaceDE/>
        <w:autoSpaceDN/>
        <w:bidi w:val="0"/>
        <w:adjustRightInd/>
        <w:snapToGrid/>
        <w:ind w:firstLine="560" w:firstLineChars="200"/>
        <w:jc w:val="both"/>
        <w:textAlignment w:val="auto"/>
        <w:rPr>
          <w:rFonts w:hint="eastAsia" w:ascii="楷体" w:hAnsi="楷体" w:eastAsia="楷体" w:cs="Times New Roman"/>
          <w:sz w:val="28"/>
          <w:szCs w:val="28"/>
          <w:highlight w:val="none"/>
        </w:rPr>
      </w:pPr>
      <w:r>
        <w:rPr>
          <w:rFonts w:hint="eastAsia" w:ascii="楷体" w:hAnsi="楷体" w:eastAsia="楷体" w:cs="Times New Roman"/>
          <w:sz w:val="28"/>
          <w:szCs w:val="28"/>
          <w:highlight w:val="none"/>
        </w:rPr>
        <w:t>本产品现有份额类别</w:t>
      </w:r>
    </w:p>
    <w:p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ind w:firstLine="560" w:firstLineChars="200"/>
        <w:jc w:val="both"/>
        <w:textAlignment w:val="auto"/>
        <w:rPr>
          <w:rFonts w:hint="eastAsia" w:ascii="楷体" w:hAnsi="楷体" w:eastAsia="楷体" w:cs="Times New Roman"/>
          <w:sz w:val="28"/>
          <w:szCs w:val="28"/>
          <w:highlight w:val="none"/>
          <w:lang w:val="en-US" w:eastAsia="zh-CN"/>
        </w:rPr>
      </w:pPr>
      <w:r>
        <w:rPr>
          <w:rFonts w:hint="eastAsia" w:ascii="楷体" w:hAnsi="楷体" w:eastAsia="楷体" w:cs="Times New Roman"/>
          <w:sz w:val="28"/>
          <w:szCs w:val="28"/>
          <w:highlight w:val="none"/>
          <w:lang w:val="en-US" w:eastAsia="zh-CN"/>
        </w:rPr>
        <w:t>A份额、JS鑫福款份额、K份额</w:t>
      </w:r>
    </w:p>
    <w:p>
      <w:pPr>
        <w:keepNext w:val="0"/>
        <w:keepLines w:val="0"/>
        <w:pageBreakBefore w:val="0"/>
        <w:widowControl w:val="0"/>
        <w:numPr>
          <w:ilvl w:val="0"/>
          <w:numId w:val="1"/>
        </w:numPr>
        <w:kinsoku/>
        <w:wordWrap/>
        <w:overflowPunct/>
        <w:topLinePunct w:val="0"/>
        <w:autoSpaceDE/>
        <w:autoSpaceDN/>
        <w:bidi w:val="0"/>
        <w:adjustRightInd/>
        <w:snapToGrid/>
        <w:ind w:left="0" w:leftChars="0" w:firstLine="560" w:firstLineChars="200"/>
        <w:jc w:val="both"/>
        <w:textAlignment w:val="auto"/>
        <w:rPr>
          <w:rFonts w:hint="default" w:ascii="楷体" w:hAnsi="楷体" w:eastAsia="楷体" w:cs="Times New Roman"/>
          <w:sz w:val="28"/>
          <w:szCs w:val="28"/>
          <w:highlight w:val="none"/>
          <w:lang w:val="en-US" w:eastAsia="zh-CN"/>
        </w:rPr>
      </w:pPr>
      <w:r>
        <w:rPr>
          <w:rFonts w:hint="default" w:ascii="楷体" w:hAnsi="楷体" w:eastAsia="楷体" w:cs="Times New Roman"/>
          <w:sz w:val="28"/>
          <w:szCs w:val="28"/>
          <w:highlight w:val="none"/>
          <w:lang w:val="en-US" w:eastAsia="zh-CN"/>
        </w:rPr>
        <w:t>本产品将增设以下份额类别</w:t>
      </w:r>
    </w:p>
    <w:p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ind w:leftChars="0" w:firstLine="560" w:firstLineChars="200"/>
        <w:jc w:val="both"/>
        <w:textAlignment w:val="auto"/>
        <w:rPr>
          <w:rFonts w:hint="default" w:ascii="楷体" w:hAnsi="楷体" w:eastAsia="楷体" w:cs="Times New Roman"/>
          <w:sz w:val="28"/>
          <w:szCs w:val="28"/>
          <w:highlight w:val="none"/>
          <w:lang w:val="en-US" w:eastAsia="zh-CN"/>
        </w:rPr>
      </w:pPr>
      <w:r>
        <w:rPr>
          <w:rFonts w:hint="default" w:ascii="楷体" w:hAnsi="楷体" w:eastAsia="楷体" w:cs="Times New Roman"/>
          <w:sz w:val="28"/>
          <w:szCs w:val="28"/>
          <w:highlight w:val="none"/>
          <w:lang w:val="en-US" w:eastAsia="zh-CN"/>
        </w:rPr>
        <w:t>现为满足广大投资者的需要，我司拟于</w:t>
      </w:r>
      <w:r>
        <w:rPr>
          <w:rFonts w:hint="eastAsia" w:ascii="楷体" w:hAnsi="楷体" w:eastAsia="楷体" w:cs="Times New Roman"/>
          <w:sz w:val="28"/>
          <w:szCs w:val="28"/>
          <w:highlight w:val="none"/>
          <w:lang w:val="en-US" w:eastAsia="zh-CN"/>
        </w:rPr>
        <w:t>2026年9月21日</w:t>
      </w:r>
      <w:r>
        <w:rPr>
          <w:rFonts w:hint="default" w:ascii="楷体" w:hAnsi="楷体" w:eastAsia="楷体" w:cs="Times New Roman"/>
          <w:sz w:val="28"/>
          <w:szCs w:val="28"/>
          <w:highlight w:val="none"/>
          <w:lang w:val="en-US" w:eastAsia="zh-CN"/>
        </w:rPr>
        <w:t>起，增设</w:t>
      </w:r>
      <w:r>
        <w:rPr>
          <w:rFonts w:hint="eastAsia" w:ascii="楷体" w:hAnsi="楷体" w:eastAsia="楷体" w:cs="Times New Roman"/>
          <w:sz w:val="28"/>
          <w:szCs w:val="28"/>
          <w:highlight w:val="none"/>
          <w:lang w:val="en-US" w:eastAsia="zh-CN"/>
        </w:rPr>
        <w:t>C份额、QY份额</w:t>
      </w:r>
      <w:r>
        <w:rPr>
          <w:rFonts w:hint="default" w:ascii="楷体" w:hAnsi="楷体" w:eastAsia="楷体" w:cs="Times New Roman"/>
          <w:sz w:val="28"/>
          <w:szCs w:val="28"/>
          <w:highlight w:val="none"/>
          <w:lang w:val="en-US" w:eastAsia="zh-CN"/>
        </w:rPr>
        <w:t>，具体信息如下：</w:t>
      </w:r>
    </w:p>
    <w:tbl>
      <w:tblPr>
        <w:tblStyle w:val="7"/>
        <w:tblW w:w="8516" w:type="dxa"/>
        <w:jc w:val="center"/>
        <w:tblBorders>
          <w:top w:val="single" w:color="000000" w:sz="0" w:space="0"/>
          <w:left w:val="single" w:color="000000" w:sz="0" w:space="0"/>
          <w:bottom w:val="single" w:color="000000" w:sz="0" w:space="0"/>
          <w:right w:val="single" w:color="000000" w:sz="0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2688"/>
        <w:gridCol w:w="5828"/>
      </w:tblGrid>
      <w:tr>
        <w:tblPrEx>
          <w:tblBorders>
            <w:top w:val="single" w:color="000000" w:sz="0" w:space="0"/>
            <w:left w:val="single" w:color="000000" w:sz="0" w:space="0"/>
            <w:bottom w:val="single" w:color="000000" w:sz="0" w:space="0"/>
            <w:right w:val="single" w:color="000000" w:sz="0" w:space="0"/>
            <w:insideH w:val="single" w:color="auto" w:sz="4" w:space="0"/>
            <w:insideV w:val="single" w:color="auto" w:sz="4" w:space="0"/>
          </w:tblBorders>
        </w:tblPrEx>
        <w:trPr>
          <w:trHeight w:val="285" w:hRule="atLeast"/>
          <w:jc w:val="center"/>
        </w:trPr>
        <w:tc>
          <w:tcPr>
            <w:tcW w:w="2688" w:type="dxa"/>
            <w:vAlign w:val="top"/>
          </w:tcPr>
          <w:p>
            <w:pPr>
              <w:jc w:val="both"/>
              <w:rPr>
                <w:rFonts w:hint="eastAsia" w:ascii="楷体" w:hAnsi="楷体" w:eastAsia="楷体" w:cs="宋体"/>
                <w:kern w:val="0"/>
                <w:sz w:val="24"/>
                <w:szCs w:val="24"/>
                <w:highlight w:val="none"/>
                <w:lang w:val="en-US" w:eastAsia="zh-CN"/>
              </w:rPr>
            </w:pPr>
            <w:bookmarkStart w:id="0" w:name="_GoBack"/>
            <w:bookmarkEnd w:id="0"/>
            <w:r>
              <w:rPr>
                <w:rFonts w:hint="eastAsia" w:ascii="楷体" w:hAnsi="楷体" w:eastAsia="楷体" w:cs="宋体"/>
                <w:kern w:val="0"/>
                <w:sz w:val="24"/>
                <w:szCs w:val="24"/>
                <w:highlight w:val="none"/>
                <w:lang w:val="en-US" w:eastAsia="zh-CN"/>
              </w:rPr>
              <w:t>份额代码</w:t>
            </w:r>
          </w:p>
        </w:tc>
        <w:tc>
          <w:tcPr>
            <w:tcW w:w="5828" w:type="dxa"/>
            <w:vAlign w:val="center"/>
          </w:tcPr>
          <w:p>
            <w:pPr>
              <w:jc w:val="both"/>
              <w:rPr>
                <w:rFonts w:hint="default" w:ascii="楷体" w:hAnsi="楷体" w:eastAsia="楷体" w:cs="宋体"/>
                <w:kern w:val="0"/>
                <w:sz w:val="24"/>
                <w:szCs w:val="24"/>
                <w:highlight w:val="none"/>
                <w:lang w:val="en-US" w:eastAsia="zh-CN"/>
              </w:rPr>
            </w:pPr>
            <w:r>
              <w:rPr>
                <w:rFonts w:hint="eastAsia" w:ascii="楷体" w:hAnsi="楷体" w:eastAsia="楷体" w:cs="宋体"/>
                <w:kern w:val="0"/>
                <w:sz w:val="24"/>
                <w:szCs w:val="24"/>
                <w:highlight w:val="none"/>
                <w:lang w:val="en-US" w:eastAsia="zh-CN"/>
              </w:rPr>
              <w:t>C份额：J30412；QY份额：J30020。</w:t>
            </w:r>
          </w:p>
        </w:tc>
      </w:tr>
      <w:tr>
        <w:tblPrEx>
          <w:tblBorders>
            <w:top w:val="single" w:color="000000" w:sz="0" w:space="0"/>
            <w:left w:val="single" w:color="000000" w:sz="0" w:space="0"/>
            <w:bottom w:val="single" w:color="000000" w:sz="0" w:space="0"/>
            <w:right w:val="single" w:color="000000" w:sz="0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  <w:jc w:val="center"/>
        </w:trPr>
        <w:tc>
          <w:tcPr>
            <w:tcW w:w="2688" w:type="dxa"/>
            <w:vAlign w:val="top"/>
          </w:tcPr>
          <w:p>
            <w:pPr>
              <w:jc w:val="both"/>
              <w:rPr>
                <w:rFonts w:hint="eastAsia" w:ascii="楷体" w:hAnsi="楷体" w:eastAsia="楷体" w:cs="宋体"/>
                <w:kern w:val="0"/>
                <w:sz w:val="24"/>
                <w:szCs w:val="24"/>
                <w:highlight w:val="none"/>
                <w:lang w:val="en-US" w:eastAsia="zh-CN"/>
              </w:rPr>
            </w:pPr>
            <w:r>
              <w:rPr>
                <w:rFonts w:hint="eastAsia" w:ascii="楷体" w:hAnsi="楷体" w:eastAsia="楷体" w:cs="宋体"/>
                <w:kern w:val="0"/>
                <w:sz w:val="24"/>
                <w:szCs w:val="24"/>
                <w:highlight w:val="none"/>
                <w:lang w:val="en-US" w:eastAsia="zh-CN"/>
              </w:rPr>
              <w:t>业绩比较基准</w:t>
            </w:r>
          </w:p>
        </w:tc>
        <w:tc>
          <w:tcPr>
            <w:tcW w:w="5828" w:type="dxa"/>
            <w:vAlign w:val="center"/>
          </w:tcPr>
          <w:p>
            <w:pPr>
              <w:jc w:val="both"/>
              <w:rPr>
                <w:rFonts w:hint="default" w:ascii="楷体" w:hAnsi="楷体" w:eastAsia="楷体" w:cs="宋体"/>
                <w:kern w:val="0"/>
                <w:sz w:val="24"/>
                <w:szCs w:val="24"/>
                <w:highlight w:val="none"/>
                <w:lang w:val="en-US" w:eastAsia="zh-CN"/>
              </w:rPr>
            </w:pPr>
            <w:r>
              <w:rPr>
                <w:rFonts w:hint="eastAsia" w:ascii="楷体" w:hAnsi="楷体" w:eastAsia="楷体" w:cs="宋体"/>
                <w:kern w:val="0"/>
                <w:sz w:val="24"/>
                <w:szCs w:val="24"/>
                <w:highlight w:val="none"/>
                <w:lang w:val="en-US" w:eastAsia="zh-CN"/>
              </w:rPr>
              <w:t>中国人民银行公布的活期存款利率</w:t>
            </w:r>
          </w:p>
        </w:tc>
      </w:tr>
      <w:tr>
        <w:tblPrEx>
          <w:tblBorders>
            <w:top w:val="single" w:color="000000" w:sz="0" w:space="0"/>
            <w:left w:val="single" w:color="000000" w:sz="0" w:space="0"/>
            <w:bottom w:val="single" w:color="000000" w:sz="0" w:space="0"/>
            <w:right w:val="single" w:color="000000" w:sz="0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  <w:jc w:val="center"/>
        </w:trPr>
        <w:tc>
          <w:tcPr>
            <w:tcW w:w="2688" w:type="dxa"/>
            <w:vAlign w:val="top"/>
          </w:tcPr>
          <w:p>
            <w:pPr>
              <w:jc w:val="both"/>
              <w:rPr>
                <w:rFonts w:hint="eastAsia" w:ascii="楷体" w:hAnsi="楷体" w:eastAsia="楷体" w:cs="宋体"/>
                <w:kern w:val="0"/>
                <w:sz w:val="24"/>
                <w:szCs w:val="24"/>
                <w:highlight w:val="none"/>
                <w:lang w:val="en-US" w:eastAsia="zh-CN"/>
              </w:rPr>
            </w:pPr>
            <w:r>
              <w:rPr>
                <w:rFonts w:hint="eastAsia" w:ascii="楷体" w:hAnsi="楷体" w:eastAsia="楷体" w:cs="宋体"/>
                <w:kern w:val="0"/>
                <w:sz w:val="24"/>
                <w:szCs w:val="24"/>
                <w:highlight w:val="none"/>
                <w:lang w:val="en-US" w:eastAsia="zh-CN"/>
              </w:rPr>
              <w:t>销售服务费率（年化）</w:t>
            </w:r>
          </w:p>
        </w:tc>
        <w:tc>
          <w:tcPr>
            <w:tcW w:w="5828" w:type="dxa"/>
            <w:vAlign w:val="center"/>
          </w:tcPr>
          <w:p>
            <w:pPr>
              <w:jc w:val="both"/>
              <w:rPr>
                <w:rFonts w:hint="default" w:ascii="楷体" w:hAnsi="楷体" w:eastAsia="楷体" w:cs="宋体"/>
                <w:kern w:val="0"/>
                <w:sz w:val="24"/>
                <w:szCs w:val="24"/>
                <w:highlight w:val="none"/>
                <w:lang w:val="en-US" w:eastAsia="zh-CN"/>
              </w:rPr>
            </w:pPr>
            <w:r>
              <w:rPr>
                <w:rFonts w:hint="eastAsia" w:ascii="楷体" w:hAnsi="楷体" w:eastAsia="楷体" w:cs="宋体"/>
                <w:kern w:val="0"/>
                <w:sz w:val="24"/>
                <w:szCs w:val="24"/>
                <w:highlight w:val="none"/>
                <w:lang w:val="en-US" w:eastAsia="zh-CN"/>
              </w:rPr>
              <w:t>0.40%</w:t>
            </w:r>
          </w:p>
        </w:tc>
      </w:tr>
    </w:tbl>
    <w:p>
      <w:pPr>
        <w:pStyle w:val="6"/>
        <w:spacing w:before="0" w:beforeAutospacing="0" w:after="0" w:afterAutospacing="0"/>
        <w:ind w:firstLine="560" w:firstLineChars="200"/>
        <w:jc w:val="both"/>
        <w:rPr>
          <w:rFonts w:hint="eastAsia" w:ascii="楷体" w:hAnsi="楷体" w:eastAsia="楷体" w:cs="Times New Roman"/>
          <w:sz w:val="28"/>
          <w:szCs w:val="28"/>
          <w:highlight w:val="none"/>
        </w:rPr>
      </w:pPr>
      <w:r>
        <w:rPr>
          <w:rFonts w:hint="eastAsia" w:ascii="楷体" w:hAnsi="楷体" w:eastAsia="楷体" w:cs="Times New Roman"/>
          <w:sz w:val="28"/>
          <w:szCs w:val="28"/>
          <w:highlight w:val="none"/>
          <w:lang w:val="en-US" w:eastAsia="zh-CN"/>
        </w:rPr>
        <w:t>管理人参考过往投资经验，依据近期货币市场工具、债券等资产投资收益水平，在产品说明书约定的投资范围和投资比例内，综合考虑各类份额收取的销售服务费和投资管理费等费用情况，模拟测算得出业绩比较基准。业绩比较基准不是预期收益率，不代表产品的未来表现和实际收益，不构成对产品收益的承诺。</w:t>
      </w:r>
    </w:p>
    <w:p>
      <w:pPr>
        <w:pStyle w:val="6"/>
        <w:spacing w:before="0" w:beforeAutospacing="0" w:after="0" w:afterAutospacing="0"/>
        <w:ind w:firstLine="560" w:firstLineChars="200"/>
        <w:jc w:val="both"/>
        <w:rPr>
          <w:rFonts w:hint="eastAsia" w:ascii="楷体" w:hAnsi="楷体" w:eastAsia="楷体" w:cs="Times New Roman"/>
          <w:sz w:val="28"/>
          <w:szCs w:val="28"/>
          <w:highlight w:val="none"/>
        </w:rPr>
      </w:pPr>
      <w:r>
        <w:rPr>
          <w:rFonts w:hint="eastAsia" w:ascii="楷体" w:hAnsi="楷体" w:eastAsia="楷体" w:cs="Times New Roman"/>
          <w:sz w:val="28"/>
          <w:szCs w:val="28"/>
          <w:highlight w:val="none"/>
        </w:rPr>
        <w:t>三、上述调整事项以本次公告为准，本产品其他信息仍以销售文件约定为准。如后续管理人更新销售文件，您可通过约定的信息披露渠道查询更新后的销售文件及公告。</w:t>
      </w:r>
    </w:p>
    <w:p>
      <w:pPr>
        <w:pStyle w:val="6"/>
        <w:spacing w:before="0" w:beforeAutospacing="0" w:after="0" w:afterAutospacing="0"/>
        <w:ind w:firstLine="560" w:firstLineChars="200"/>
        <w:jc w:val="both"/>
        <w:rPr>
          <w:rFonts w:ascii="楷体" w:hAnsi="楷体" w:eastAsia="楷体" w:cs="Times New Roman"/>
          <w:sz w:val="28"/>
          <w:szCs w:val="28"/>
          <w:highlight w:val="none"/>
        </w:rPr>
      </w:pPr>
      <w:r>
        <w:rPr>
          <w:rFonts w:hint="eastAsia" w:ascii="楷体" w:hAnsi="楷体" w:eastAsia="楷体" w:cs="Times New Roman"/>
          <w:sz w:val="28"/>
          <w:szCs w:val="28"/>
          <w:highlight w:val="none"/>
        </w:rPr>
        <w:t>特此公告。</w:t>
      </w:r>
    </w:p>
    <w:p>
      <w:pPr>
        <w:pStyle w:val="6"/>
        <w:spacing w:before="0" w:beforeAutospacing="0" w:after="0" w:afterAutospacing="0"/>
        <w:ind w:firstLine="560" w:firstLineChars="200"/>
        <w:jc w:val="both"/>
        <w:rPr>
          <w:rFonts w:ascii="楷体" w:hAnsi="楷体" w:eastAsia="楷体" w:cs="Times New Roman"/>
          <w:sz w:val="28"/>
          <w:szCs w:val="28"/>
          <w:highlight w:val="none"/>
        </w:rPr>
      </w:pPr>
      <w:r>
        <w:rPr>
          <w:rFonts w:hint="eastAsia" w:ascii="楷体" w:hAnsi="楷体" w:eastAsia="楷体" w:cs="Times New Roman"/>
          <w:sz w:val="28"/>
          <w:szCs w:val="28"/>
          <w:highlight w:val="none"/>
        </w:rPr>
        <w:t>感谢您</w:t>
      </w:r>
      <w:r>
        <w:rPr>
          <w:rFonts w:hint="eastAsia" w:ascii="楷体" w:hAnsi="楷体" w:eastAsia="楷体" w:cs="Times New Roman"/>
          <w:sz w:val="28"/>
          <w:szCs w:val="28"/>
          <w:highlight w:val="none"/>
          <w:lang w:val="en-US" w:eastAsia="zh-CN"/>
        </w:rPr>
        <w:t>一直以来对苏银理财的支持，</w:t>
      </w:r>
      <w:r>
        <w:rPr>
          <w:rFonts w:hint="eastAsia" w:ascii="楷体" w:hAnsi="楷体" w:eastAsia="楷体" w:cs="Times New Roman"/>
          <w:sz w:val="28"/>
          <w:szCs w:val="28"/>
          <w:highlight w:val="none"/>
        </w:rPr>
        <w:t>敬请继续关注苏银理财推出的其他理财产品。</w:t>
      </w:r>
    </w:p>
    <w:p>
      <w:pPr>
        <w:spacing w:line="560" w:lineRule="exact"/>
        <w:rPr>
          <w:rFonts w:ascii="楷体" w:hAnsi="楷体" w:eastAsia="楷体"/>
          <w:kern w:val="0"/>
          <w:sz w:val="28"/>
          <w:szCs w:val="28"/>
          <w:highlight w:val="none"/>
        </w:rPr>
      </w:pPr>
    </w:p>
    <w:p>
      <w:pPr>
        <w:spacing w:line="560" w:lineRule="exact"/>
        <w:jc w:val="right"/>
        <w:rPr>
          <w:rFonts w:ascii="楷体" w:hAnsi="楷体" w:eastAsia="楷体"/>
          <w:kern w:val="0"/>
          <w:sz w:val="28"/>
          <w:szCs w:val="28"/>
          <w:highlight w:val="none"/>
        </w:rPr>
      </w:pPr>
      <w:r>
        <w:rPr>
          <w:rFonts w:hint="eastAsia" w:ascii="楷体" w:hAnsi="楷体" w:eastAsia="楷体"/>
          <w:kern w:val="0"/>
          <w:sz w:val="28"/>
          <w:szCs w:val="28"/>
          <w:highlight w:val="none"/>
        </w:rPr>
        <w:t>苏银理财有限责任公司</w:t>
      </w:r>
    </w:p>
    <w:p>
      <w:pPr>
        <w:jc w:val="right"/>
        <w:rPr>
          <w:rFonts w:ascii="楷体" w:hAnsi="楷体" w:eastAsia="楷体"/>
          <w:kern w:val="0"/>
          <w:sz w:val="28"/>
          <w:szCs w:val="28"/>
          <w:highlight w:val="none"/>
        </w:rPr>
      </w:pPr>
      <w:r>
        <w:rPr>
          <w:rFonts w:hint="eastAsia" w:ascii="楷体" w:hAnsi="楷体" w:eastAsia="楷体"/>
          <w:sz w:val="28"/>
          <w:szCs w:val="28"/>
          <w:highlight w:val="none"/>
          <w:lang w:val="en-US" w:eastAsia="zh-CN"/>
        </w:rPr>
        <w:t>2026年9月17日</w:t>
      </w:r>
    </w:p>
    <w:p>
      <w:pPr>
        <w:rPr>
          <w:highlight w:val="none"/>
        </w:rPr>
      </w:pPr>
    </w:p>
    <w:p>
      <w:pPr>
        <w:rPr>
          <w:highlight w:val="none"/>
        </w:rPr>
      </w:pPr>
    </w:p>
    <w:p>
      <w:pPr>
        <w:rPr>
          <w:highlight w:val="none"/>
        </w:rPr>
      </w:pPr>
      <w:r>
        <w:rPr>
          <w:rFonts w:hint="eastAsia" w:ascii="楷体" w:hAnsi="楷体" w:eastAsia="楷体"/>
          <w:highlight w:val="none"/>
        </w:rPr>
        <w:t>备注：本次披露内容解释权归苏银理财所有，不构成任何形式的法律要约或承诺。</w:t>
      </w:r>
    </w:p>
    <w:sectPr>
      <w:headerReference r:id="rId5" w:type="first"/>
      <w:headerReference r:id="rId3" w:type="default"/>
      <w:footerReference r:id="rId6" w:type="default"/>
      <w:headerReference r:id="rId4" w:type="even"/>
      <w:pgSz w:w="11906" w:h="16838"/>
      <w:pgMar w:top="1440" w:right="1800" w:bottom="1440" w:left="1803" w:header="851" w:footer="992" w:gutter="0"/>
      <w:cols w:space="720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A1"/>
    <w:family w:val="auto"/>
    <w:pitch w:val="default"/>
    <w:sig w:usb0="E0002EFF" w:usb1="C000785B" w:usb2="00000009" w:usb3="00000000" w:csb0="400001FF" w:csb1="FFFF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楷体">
    <w:panose1 w:val="02010609060101010101"/>
    <w:charset w:val="86"/>
    <w:family w:val="modern"/>
    <w:pitch w:val="default"/>
    <w:sig w:usb0="800002BF" w:usb1="38CF7CFA" w:usb2="00000016" w:usb3="00000000" w:csb0="00040001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4"/>
      <w:jc w:val="center"/>
    </w:pPr>
    <w:r>
      <w:rPr>
        <w:lang w:val="zh-CN"/>
      </w:rPr>
      <w:t xml:space="preserve"> </w:t>
    </w:r>
    <w:r>
      <w:rPr>
        <w:b/>
        <w:bCs/>
        <w:sz w:val="24"/>
        <w:szCs w:val="24"/>
      </w:rPr>
      <w:fldChar w:fldCharType="begin"/>
    </w:r>
    <w:r>
      <w:rPr>
        <w:b/>
        <w:bCs/>
      </w:rPr>
      <w:instrText xml:space="preserve">PAGE</w:instrText>
    </w:r>
    <w:r>
      <w:rPr>
        <w:b/>
        <w:bCs/>
        <w:sz w:val="24"/>
        <w:szCs w:val="24"/>
      </w:rPr>
      <w:fldChar w:fldCharType="separate"/>
    </w:r>
    <w:r>
      <w:rPr>
        <w:b/>
        <w:bCs/>
      </w:rPr>
      <w:t>1</w:t>
    </w:r>
    <w:r>
      <w:rPr>
        <w:b/>
        <w:bCs/>
        <w:sz w:val="24"/>
        <w:szCs w:val="24"/>
      </w:rPr>
      <w:fldChar w:fldCharType="end"/>
    </w:r>
    <w:r>
      <w:rPr>
        <w:lang w:val="zh-CN"/>
      </w:rPr>
      <w:t xml:space="preserve"> / </w:t>
    </w:r>
    <w:r>
      <w:rPr>
        <w:b/>
        <w:bCs/>
        <w:sz w:val="24"/>
        <w:szCs w:val="24"/>
      </w:rPr>
      <w:fldChar w:fldCharType="begin"/>
    </w:r>
    <w:r>
      <w:rPr>
        <w:b/>
        <w:bCs/>
      </w:rPr>
      <w:instrText xml:space="preserve">NUMPAGES</w:instrText>
    </w:r>
    <w:r>
      <w:rPr>
        <w:b/>
        <w:bCs/>
        <w:sz w:val="24"/>
        <w:szCs w:val="24"/>
      </w:rPr>
      <w:fldChar w:fldCharType="separate"/>
    </w:r>
    <w:r>
      <w:rPr>
        <w:b/>
        <w:bCs/>
      </w:rPr>
      <w:t>1</w:t>
    </w:r>
    <w:r>
      <w:rPr>
        <w:b/>
        <w:bCs/>
        <w:sz w:val="24"/>
        <w:szCs w:val="24"/>
      </w:rPr>
      <w:fldChar w:fldCharType="end"/>
    </w:r>
  </w:p>
  <w:p>
    <w:pPr>
      <w:pStyle w:val="4"/>
    </w:pPr>
  </w:p>
</w:ftr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2"/>
      <w:keepNext w:val="0"/>
      <w:keepLines w:val="0"/>
      <w:pageBreakBefore w:val="0"/>
      <w:widowControl w:val="0"/>
      <w:kinsoku w:val="0"/>
      <w:wordWrap/>
      <w:overflowPunct w:val="0"/>
      <w:topLinePunct w:val="0"/>
      <w:autoSpaceDE w:val="0"/>
      <w:autoSpaceDN w:val="0"/>
      <w:bidi w:val="0"/>
      <w:adjustRightInd w:val="0"/>
      <w:snapToGrid/>
      <w:spacing w:before="0" w:line="320" w:lineRule="exact"/>
      <w:ind w:left="0"/>
      <w:jc w:val="both"/>
      <w:textAlignment w:val="auto"/>
      <w:rPr>
        <w:rFonts w:ascii="楷体" w:hAnsi="楷体" w:eastAsia="楷体" w:cs="黑体"/>
        <w:b/>
        <w:spacing w:val="-2"/>
        <w:sz w:val="24"/>
        <w:szCs w:val="24"/>
      </w:rPr>
    </w:pPr>
    <w:r>
      <w:rPr>
        <w:rFonts w:ascii="楷体" w:hAnsi="楷体" w:eastAsia="楷体"/>
        <w:b/>
      </w:rPr>
      <w:pict>
        <v:shape id="WordPictureWatermark367128483" o:spid="_x0000_s4098" o:spt="75" type="#_x0000_t75" style="position:absolute;left:0pt;margin-left:-360.25pt;margin-top:-82.85pt;height:862.85pt;width:1137.35pt;mso-position-horizontal-relative:margin;mso-position-vertical-relative:margin;z-index:-251655168;mso-width-relative:page;mso-height-relative:page;" filled="f" o:preferrelative="t" stroked="f" coordsize="21600,21600" o:allowincell="f">
          <v:path/>
          <v:fill on="f" focussize="0,0"/>
          <v:stroke on="f" joinstyle="miter"/>
          <v:imagedata r:id="rId1" gain="19661f" blacklevel="22938f" o:title="苏银理财"/>
          <o:lock v:ext="edit" aspectratio="t"/>
        </v:shape>
      </w:pict>
    </w:r>
    <w:r>
      <w:drawing>
        <wp:anchor distT="0" distB="0" distL="114300" distR="114300" simplePos="0" relativeHeight="251662336" behindDoc="0" locked="0" layoutInCell="1" allowOverlap="1">
          <wp:simplePos x="0" y="0"/>
          <wp:positionH relativeFrom="column">
            <wp:posOffset>4248150</wp:posOffset>
          </wp:positionH>
          <wp:positionV relativeFrom="paragraph">
            <wp:posOffset>-90170</wp:posOffset>
          </wp:positionV>
          <wp:extent cx="1325245" cy="424815"/>
          <wp:effectExtent l="0" t="0" r="8255" b="0"/>
          <wp:wrapSquare wrapText="bothSides"/>
          <wp:docPr id="1" name="图片 1" descr="说明: 说明: C:\Users\JSYH\Desktop\苏银理财.pn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图片 1" descr="说明: 说明: C:\Users\JSYH\Desktop\苏银理财.png"/>
                  <pic:cNvPicPr>
                    <a:picLocks noChangeAspect="1" noChangeArrowheads="1"/>
                  </pic:cNvPicPr>
                </pic:nvPicPr>
                <pic:blipFill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>
                  <a:xfrm>
                    <a:off x="0" y="0"/>
                    <a:ext cx="1325245" cy="42481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anchor>
      </w:drawing>
    </w:r>
    <w:r>
      <w:rPr>
        <w:rFonts w:hint="eastAsia" w:ascii="楷体" w:hAnsi="楷体" w:eastAsia="楷体" w:cs="黑体"/>
        <w:b/>
        <w:bCs/>
        <w:spacing w:val="-2"/>
        <w:sz w:val="24"/>
        <w:szCs w:val="24"/>
      </w:rPr>
      <w:t>理财非存款、产品有风险、投资须谨慎</w:t>
    </w: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5"/>
    </w:pPr>
    <w:r>
      <w:pict>
        <v:shape id="WordPictureWatermark367128482" o:spid="_x0000_s4099" o:spt="75" type="#_x0000_t75" style="position:absolute;left:0pt;height:862.85pt;width:1137.35pt;mso-position-horizontal:center;mso-position-horizontal-relative:margin;mso-position-vertical:center;mso-position-vertical-relative:margin;z-index:-251656192;mso-width-relative:page;mso-height-relative:page;" filled="f" o:preferrelative="t" stroked="f" coordsize="21600,21600" o:allowincell="f">
          <v:path/>
          <v:fill on="f" focussize="0,0"/>
          <v:stroke on="f" joinstyle="miter"/>
          <v:imagedata r:id="rId1" gain="19661f" blacklevel="22938f" o:title="苏银理财"/>
          <o:lock v:ext="edit" aspectratio="t"/>
        </v:shape>
      </w:pict>
    </w: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5"/>
    </w:pPr>
    <w:r>
      <w:pict>
        <v:shape id="WordPictureWatermark367128481" o:spid="_x0000_s4097" o:spt="75" type="#_x0000_t75" style="position:absolute;left:0pt;height:862.85pt;width:1137.35pt;mso-position-horizontal:center;mso-position-horizontal-relative:margin;mso-position-vertical:center;mso-position-vertical-relative:margin;z-index:-251657216;mso-width-relative:page;mso-height-relative:page;" filled="f" o:preferrelative="t" stroked="f" coordsize="21600,21600" o:allowincell="f">
          <v:path/>
          <v:fill on="f" focussize="0,0"/>
          <v:stroke on="f" joinstyle="miter"/>
          <v:imagedata r:id="rId1" gain="19661f" blacklevel="22938f" o:title="苏银理财"/>
          <o:lock v:ext="edit" aspectratio="t"/>
        </v:shape>
      </w:pict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D97D66C8"/>
    <w:multiLevelType w:val="singleLevel"/>
    <w:tmpl w:val="D97D66C8"/>
    <w:lvl w:ilvl="0" w:tentative="0">
      <w:start w:val="1"/>
      <w:numFmt w:val="chineseCounting"/>
      <w:suff w:val="nothing"/>
      <w:lvlText w:val="%1、"/>
      <w:lvlJc w:val="left"/>
      <w:rPr>
        <w:rFonts w:hint="eastAsia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21"/>
  <w:bordersDoNotSurroundHeader w:val="0"/>
  <w:bordersDoNotSurroundFooter w:val="0"/>
  <w:documentProtection w:enforcement="0"/>
  <w:defaultTabStop w:val="420"/>
  <w:drawingGridHorizontalSpacing w:val="105"/>
  <w:drawingGridVerticalSpacing w:val="156"/>
  <w:displayHorizontalDrawingGridEvery w:val="1"/>
  <w:displayVerticalDrawingGridEvery w:val="1"/>
  <w:noPunctuationKerning w:val="1"/>
  <w:characterSpacingControl w:val="compressPunctuation"/>
  <w:hdrShapeDefaults>
    <o:shapelayout v:ext="edit">
      <o:idmap v:ext="edit" data="3,4"/>
    </o:shapelayout>
  </w:hdrShapeDefaults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useAltKinsokuLineBreakRules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84D78"/>
    <w:rsid w:val="003C4A54"/>
    <w:rsid w:val="00446F8F"/>
    <w:rsid w:val="004646F6"/>
    <w:rsid w:val="004912D6"/>
    <w:rsid w:val="00533413"/>
    <w:rsid w:val="00536135"/>
    <w:rsid w:val="00582424"/>
    <w:rsid w:val="005A33FF"/>
    <w:rsid w:val="00701AC8"/>
    <w:rsid w:val="00727D40"/>
    <w:rsid w:val="00741AF4"/>
    <w:rsid w:val="00753B70"/>
    <w:rsid w:val="007615AC"/>
    <w:rsid w:val="007E2E07"/>
    <w:rsid w:val="008662F0"/>
    <w:rsid w:val="00884D78"/>
    <w:rsid w:val="00895ED0"/>
    <w:rsid w:val="00907975"/>
    <w:rsid w:val="009726FD"/>
    <w:rsid w:val="0099549C"/>
    <w:rsid w:val="00B023F6"/>
    <w:rsid w:val="00BD1475"/>
    <w:rsid w:val="00D14D00"/>
    <w:rsid w:val="00EE3AD0"/>
    <w:rsid w:val="02F850CA"/>
    <w:rsid w:val="05105AB1"/>
    <w:rsid w:val="0AE60A96"/>
    <w:rsid w:val="0C157F5D"/>
    <w:rsid w:val="16715CA5"/>
    <w:rsid w:val="16951A79"/>
    <w:rsid w:val="17B62588"/>
    <w:rsid w:val="17BB1686"/>
    <w:rsid w:val="1D851BFA"/>
    <w:rsid w:val="1DED026F"/>
    <w:rsid w:val="1FE7185B"/>
    <w:rsid w:val="249D4EC7"/>
    <w:rsid w:val="26080E3C"/>
    <w:rsid w:val="260D61F3"/>
    <w:rsid w:val="2E95383B"/>
    <w:rsid w:val="2F364D58"/>
    <w:rsid w:val="366A4D09"/>
    <w:rsid w:val="3DDD2E30"/>
    <w:rsid w:val="401867AD"/>
    <w:rsid w:val="41C213AB"/>
    <w:rsid w:val="4AB37917"/>
    <w:rsid w:val="4AC72202"/>
    <w:rsid w:val="4F47407E"/>
    <w:rsid w:val="4FF57990"/>
    <w:rsid w:val="541F7F41"/>
    <w:rsid w:val="58D81594"/>
    <w:rsid w:val="58E80657"/>
    <w:rsid w:val="605D1400"/>
    <w:rsid w:val="6A2E4E09"/>
    <w:rsid w:val="6BCB131E"/>
    <w:rsid w:val="6DB5114A"/>
    <w:rsid w:val="6EDA1CD8"/>
    <w:rsid w:val="72924E71"/>
    <w:rsid w:val="74805536"/>
    <w:rsid w:val="74BD7A3A"/>
    <w:rsid w:val="76665B33"/>
    <w:rsid w:val="773F2A4D"/>
    <w:rsid w:val="7D7F7513"/>
    <w:rsid w:val="7D994DB4"/>
    <w:rsid w:val="7E625683"/>
    <w:rsid w:val="7F524F7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qFormat="1" w:uiPriority="99" w:name="annotation text"/>
    <w:lsdException w:qFormat="1" w:uiPriority="99" w:semiHidden="0" w:name="header"/>
    <w:lsdException w:qFormat="1" w:uiPriority="99" w:semiHidden="0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qFormat="1" w:uiPriority="1" w:name="Default Paragraph Font"/>
    <w:lsdException w:qFormat="1" w:unhideWhenUsed="0" w:uiPriority="1" w:semiHidden="0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qFormat="1" w:uiPriority="99" w:semiHidden="0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name="Balloon Text"/>
    <w:lsdException w:qFormat="1" w:unhideWhenUsed="0" w:uiPriority="0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next w:val="2"/>
    <w:qFormat/>
    <w:uiPriority w:val="0"/>
    <w:pPr>
      <w:widowControl w:val="0"/>
      <w:jc w:val="both"/>
    </w:pPr>
    <w:rPr>
      <w:rFonts w:ascii="Calibri" w:hAnsi="Calibri" w:eastAsia="宋体" w:cs="Times New Roman"/>
      <w:kern w:val="2"/>
      <w:sz w:val="21"/>
      <w:szCs w:val="22"/>
      <w:lang w:val="en-US" w:eastAsia="zh-CN" w:bidi="ar-SA"/>
    </w:rPr>
  </w:style>
  <w:style w:type="character" w:default="1" w:styleId="9">
    <w:name w:val="Default Paragraph Font"/>
    <w:semiHidden/>
    <w:unhideWhenUsed/>
    <w:qFormat/>
    <w:uiPriority w:val="1"/>
  </w:style>
  <w:style w:type="table" w:default="1" w:styleId="7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Body Text"/>
    <w:basedOn w:val="1"/>
    <w:next w:val="1"/>
    <w:link w:val="10"/>
    <w:qFormat/>
    <w:uiPriority w:val="1"/>
    <w:pPr>
      <w:autoSpaceDE w:val="0"/>
      <w:autoSpaceDN w:val="0"/>
      <w:adjustRightInd w:val="0"/>
      <w:spacing w:before="162"/>
      <w:ind w:left="120"/>
      <w:jc w:val="left"/>
    </w:pPr>
    <w:rPr>
      <w:rFonts w:ascii="宋体" w:hAnsi="Times New Roman"/>
      <w:kern w:val="0"/>
      <w:sz w:val="20"/>
      <w:szCs w:val="21"/>
    </w:rPr>
  </w:style>
  <w:style w:type="paragraph" w:styleId="3">
    <w:name w:val="annotation text"/>
    <w:basedOn w:val="1"/>
    <w:semiHidden/>
    <w:unhideWhenUsed/>
    <w:qFormat/>
    <w:uiPriority w:val="99"/>
    <w:pPr>
      <w:jc w:val="left"/>
    </w:pPr>
  </w:style>
  <w:style w:type="paragraph" w:styleId="4">
    <w:name w:val="footer"/>
    <w:basedOn w:val="1"/>
    <w:link w:val="11"/>
    <w:unhideWhenUsed/>
    <w:qFormat/>
    <w:uiPriority w:val="99"/>
    <w:pPr>
      <w:tabs>
        <w:tab w:val="center" w:pos="4153"/>
        <w:tab w:val="right" w:pos="8306"/>
      </w:tabs>
      <w:snapToGrid w:val="0"/>
      <w:jc w:val="left"/>
    </w:pPr>
    <w:rPr>
      <w:kern w:val="0"/>
      <w:sz w:val="18"/>
      <w:szCs w:val="18"/>
    </w:rPr>
  </w:style>
  <w:style w:type="paragraph" w:styleId="5">
    <w:name w:val="header"/>
    <w:basedOn w:val="1"/>
    <w:link w:val="12"/>
    <w:unhideWhenUsed/>
    <w:qFormat/>
    <w:uiPriority w:val="99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kern w:val="0"/>
      <w:sz w:val="18"/>
      <w:szCs w:val="18"/>
    </w:rPr>
  </w:style>
  <w:style w:type="paragraph" w:styleId="6">
    <w:name w:val="Normal (Web)"/>
    <w:basedOn w:val="1"/>
    <w:unhideWhenUsed/>
    <w:qFormat/>
    <w:uiPriority w:val="99"/>
    <w:pPr>
      <w:widowControl/>
      <w:spacing w:before="100" w:beforeAutospacing="1" w:after="100" w:afterAutospacing="1"/>
      <w:jc w:val="left"/>
    </w:pPr>
    <w:rPr>
      <w:rFonts w:ascii="宋体" w:hAnsi="宋体" w:cs="宋体"/>
      <w:kern w:val="0"/>
      <w:sz w:val="24"/>
      <w:szCs w:val="24"/>
    </w:rPr>
  </w:style>
  <w:style w:type="table" w:styleId="8">
    <w:name w:val="Table Grid"/>
    <w:qFormat/>
    <w:uiPriority w:val="0"/>
    <w:pPr>
      <w:widowControl w:val="0"/>
      <w:jc w:val="both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character" w:customStyle="1" w:styleId="10">
    <w:name w:val="正文文本 字符"/>
    <w:basedOn w:val="9"/>
    <w:link w:val="2"/>
    <w:qFormat/>
    <w:uiPriority w:val="1"/>
    <w:rPr>
      <w:rFonts w:ascii="宋体" w:hAnsi="Times New Roman" w:eastAsia="宋体" w:cs="Times New Roman"/>
      <w:kern w:val="0"/>
      <w:sz w:val="20"/>
      <w:szCs w:val="21"/>
    </w:rPr>
  </w:style>
  <w:style w:type="character" w:customStyle="1" w:styleId="11">
    <w:name w:val="页脚 字符"/>
    <w:basedOn w:val="9"/>
    <w:link w:val="4"/>
    <w:qFormat/>
    <w:uiPriority w:val="99"/>
    <w:rPr>
      <w:rFonts w:ascii="Calibri" w:hAnsi="Calibri" w:eastAsia="宋体" w:cs="Times New Roman"/>
      <w:kern w:val="0"/>
      <w:sz w:val="18"/>
      <w:szCs w:val="18"/>
    </w:rPr>
  </w:style>
  <w:style w:type="character" w:customStyle="1" w:styleId="12">
    <w:name w:val="页眉 字符"/>
    <w:basedOn w:val="9"/>
    <w:link w:val="5"/>
    <w:qFormat/>
    <w:uiPriority w:val="99"/>
    <w:rPr>
      <w:rFonts w:ascii="Calibri" w:hAnsi="Calibri" w:eastAsia="宋体" w:cs="Times New Roman"/>
      <w:kern w:val="0"/>
      <w:sz w:val="18"/>
      <w:szCs w:val="18"/>
    </w:rPr>
  </w:style>
</w:styles>
</file>

<file path=word/_rels/document.xml.rels><?xml version="1.0" encoding="UTF-8" standalone="yes"?>
<Relationships xmlns="http://schemas.openxmlformats.org/package/2006/relationships"><Relationship Id="rId9" Type="http://schemas.openxmlformats.org/officeDocument/2006/relationships/numbering" Target="numbering.xml"/><Relationship Id="rId8" Type="http://schemas.openxmlformats.org/officeDocument/2006/relationships/customXml" Target="../customXml/item1.xml"/><Relationship Id="rId7" Type="http://schemas.openxmlformats.org/officeDocument/2006/relationships/theme" Target="theme/theme1.xml"/><Relationship Id="rId6" Type="http://schemas.openxmlformats.org/officeDocument/2006/relationships/footer" Target="footer1.xml"/><Relationship Id="rId5" Type="http://schemas.openxmlformats.org/officeDocument/2006/relationships/header" Target="header3.xml"/><Relationship Id="rId4" Type="http://schemas.openxmlformats.org/officeDocument/2006/relationships/header" Target="header2.xml"/><Relationship Id="rId3" Type="http://schemas.openxmlformats.org/officeDocument/2006/relationships/header" Target="header1.xml"/><Relationship Id="rId2" Type="http://schemas.openxmlformats.org/officeDocument/2006/relationships/settings" Target="settings.xml"/><Relationship Id="rId10" Type="http://schemas.openxmlformats.org/officeDocument/2006/relationships/fontTable" Target="fontTable.xml"/><Relationship Id="rId1" Type="http://schemas.openxmlformats.org/officeDocument/2006/relationships/styles" Target="styles.xm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2.png"/><Relationship Id="rId1" Type="http://schemas.openxmlformats.org/officeDocument/2006/relationships/image" Target="media/image1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3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等线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  <customShpExts>
    <customShpInfo spid="_x0000_s4098"/>
    <customShpInfo spid="_x0000_s4099"/>
    <customShpInfo spid="_x0000_s4097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Company>WORKGROUP</Company>
  <Pages>1</Pages>
  <Words>61</Words>
  <Characters>354</Characters>
  <Lines>2</Lines>
  <Paragraphs>1</Paragraphs>
  <TotalTime>4</TotalTime>
  <ScaleCrop>false</ScaleCrop>
  <LinksUpToDate>false</LinksUpToDate>
  <CharactersWithSpaces>414</CharactersWithSpaces>
  <Application>WPS Office_11.8.2.10321_F1E327BC-269C-435d-A152-05C5408002CA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2022-12-09T06:41:00Z</dcterms:created>
  <dc:creator>User</dc:creator>
  <cp:lastModifiedBy>孙伯略</cp:lastModifiedBy>
  <dcterms:modified xsi:type="dcterms:W3CDTF">2026-09-17T08:46:05Z</dcterms:modified>
  <cp:revision>3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2052-11.8.2.10321</vt:lpwstr>
  </property>
  <property fmtid="{D5CDD505-2E9C-101B-9397-08002B2CF9AE}" pid="3" name="ICV">
    <vt:lpwstr>C2C454FA307A425D9CDEC7885B11E05C</vt:lpwstr>
  </property>
</Properties>
</file>