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before="0" w:beforeAutospacing="0" w:after="0" w:afterAutospacing="0"/>
        <w:jc w:val="center"/>
        <w:rPr>
          <w:rFonts w:hint="eastAsia" w:ascii="楷体" w:hAnsi="楷体" w:eastAsia="楷体" w:cs="Times New Roman"/>
          <w:b/>
          <w:sz w:val="36"/>
          <w:szCs w:val="36"/>
        </w:rPr>
      </w:pPr>
      <w:r>
        <w:rPr>
          <w:rFonts w:hint="eastAsia" w:ascii="楷体" w:hAnsi="楷体" w:eastAsia="楷体" w:cs="Times New Roman"/>
          <w:b/>
          <w:sz w:val="36"/>
          <w:szCs w:val="36"/>
        </w:rPr>
        <w:t>苏银理财恒源封闭债权317期优选2年</w:t>
      </w:r>
    </w:p>
    <w:p>
      <w:pPr>
        <w:pStyle w:val="5"/>
        <w:spacing w:before="0" w:beforeAutospacing="0" w:after="0" w:afterAutospacing="0"/>
        <w:jc w:val="center"/>
        <w:rPr>
          <w:rFonts w:ascii="楷体" w:hAnsi="楷体" w:eastAsia="楷体" w:cs="Times New Roman"/>
          <w:b/>
          <w:sz w:val="36"/>
          <w:szCs w:val="36"/>
        </w:rPr>
      </w:pPr>
      <w:bookmarkStart w:id="0" w:name="_GoBack"/>
      <w:bookmarkEnd w:id="0"/>
      <w:r>
        <w:rPr>
          <w:rFonts w:hint="eastAsia" w:ascii="楷体" w:hAnsi="楷体" w:eastAsia="楷体" w:cs="Times New Roman"/>
          <w:b/>
          <w:sz w:val="36"/>
          <w:szCs w:val="36"/>
        </w:rPr>
        <w:t>发行公告</w:t>
      </w:r>
    </w:p>
    <w:p>
      <w:pPr>
        <w:pStyle w:val="5"/>
        <w:spacing w:before="0" w:beforeAutospacing="0" w:after="0" w:afterAutospacing="0"/>
        <w:rPr>
          <w:rFonts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尊敬的投资者：</w:t>
      </w:r>
    </w:p>
    <w:p>
      <w:pPr>
        <w:pStyle w:val="5"/>
        <w:spacing w:before="0" w:beforeAutospacing="0" w:after="0" w:afterAutospacing="0"/>
        <w:ind w:firstLine="560" w:firstLineChars="200"/>
        <w:rPr>
          <w:rFonts w:ascii="楷体" w:hAnsi="楷体" w:eastAsia="楷体" w:cs="Times New Roman"/>
          <w:sz w:val="28"/>
          <w:szCs w:val="28"/>
        </w:rPr>
      </w:pPr>
      <w:r>
        <w:rPr>
          <w:rFonts w:ascii="楷体" w:hAnsi="楷体" w:eastAsia="楷体" w:cs="Times New Roman"/>
          <w:sz w:val="28"/>
          <w:szCs w:val="28"/>
        </w:rPr>
        <w:t>苏银理财恒源封闭债权317期优选2年</w:t>
      </w:r>
      <w:r>
        <w:rPr>
          <w:rFonts w:hint="eastAsia" w:ascii="楷体" w:hAnsi="楷体" w:eastAsia="楷体" w:cs="Times New Roman"/>
          <w:sz w:val="28"/>
          <w:szCs w:val="28"/>
          <w:lang w:eastAsia="zh-CN"/>
        </w:rPr>
        <w:t>已</w:t>
      </w:r>
      <w:r>
        <w:rPr>
          <w:rFonts w:hint="eastAsia" w:ascii="楷体" w:hAnsi="楷体" w:eastAsia="楷体" w:cs="Times New Roman"/>
          <w:sz w:val="28"/>
          <w:szCs w:val="28"/>
        </w:rPr>
        <w:t>于</w:t>
      </w:r>
      <w:r>
        <w:rPr>
          <w:rFonts w:ascii="楷体" w:hAnsi="楷体" w:eastAsia="楷体" w:cs="Times New Roman"/>
          <w:sz w:val="28"/>
          <w:szCs w:val="28"/>
        </w:rPr>
        <w:t>2026年07月30日</w:t>
      </w:r>
      <w:r>
        <w:rPr>
          <w:rFonts w:hint="eastAsia" w:ascii="楷体" w:hAnsi="楷体" w:eastAsia="楷体" w:cs="Times New Roman"/>
          <w:sz w:val="28"/>
          <w:szCs w:val="28"/>
        </w:rPr>
        <w:t>成立，现将其相关信息公告</w:t>
      </w:r>
      <w:r>
        <w:rPr>
          <w:rFonts w:ascii="楷体" w:hAnsi="楷体" w:eastAsia="楷体" w:cs="Times New Roman"/>
          <w:sz w:val="28"/>
          <w:szCs w:val="28"/>
        </w:rPr>
        <w:t xml:space="preserve">如下： </w:t>
      </w:r>
    </w:p>
    <w:tbl>
      <w:tblPr>
        <w:tblStyle w:val="6"/>
        <w:tblW w:w="84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3083"/>
        <w:gridCol w:w="30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eastAsia="楷体" w:cs="宋体"/>
                <w:kern w:val="0"/>
              </w:rPr>
              <w:t>产品名称</w:t>
            </w:r>
          </w:p>
        </w:tc>
        <w:tc>
          <w:tcPr>
            <w:tcW w:w="6167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eastAsia="楷体" w:cs="宋体"/>
                <w:kern w:val="0"/>
              </w:rPr>
              <w:t>苏银理财恒源封闭债权317期优选2年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  <w:r>
              <w:rPr>
                <w:rFonts w:hint="eastAsia" w:ascii="楷体" w:hAnsi="楷体" w:eastAsia="楷体" w:cs="宋体"/>
                <w:kern w:val="0"/>
                <w:lang w:eastAsia="zh-CN"/>
              </w:rPr>
              <w:t>产品代码</w:t>
            </w:r>
          </w:p>
        </w:tc>
        <w:tc>
          <w:tcPr>
            <w:tcW w:w="6167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eastAsia="楷体" w:cs="宋体"/>
                <w:kern w:val="0"/>
              </w:rPr>
              <w:t/>
            </w:r>
            <w:r>
              <w:rPr>
                <w:rFonts w:hint="eastAsia" w:ascii="楷体" w:hAnsi="楷体" w:eastAsia="楷体" w:cs="宋体"/>
                <w:kern w:val="0"/>
              </w:rPr>
              <w:t/>
            </w:r>
            <w:r>
              <w:rPr>
                <w:rFonts w:ascii="楷体" w:hAnsi="楷体" w:eastAsia="楷体" w:cs="宋体"/>
                <w:kern w:val="0"/>
              </w:rPr>
              <w:t>SYLC20266150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hint="eastAsia" w:ascii="楷体" w:hAnsi="楷体" w:eastAsia="楷体" w:cs="宋体"/>
                <w:kern w:val="0"/>
                <w:lang w:eastAsia="zh-CN"/>
              </w:rPr>
              <w:t>产品</w:t>
            </w:r>
            <w:r>
              <w:rPr>
                <w:rFonts w:ascii="楷体" w:hAnsi="楷体" w:eastAsia="楷体" w:cs="宋体"/>
                <w:kern w:val="0"/>
              </w:rPr>
              <w:t>登记编码</w:t>
            </w:r>
          </w:p>
        </w:tc>
        <w:tc>
          <w:tcPr>
            <w:tcW w:w="6167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eastAsia="楷体" w:cs="宋体"/>
                <w:kern w:val="0"/>
              </w:rPr>
              <w:t>Z7003126000291</w:t>
            </w:r>
          </w:p>
          <w:p>
            <w:pPr>
              <w:jc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hint="eastAsia" w:ascii="楷体" w:hAnsi="楷体" w:eastAsia="楷体" w:cs="宋体"/>
                <w:kern w:val="0"/>
              </w:rPr>
              <w:t>（可在中国理财网www.chinawealth.com.cn查询产品信息）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eastAsia="楷体" w:cs="宋体"/>
                <w:kern w:val="0"/>
              </w:rPr>
              <w:t>产品</w:t>
            </w:r>
            <w:r>
              <w:rPr>
                <w:rFonts w:hint="eastAsia" w:ascii="楷体" w:hAnsi="楷体" w:eastAsia="楷体" w:cs="宋体"/>
                <w:kern w:val="0"/>
                <w:lang w:eastAsia="zh-CN"/>
              </w:rPr>
              <w:t>成立</w:t>
            </w:r>
            <w:r>
              <w:rPr>
                <w:rFonts w:ascii="楷体" w:hAnsi="楷体" w:eastAsia="楷体" w:cs="宋体"/>
                <w:kern w:val="0"/>
              </w:rPr>
              <w:t>日期</w:t>
            </w:r>
          </w:p>
        </w:tc>
        <w:tc>
          <w:tcPr>
            <w:tcW w:w="6167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eastAsia="楷体" w:cs="宋体"/>
                <w:kern w:val="0"/>
              </w:rPr>
              <w:t>2026年07月30日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  <w:r>
              <w:rPr>
                <w:rFonts w:hint="eastAsia" w:ascii="楷体" w:hAnsi="楷体" w:eastAsia="楷体" w:cs="宋体"/>
                <w:kern w:val="0"/>
                <w:lang w:eastAsia="zh-CN"/>
              </w:rPr>
              <w:t>募集币种</w:t>
            </w:r>
          </w:p>
        </w:tc>
        <w:tc>
          <w:tcPr>
            <w:tcW w:w="6167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eastAsia="楷体" w:cs="宋体"/>
                <w:kern w:val="0"/>
              </w:rPr>
              <w:t/>
            </w:r>
            <w:r>
              <w:rPr>
                <w:rFonts w:hint="eastAsia" w:ascii="楷体" w:hAnsi="楷体" w:eastAsia="楷体" w:cs="宋体"/>
                <w:kern w:val="0"/>
                <w:lang w:val="en-US" w:eastAsia="zh-CN"/>
              </w:rPr>
              <w:t/>
            </w:r>
            <w:r>
              <w:rPr>
                <w:rFonts w:ascii="楷体" w:hAnsi="楷体" w:eastAsia="楷体" w:cs="宋体"/>
                <w:kern w:val="0"/>
              </w:rPr>
              <w:t>人民币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  <w:r>
              <w:rPr>
                <w:rFonts w:hint="eastAsia" w:ascii="楷体" w:hAnsi="楷体" w:eastAsia="楷体" w:cs="宋体"/>
                <w:kern w:val="0"/>
                <w:lang w:eastAsia="zh-CN"/>
              </w:rPr>
              <w:t>产品</w:t>
            </w:r>
            <w:r>
              <w:rPr>
                <w:rFonts w:hint="eastAsia" w:ascii="楷体" w:hAnsi="楷体" w:eastAsia="楷体" w:cs="宋体"/>
                <w:kern w:val="0"/>
              </w:rPr>
              <w:t>募集规模（元）</w:t>
            </w:r>
          </w:p>
        </w:tc>
        <w:tc>
          <w:tcPr>
            <w:tcW w:w="6167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eastAsia="楷体" w:cs="宋体"/>
                <w:kern w:val="0"/>
              </w:rPr>
              <w:t>386,030,102.00</w:t>
            </w:r>
          </w:p>
        </w:tc>
      </w:tr>
      <w:tr>
        <w:trPr>
          <w:trHeight w:val="285" w:hRule="atLeast"/>
          <w:jc w:val="center"/>
        </w:trPr>
        <w:tc>
          <w:tcPr>
            <w:tcW w:w="2263" w:type="dxa"/>
            <w:vMerge w:val="restart"/>
            <w:vAlign w:val="center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  <w:r>
              <w:rPr>
                <w:rFonts w:ascii="楷体" w:hAnsi="楷体" w:cs="楷体" w:eastAsia="楷体"/>
              </w:rPr>
              <w:t>份额代码及份额募集规模（元）</w:t>
            </w:r>
          </w:p>
        </w:tc>
        <w:tc>
          <w:tcPr>
            <w:tcW w:w="3083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J24581</w:t>
            </w:r>
          </w:p>
        </w:tc>
        <w:tc>
          <w:tcPr>
            <w:tcW w:w="3084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58,501,521.00</w:t>
            </w:r>
          </w:p>
        </w:tc>
      </w:tr>
      <w:tr>
        <w:trPr>
          <w:trHeight w:val="285" w:hRule="atLeast"/>
          <w:jc w:val="center"/>
        </w:trPr>
        <w:tc>
          <w:tcPr>
            <w:tcW w:w="2263" w:type="dxa"/>
            <w:vMerge w:val="continue"/>
            <w:vAlign w:val="center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</w:p>
        </w:tc>
        <w:tc>
          <w:tcPr>
            <w:tcW w:w="3083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J24582</w:t>
            </w:r>
          </w:p>
        </w:tc>
        <w:tc>
          <w:tcPr>
            <w:tcW w:w="3084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2,470,624.00</w:t>
            </w:r>
          </w:p>
        </w:tc>
      </w:tr>
      <w:tr>
        <w:trPr>
          <w:trHeight w:val="285" w:hRule="atLeast"/>
          <w:jc w:val="center"/>
        </w:trPr>
        <w:tc>
          <w:tcPr>
            <w:tcW w:w="2263" w:type="dxa"/>
            <w:vMerge w:val="continue"/>
            <w:vAlign w:val="center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</w:p>
        </w:tc>
        <w:tc>
          <w:tcPr>
            <w:tcW w:w="3083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J24583</w:t>
            </w:r>
          </w:p>
        </w:tc>
        <w:tc>
          <w:tcPr>
            <w:tcW w:w="3084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32,740,000.00</w:t>
            </w:r>
          </w:p>
        </w:tc>
      </w:tr>
      <w:tr>
        <w:trPr>
          <w:trHeight w:val="285" w:hRule="atLeast"/>
          <w:jc w:val="center"/>
        </w:trPr>
        <w:tc>
          <w:tcPr>
            <w:tcW w:w="2263" w:type="dxa"/>
            <w:vMerge w:val="continue"/>
            <w:vAlign w:val="center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</w:p>
        </w:tc>
        <w:tc>
          <w:tcPr>
            <w:tcW w:w="3083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J24584</w:t>
            </w:r>
          </w:p>
        </w:tc>
        <w:tc>
          <w:tcPr>
            <w:tcW w:w="3084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4,810,000.00</w:t>
            </w:r>
          </w:p>
        </w:tc>
      </w:tr>
      <w:tr>
        <w:trPr>
          <w:trHeight w:val="285" w:hRule="atLeast"/>
          <w:jc w:val="center"/>
        </w:trPr>
        <w:tc>
          <w:tcPr>
            <w:tcW w:w="2263" w:type="dxa"/>
            <w:vMerge w:val="continue"/>
            <w:vAlign w:val="center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</w:p>
        </w:tc>
        <w:tc>
          <w:tcPr>
            <w:tcW w:w="3083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J24585</w:t>
            </w:r>
          </w:p>
        </w:tc>
        <w:tc>
          <w:tcPr>
            <w:tcW w:w="3084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112,170,000.00</w:t>
            </w:r>
          </w:p>
        </w:tc>
      </w:tr>
      <w:tr>
        <w:trPr>
          <w:trHeight w:val="285" w:hRule="atLeast"/>
          <w:jc w:val="center"/>
        </w:trPr>
        <w:tc>
          <w:tcPr>
            <w:tcW w:w="2263" w:type="dxa"/>
            <w:vMerge w:val="continue"/>
            <w:vAlign w:val="center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</w:p>
        </w:tc>
        <w:tc>
          <w:tcPr>
            <w:tcW w:w="3083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J24586</w:t>
            </w:r>
          </w:p>
        </w:tc>
        <w:tc>
          <w:tcPr>
            <w:tcW w:w="3084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12,948,238.00</w:t>
            </w:r>
          </w:p>
        </w:tc>
      </w:tr>
      <w:tr>
        <w:trPr>
          <w:trHeight w:val="285" w:hRule="atLeast"/>
          <w:jc w:val="center"/>
        </w:trPr>
        <w:tc>
          <w:tcPr>
            <w:tcW w:w="2263" w:type="dxa"/>
            <w:vMerge w:val="continue"/>
            <w:vAlign w:val="center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</w:p>
        </w:tc>
        <w:tc>
          <w:tcPr>
            <w:tcW w:w="3083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J24587</w:t>
            </w:r>
          </w:p>
        </w:tc>
        <w:tc>
          <w:tcPr>
            <w:tcW w:w="3084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37,625,839.00</w:t>
            </w:r>
          </w:p>
        </w:tc>
      </w:tr>
      <w:tr>
        <w:trPr>
          <w:trHeight w:val="285" w:hRule="atLeast"/>
          <w:jc w:val="center"/>
        </w:trPr>
        <w:tc>
          <w:tcPr>
            <w:tcW w:w="2263" w:type="dxa"/>
            <w:vMerge w:val="continue"/>
            <w:vAlign w:val="center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</w:p>
        </w:tc>
        <w:tc>
          <w:tcPr>
            <w:tcW w:w="3083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J24588</w:t>
            </w:r>
          </w:p>
        </w:tc>
        <w:tc>
          <w:tcPr>
            <w:tcW w:w="3084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41,756,116.00</w:t>
            </w:r>
          </w:p>
        </w:tc>
      </w:tr>
      <w:tr>
        <w:trPr>
          <w:trHeight w:val="285" w:hRule="atLeast"/>
          <w:jc w:val="center"/>
        </w:trPr>
        <w:tc>
          <w:tcPr>
            <w:tcW w:w="2263" w:type="dxa"/>
            <w:vMerge w:val="continue"/>
            <w:vAlign w:val="center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</w:p>
        </w:tc>
        <w:tc>
          <w:tcPr>
            <w:tcW w:w="3083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J24589</w:t>
            </w:r>
          </w:p>
        </w:tc>
        <w:tc>
          <w:tcPr>
            <w:tcW w:w="3084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18,077,523.00</w:t>
            </w:r>
          </w:p>
        </w:tc>
      </w:tr>
      <w:tr>
        <w:trPr>
          <w:trHeight w:val="285" w:hRule="atLeast"/>
          <w:jc w:val="center"/>
        </w:trPr>
        <w:tc>
          <w:tcPr>
            <w:tcW w:w="2263" w:type="dxa"/>
            <w:vMerge w:val="continue"/>
            <w:vAlign w:val="center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</w:p>
        </w:tc>
        <w:tc>
          <w:tcPr>
            <w:tcW w:w="3083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J24590</w:t>
            </w:r>
          </w:p>
        </w:tc>
        <w:tc>
          <w:tcPr>
            <w:tcW w:w="3084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29,381,694.00</w:t>
            </w:r>
          </w:p>
        </w:tc>
      </w:tr>
      <w:tr>
        <w:trPr>
          <w:trHeight w:val="285" w:hRule="atLeast"/>
          <w:jc w:val="center"/>
        </w:trPr>
        <w:tc>
          <w:tcPr>
            <w:tcW w:w="2263" w:type="dxa"/>
            <w:vMerge w:val="continue"/>
            <w:vAlign w:val="center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</w:p>
        </w:tc>
        <w:tc>
          <w:tcPr>
            <w:tcW w:w="3083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J24591</w:t>
            </w:r>
          </w:p>
        </w:tc>
        <w:tc>
          <w:tcPr>
            <w:tcW w:w="3084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50.00</w:t>
            </w:r>
          </w:p>
        </w:tc>
      </w:tr>
      <w:tr>
        <w:trPr>
          <w:trHeight w:val="285" w:hRule="atLeast"/>
          <w:jc w:val="center"/>
        </w:trPr>
        <w:tc>
          <w:tcPr>
            <w:tcW w:w="2263" w:type="dxa"/>
            <w:vMerge w:val="continue"/>
            <w:vAlign w:val="center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</w:p>
        </w:tc>
        <w:tc>
          <w:tcPr>
            <w:tcW w:w="3083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J24592</w:t>
            </w:r>
          </w:p>
        </w:tc>
        <w:tc>
          <w:tcPr>
            <w:tcW w:w="3084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13,646,200.00</w:t>
            </w:r>
          </w:p>
        </w:tc>
      </w:tr>
      <w:tr>
        <w:trPr>
          <w:trHeight w:val="285" w:hRule="atLeast"/>
          <w:jc w:val="center"/>
        </w:trPr>
        <w:tc>
          <w:tcPr>
            <w:tcW w:w="2263" w:type="dxa"/>
            <w:vMerge w:val="continue"/>
            <w:vAlign w:val="center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</w:p>
        </w:tc>
        <w:tc>
          <w:tcPr>
            <w:tcW w:w="3083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J24593</w:t>
            </w:r>
          </w:p>
        </w:tc>
        <w:tc>
          <w:tcPr>
            <w:tcW w:w="3084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9,657,982.00</w:t>
            </w:r>
          </w:p>
        </w:tc>
      </w:tr>
      <w:tr>
        <w:trPr>
          <w:trHeight w:val="285" w:hRule="atLeast"/>
          <w:jc w:val="center"/>
        </w:trPr>
        <w:tc>
          <w:tcPr>
            <w:tcW w:w="2263" w:type="dxa"/>
            <w:vMerge w:val="continue"/>
            <w:vAlign w:val="center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</w:p>
        </w:tc>
        <w:tc>
          <w:tcPr>
            <w:tcW w:w="3083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J24594</w:t>
            </w:r>
          </w:p>
        </w:tc>
        <w:tc>
          <w:tcPr>
            <w:tcW w:w="3084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5,194,552.00</w:t>
            </w:r>
          </w:p>
        </w:tc>
      </w:tr>
      <w:tr>
        <w:trPr>
          <w:trHeight w:val="285" w:hRule="atLeast"/>
          <w:jc w:val="center"/>
        </w:trPr>
        <w:tc>
          <w:tcPr>
            <w:tcW w:w="2263" w:type="dxa"/>
            <w:vMerge w:val="continue"/>
            <w:vAlign w:val="center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</w:p>
        </w:tc>
        <w:tc>
          <w:tcPr>
            <w:tcW w:w="3083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J24595</w:t>
            </w:r>
          </w:p>
        </w:tc>
        <w:tc>
          <w:tcPr>
            <w:tcW w:w="3084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120,000.00</w:t>
            </w:r>
          </w:p>
        </w:tc>
      </w:tr>
      <w:tr>
        <w:trPr>
          <w:trHeight w:val="285" w:hRule="atLeast"/>
          <w:jc w:val="center"/>
        </w:trPr>
        <w:tc>
          <w:tcPr>
            <w:tcW w:w="2263" w:type="dxa"/>
            <w:vMerge w:val="continue"/>
            <w:vAlign w:val="center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</w:p>
        </w:tc>
        <w:tc>
          <w:tcPr>
            <w:tcW w:w="3083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J24596</w:t>
            </w:r>
          </w:p>
        </w:tc>
        <w:tc>
          <w:tcPr>
            <w:tcW w:w="3084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6,929,763.00</w:t>
            </w:r>
          </w:p>
        </w:tc>
      </w:tr>
    </w:tbl>
    <w:p>
      <w:pPr>
        <w:bidi w:val="0"/>
        <w:ind w:firstLine="560" w:firstLineChars="200"/>
        <w:jc w:val="left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 xml:space="preserve"> </w:t>
      </w:r>
    </w:p>
    <w:p>
      <w:pPr>
        <w:pStyle w:val="5"/>
        <w:spacing w:before="0" w:beforeAutospacing="0" w:after="0" w:afterAutospacing="0"/>
        <w:ind w:firstLine="560" w:firstLineChars="200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其他产品信息请以产品说明书所载为准。</w:t>
      </w:r>
    </w:p>
    <w:p>
      <w:pPr>
        <w:pStyle w:val="5"/>
        <w:spacing w:before="0" w:beforeAutospacing="0" w:after="0" w:afterAutospacing="0"/>
        <w:ind w:firstLine="560" w:firstLineChars="200"/>
        <w:rPr>
          <w:rFonts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特此公告。</w:t>
      </w:r>
    </w:p>
    <w:p>
      <w:pPr>
        <w:spacing w:line="560" w:lineRule="exact"/>
        <w:ind w:firstLine="560" w:firstLineChars="200"/>
        <w:rPr>
          <w:rFonts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感谢您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一直以来对苏银理财的支持，</w:t>
      </w:r>
      <w:r>
        <w:rPr>
          <w:rFonts w:hint="eastAsia" w:ascii="楷体" w:hAnsi="楷体" w:eastAsia="楷体" w:cs="Times New Roman"/>
          <w:sz w:val="28"/>
          <w:szCs w:val="28"/>
        </w:rPr>
        <w:t>敬请继续关注苏银理财推出的其他理财产品。</w:t>
      </w:r>
    </w:p>
    <w:p>
      <w:pPr>
        <w:spacing w:line="560" w:lineRule="exact"/>
        <w:jc w:val="right"/>
        <w:rPr>
          <w:rFonts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/>
          <w:kern w:val="0"/>
          <w:sz w:val="28"/>
          <w:szCs w:val="28"/>
        </w:rPr>
        <w:t>苏银理财有限责任公司</w:t>
      </w:r>
    </w:p>
    <w:p>
      <w:pPr>
        <w:jc w:val="right"/>
        <w:rPr>
          <w:rFonts w:ascii="楷体" w:hAnsi="楷体" w:eastAsia="楷体"/>
          <w:kern w:val="0"/>
          <w:sz w:val="24"/>
          <w:szCs w:val="24"/>
        </w:rPr>
      </w:pPr>
      <w:r>
        <w:rPr>
          <w:rFonts w:ascii="楷体" w:hAnsi="楷体" w:eastAsia="楷体"/>
          <w:sz w:val="28"/>
          <w:szCs w:val="28"/>
        </w:rPr>
        <w:t>2026年07月31日</w:t>
      </w:r>
    </w:p>
    <w:p/>
    <w:p/>
    <w:p>
      <w:pPr>
        <w:rPr>
          <w:rFonts w:ascii="楷体" w:hAnsi="楷体" w:eastAsia="楷体"/>
        </w:rPr>
      </w:pPr>
      <w:r>
        <w:rPr>
          <w:rFonts w:hint="eastAsia" w:ascii="楷体" w:hAnsi="楷体" w:eastAsia="楷体"/>
        </w:rPr>
        <w:t>备注：本次披露内容解释权归苏银理财所有，不构成任何形式的法律要约或承诺。</w:t>
      </w:r>
    </w:p>
    <w:p/>
    <w:p/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1440" w:right="1800" w:bottom="1440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kinsoku w:val="0"/>
      <w:overflowPunct w:val="0"/>
      <w:spacing w:before="0" w:line="320" w:lineRule="exact"/>
      <w:ind w:left="20"/>
      <w:jc w:val="both"/>
      <w:rPr>
        <w:rFonts w:ascii="楷体" w:hAnsi="楷体" w:eastAsia="楷体" w:cs="黑体"/>
        <w:b/>
        <w:spacing w:val="-2"/>
        <w:sz w:val="24"/>
        <w:szCs w:val="24"/>
      </w:rPr>
    </w:pPr>
    <w:r>
      <w:rPr>
        <w:rFonts w:ascii="楷体" w:hAnsi="楷体" w:eastAsia="楷体"/>
        <w:b/>
      </w:rPr>
      <w:drawing>
        <wp:anchor distT="0" distB="0" distL="114300" distR="114300" simplePos="0" relativeHeight="251661312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2" name="WordPictureWatermark367128483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367128483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3923665</wp:posOffset>
          </wp:positionH>
          <wp:positionV relativeFrom="paragraph">
            <wp:posOffset>-95250</wp:posOffset>
          </wp:positionV>
          <wp:extent cx="1325245" cy="424815"/>
          <wp:effectExtent l="0" t="0" r="8255" b="13335"/>
          <wp:wrapSquare wrapText="bothSides"/>
          <wp:docPr id="1" name="图片 1" descr="说明: 说明: C:\Users\JSYH\Desktop\苏银理财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说明: 说明: C:\Users\JSYH\Desktop\苏银理财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25245" cy="424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楷体" w:hAnsi="楷体" w:eastAsia="楷体" w:cs="黑体"/>
        <w:b/>
        <w:bCs/>
        <w:spacing w:val="-2"/>
        <w:sz w:val="24"/>
        <w:szCs w:val="24"/>
      </w:rPr>
      <w:t>理财非存款、产品有风险、投资须谨慎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drawing>
        <wp:anchor distT="0" distB="0" distL="114300" distR="114300" simplePos="0" relativeHeight="25166028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4" name="WordPictureWatermark367128482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WordPictureWatermark367128482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drawing>
        <wp:anchor distT="0" distB="0" distL="114300" distR="114300" simplePos="0" relativeHeight="25165926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3" name="WordPictureWatermark367128481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ordPictureWatermark367128481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2BC2489"/>
    <w:rsid w:val="037E5DCB"/>
    <w:rsid w:val="04513BA5"/>
    <w:rsid w:val="06C21824"/>
    <w:rsid w:val="09AF4121"/>
    <w:rsid w:val="0E4449F4"/>
    <w:rsid w:val="0EAF40A4"/>
    <w:rsid w:val="0ED30DE0"/>
    <w:rsid w:val="0EFE76A6"/>
    <w:rsid w:val="111A0C9A"/>
    <w:rsid w:val="11C23A31"/>
    <w:rsid w:val="11CE1A42"/>
    <w:rsid w:val="140F3276"/>
    <w:rsid w:val="14DE5ECD"/>
    <w:rsid w:val="165B7028"/>
    <w:rsid w:val="1A4B52AF"/>
    <w:rsid w:val="1A574945"/>
    <w:rsid w:val="1A8E28A0"/>
    <w:rsid w:val="1BB03C7D"/>
    <w:rsid w:val="1BB50104"/>
    <w:rsid w:val="1DC46339"/>
    <w:rsid w:val="206261AF"/>
    <w:rsid w:val="213E4898"/>
    <w:rsid w:val="22392531"/>
    <w:rsid w:val="25230CFB"/>
    <w:rsid w:val="2ABB5AA9"/>
    <w:rsid w:val="2B536F21"/>
    <w:rsid w:val="2C3B141D"/>
    <w:rsid w:val="2CED4AC4"/>
    <w:rsid w:val="32F6606D"/>
    <w:rsid w:val="34172F02"/>
    <w:rsid w:val="35A70196"/>
    <w:rsid w:val="372333F2"/>
    <w:rsid w:val="395F2BBE"/>
    <w:rsid w:val="3A8F74D3"/>
    <w:rsid w:val="3DD50400"/>
    <w:rsid w:val="40554F9C"/>
    <w:rsid w:val="40D31FE7"/>
    <w:rsid w:val="42EC5ED9"/>
    <w:rsid w:val="45636562"/>
    <w:rsid w:val="45AA3413"/>
    <w:rsid w:val="4D5608B6"/>
    <w:rsid w:val="4ED571E4"/>
    <w:rsid w:val="50282F8E"/>
    <w:rsid w:val="550F159D"/>
    <w:rsid w:val="57A10251"/>
    <w:rsid w:val="57DA482F"/>
    <w:rsid w:val="582B54DF"/>
    <w:rsid w:val="5A7A0CFF"/>
    <w:rsid w:val="5C457071"/>
    <w:rsid w:val="61B14255"/>
    <w:rsid w:val="63972DF0"/>
    <w:rsid w:val="660776F2"/>
    <w:rsid w:val="66081ABD"/>
    <w:rsid w:val="699A724E"/>
    <w:rsid w:val="6F846384"/>
    <w:rsid w:val="70057BD7"/>
    <w:rsid w:val="707120B4"/>
    <w:rsid w:val="70EE7DA8"/>
    <w:rsid w:val="72EC1F10"/>
    <w:rsid w:val="730E33D2"/>
    <w:rsid w:val="733D289D"/>
    <w:rsid w:val="7492574D"/>
    <w:rsid w:val="762412E8"/>
    <w:rsid w:val="765E373E"/>
    <w:rsid w:val="79352EE7"/>
    <w:rsid w:val="796E4346"/>
    <w:rsid w:val="7D5471E5"/>
    <w:rsid w:val="7F284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autoSpaceDE w:val="0"/>
      <w:autoSpaceDN w:val="0"/>
      <w:adjustRightInd w:val="0"/>
      <w:spacing w:before="162"/>
      <w:ind w:left="120"/>
      <w:jc w:val="left"/>
    </w:pPr>
    <w:rPr>
      <w:rFonts w:ascii="宋体" w:hAnsi="Times New Roman"/>
      <w:kern w:val="0"/>
      <w:sz w:val="20"/>
      <w:szCs w:val="21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header1.xml" Type="http://schemas.openxmlformats.org/officeDocument/2006/relationships/header"/><Relationship Id="rId4" Target="header2.xml" Type="http://schemas.openxmlformats.org/officeDocument/2006/relationships/header"/><Relationship Id="rId5" Target="header3.xml" Type="http://schemas.openxmlformats.org/officeDocument/2006/relationships/header"/><Relationship Id="rId6" Target="footer1.xml" Type="http://schemas.openxmlformats.org/officeDocument/2006/relationships/footer"/><Relationship Id="rId7" Target="theme/theme1.xml" Type="http://schemas.openxmlformats.org/officeDocument/2006/relationships/theme"/><Relationship Id="rId8" Target="fontTable.xml" Type="http://schemas.openxmlformats.org/officeDocument/2006/relationships/fontTable"/></Relationships>
</file>

<file path=word/_rels/head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Relationship Id="rId2" Target="media/image2.png" Type="http://schemas.openxmlformats.org/officeDocument/2006/relationships/image"/></Relationships>
</file>

<file path=word/_rels/head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header3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Office_11.8.2.11734_F1E327BC-269C-435d-A152-05C5408002CA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2026-03-10T02:04:00Z</dcterms:created>
  <dc:creator>User</dc:creator>
  <cp:lastModifiedBy>jsyh</cp:lastModifiedBy>
  <dcterms:modified xsi:type="dcterms:W3CDTF">2026-05-22T01:10:57Z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2052-11.8.2.11734</vt:lpwstr>
  </property>
  <property fmtid="{D5CDD505-2E9C-101B-9397-08002B2CF9AE}" pid="3" name="ICV">
    <vt:lpwstr>F1B1DEA8F5154B7FBB0F1E8C603730B9</vt:lpwstr>
  </property>
</Properties>
</file>