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topLinePunct w:val="0"/>
        <w:autoSpaceDE/>
        <w:autoSpaceDN/>
        <w:bidi w:val="0"/>
        <w:snapToGrid/>
        <w:jc w:val="center"/>
        <w:textAlignment w:val="auto"/>
        <w:rPr>
          <w:rFonts w:hint="eastAsia" w:ascii="楷体" w:hAnsi="楷体" w:eastAsia="楷体"/>
          <w:b/>
          <w:kern w:val="0"/>
          <w:sz w:val="36"/>
          <w:szCs w:val="36"/>
        </w:rPr>
      </w:pPr>
    </w:p>
    <w:p>
      <w:pPr>
        <w:keepNext w:val="0"/>
        <w:keepLines w:val="0"/>
        <w:pageBreakBefore w:val="0"/>
        <w:wordWrap/>
        <w:topLinePunct w:val="0"/>
        <w:autoSpaceDE/>
        <w:autoSpaceDN/>
        <w:bidi w:val="0"/>
        <w:snapToGrid/>
        <w:jc w:val="center"/>
        <w:textAlignment w:val="auto"/>
        <w:rPr>
          <w:rFonts w:hint="eastAsia" w:ascii="楷体" w:hAnsi="楷体" w:eastAsia="楷体"/>
          <w:b/>
          <w:kern w:val="0"/>
          <w:sz w:val="36"/>
          <w:szCs w:val="36"/>
        </w:rPr>
      </w:pPr>
      <w:r>
        <w:rPr>
          <w:rFonts w:hint="eastAsia" w:ascii="楷体" w:hAnsi="楷体" w:eastAsia="楷体"/>
          <w:b/>
          <w:kern w:val="0"/>
          <w:sz w:val="36"/>
          <w:szCs w:val="36"/>
        </w:rPr>
        <w:t>“苏银理财</w:t>
      </w:r>
      <w:r>
        <w:rPr>
          <w:rFonts w:hint="eastAsia" w:ascii="楷体" w:hAnsi="楷体" w:eastAsia="楷体"/>
          <w:b/>
          <w:kern w:val="0"/>
          <w:sz w:val="36"/>
          <w:szCs w:val="36"/>
          <w:lang w:eastAsia="zh-CN"/>
        </w:rPr>
        <w:t>恒源融达1号</w:t>
      </w:r>
      <w:r>
        <w:rPr>
          <w:rFonts w:hint="eastAsia" w:ascii="楷体" w:hAnsi="楷体" w:eastAsia="楷体"/>
          <w:b/>
          <w:kern w:val="0"/>
          <w:sz w:val="36"/>
          <w:szCs w:val="36"/>
        </w:rPr>
        <w:t>”</w:t>
      </w:r>
    </w:p>
    <w:p>
      <w:pPr>
        <w:keepNext w:val="0"/>
        <w:keepLines w:val="0"/>
        <w:pageBreakBefore w:val="0"/>
        <w:wordWrap/>
        <w:topLinePunct w:val="0"/>
        <w:autoSpaceDE/>
        <w:autoSpaceDN/>
        <w:bidi w:val="0"/>
        <w:snapToGrid/>
        <w:jc w:val="center"/>
        <w:textAlignment w:val="auto"/>
        <w:rPr>
          <w:rFonts w:hint="eastAsia" w:ascii="楷体" w:hAnsi="楷体" w:eastAsia="楷体"/>
          <w:b/>
          <w:kern w:val="0"/>
          <w:sz w:val="36"/>
          <w:szCs w:val="36"/>
        </w:rPr>
      </w:pPr>
      <w:r>
        <w:rPr>
          <w:rFonts w:hint="eastAsia" w:ascii="楷体" w:hAnsi="楷体" w:eastAsia="楷体"/>
          <w:b/>
          <w:kern w:val="0"/>
          <w:sz w:val="36"/>
          <w:szCs w:val="36"/>
        </w:rPr>
        <w:t>理财产品要素调整公告</w:t>
      </w:r>
    </w:p>
    <w:p>
      <w:pPr>
        <w:keepNext w:val="0"/>
        <w:keepLines w:val="0"/>
        <w:pageBreakBefore w:val="0"/>
        <w:wordWrap/>
        <w:topLinePunct w:val="0"/>
        <w:autoSpaceDE/>
        <w:autoSpaceDN/>
        <w:bidi w:val="0"/>
        <w:snapToGrid/>
        <w:jc w:val="center"/>
        <w:textAlignment w:val="auto"/>
        <w:rPr>
          <w:rFonts w:hint="eastAsia" w:ascii="楷体" w:hAnsi="楷体" w:eastAsia="楷体"/>
          <w:b/>
          <w:kern w:val="0"/>
          <w:sz w:val="36"/>
          <w:szCs w:val="36"/>
        </w:rPr>
      </w:pPr>
    </w:p>
    <w:p>
      <w:pPr>
        <w:keepNext w:val="0"/>
        <w:keepLines w:val="0"/>
        <w:pageBreakBefore w:val="0"/>
        <w:wordWrap/>
        <w:topLinePunct w:val="0"/>
        <w:autoSpaceDE/>
        <w:autoSpaceDN/>
        <w:bidi w:val="0"/>
        <w:snapToGrid/>
        <w:spacing w:line="520" w:lineRule="exact"/>
        <w:textAlignment w:val="auto"/>
        <w:rPr>
          <w:rFonts w:hint="eastAsia" w:ascii="楷体" w:hAnsi="楷体" w:eastAsia="楷体"/>
          <w:kern w:val="0"/>
          <w:sz w:val="28"/>
          <w:szCs w:val="28"/>
        </w:rPr>
      </w:pPr>
      <w:r>
        <w:rPr>
          <w:rFonts w:hint="eastAsia" w:ascii="楷体" w:hAnsi="楷体" w:eastAsia="楷体"/>
          <w:kern w:val="0"/>
          <w:sz w:val="28"/>
          <w:szCs w:val="28"/>
        </w:rPr>
        <w:t>尊敬的客户：</w:t>
      </w:r>
    </w:p>
    <w:p>
      <w:pPr>
        <w:pStyle w:val="11"/>
        <w:keepNext w:val="0"/>
        <w:keepLines w:val="0"/>
        <w:pageBreakBefore w:val="0"/>
        <w:wordWrap/>
        <w:topLinePunct w:val="0"/>
        <w:autoSpaceDE/>
        <w:autoSpaceDN/>
        <w:bidi w:val="0"/>
        <w:snapToGrid/>
        <w:spacing w:before="0" w:beforeAutospacing="0" w:after="0" w:afterAutospacing="0" w:line="480" w:lineRule="auto"/>
        <w:ind w:firstLine="560" w:firstLineChars="200"/>
        <w:textAlignment w:val="auto"/>
        <w:rPr>
          <w:rFonts w:hint="eastAsia" w:ascii="楷体" w:hAnsi="楷体" w:eastAsia="楷体" w:cs="Times New Roman"/>
          <w:sz w:val="28"/>
          <w:szCs w:val="28"/>
        </w:rPr>
      </w:pPr>
      <w:r>
        <w:rPr>
          <w:rFonts w:hint="eastAsia" w:ascii="楷体" w:hAnsi="楷体" w:eastAsia="楷体" w:cs="Times New Roman"/>
          <w:sz w:val="28"/>
          <w:szCs w:val="28"/>
        </w:rPr>
        <w:t>为满足客户的投资需要，</w:t>
      </w:r>
      <w:r>
        <w:rPr>
          <w:rFonts w:hint="eastAsia" w:ascii="楷体" w:hAnsi="楷体" w:eastAsia="楷体" w:cs="Times New Roman"/>
          <w:sz w:val="28"/>
          <w:szCs w:val="28"/>
          <w:lang w:val="en-US" w:eastAsia="zh-CN"/>
        </w:rPr>
        <w:t>管理人拟增设子份额“苏银理财恒源融达1号6月R”“苏银理财恒源融达1号6月T”“苏银理财恒源融达1号6月（晋升财富臻享）”</w:t>
      </w:r>
      <w:r>
        <w:rPr>
          <w:rFonts w:hint="eastAsia" w:ascii="楷体" w:hAnsi="楷体" w:eastAsia="楷体" w:cs="Times New Roman"/>
          <w:sz w:val="28"/>
          <w:szCs w:val="28"/>
        </w:rPr>
        <w:t>，</w:t>
      </w:r>
      <w:r>
        <w:rPr>
          <w:rFonts w:hint="eastAsia" w:ascii="楷体" w:hAnsi="楷体" w:eastAsia="楷体" w:cs="Times New Roman"/>
          <w:sz w:val="28"/>
          <w:szCs w:val="28"/>
          <w:lang w:val="en-US" w:eastAsia="zh-CN"/>
        </w:rPr>
        <w:t>具体情况</w:t>
      </w:r>
      <w:r>
        <w:rPr>
          <w:rFonts w:hint="eastAsia" w:ascii="楷体" w:hAnsi="楷体" w:eastAsia="楷体" w:cs="Times New Roman"/>
          <w:sz w:val="28"/>
          <w:szCs w:val="28"/>
        </w:rPr>
        <w:t>如下：</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99" w:type="pct"/>
            <w:noWrap w:val="0"/>
            <w:tcMar>
              <w:top w:w="0" w:type="dxa"/>
              <w:left w:w="28" w:type="dxa"/>
              <w:bottom w:w="0" w:type="dxa"/>
              <w:right w:w="28" w:type="dxa"/>
            </w:tcMar>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outlineLvl w:val="9"/>
              <w:rPr>
                <w:rFonts w:hint="eastAsia" w:ascii="楷体" w:hAnsi="楷体" w:eastAsia="楷体" w:cs="Times New Roman"/>
                <w:sz w:val="24"/>
                <w:szCs w:val="24"/>
                <w:vertAlign w:val="baseline"/>
              </w:rPr>
            </w:pPr>
            <w:r>
              <w:rPr>
                <w:rFonts w:hint="eastAsia" w:ascii="楷体" w:hAnsi="楷体" w:eastAsia="楷体" w:cs="Times New Roman"/>
                <w:b/>
                <w:bCs/>
                <w:sz w:val="24"/>
                <w:szCs w:val="24"/>
                <w:vertAlign w:val="baseline"/>
                <w:lang w:val="en-US" w:eastAsia="zh-CN"/>
              </w:rPr>
              <w:t>销售名称/销售代码</w:t>
            </w:r>
          </w:p>
        </w:tc>
        <w:tc>
          <w:tcPr>
            <w:tcW w:w="4100" w:type="pct"/>
            <w:noWrap w:val="0"/>
            <w:tcMar>
              <w:top w:w="0" w:type="dxa"/>
              <w:left w:w="28" w:type="dxa"/>
              <w:bottom w:w="0" w:type="dxa"/>
              <w:right w:w="28" w:type="dxa"/>
            </w:tcMar>
            <w:vAlign w:val="center"/>
          </w:tcPr>
          <w:p>
            <w:pPr>
              <w:keepNext w:val="0"/>
              <w:keepLines w:val="0"/>
              <w:pageBreakBefore w:val="0"/>
              <w:widowControl w:val="0"/>
              <w:kinsoku w:val="0"/>
              <w:wordWrap/>
              <w:overflowPunct w:val="0"/>
              <w:topLinePunct w:val="0"/>
              <w:autoSpaceDE/>
              <w:autoSpaceDN/>
              <w:bidi w:val="0"/>
              <w:adjustRightInd w:val="0"/>
              <w:snapToGrid/>
              <w:spacing w:before="0"/>
              <w:ind w:left="42" w:leftChars="20" w:right="42" w:rightChars="20"/>
              <w:jc w:val="both"/>
              <w:textAlignment w:val="auto"/>
              <w:rPr>
                <w:rFonts w:hint="eastAsia" w:ascii="楷体" w:hAnsi="楷体" w:eastAsia="楷体" w:cs="宋体"/>
                <w:spacing w:val="-2"/>
                <w:kern w:val="0"/>
                <w:sz w:val="24"/>
                <w:szCs w:val="24"/>
                <w:highlight w:val="none"/>
                <w:lang w:val="en-US" w:eastAsia="zh-CN" w:bidi="ar-SA"/>
              </w:rPr>
            </w:pPr>
            <w:r>
              <w:rPr>
                <w:rFonts w:hint="eastAsia" w:ascii="楷体" w:hAnsi="楷体" w:eastAsia="楷体" w:cs="宋体"/>
                <w:spacing w:val="-2"/>
                <w:kern w:val="0"/>
                <w:sz w:val="24"/>
                <w:szCs w:val="24"/>
                <w:highlight w:val="none"/>
                <w:lang w:val="en-US" w:eastAsia="zh-CN" w:bidi="ar-SA"/>
              </w:rPr>
              <w:t>R份额：苏银理财恒源融达1号6月R/J22419</w:t>
            </w:r>
          </w:p>
          <w:p>
            <w:pPr>
              <w:keepNext w:val="0"/>
              <w:keepLines w:val="0"/>
              <w:pageBreakBefore w:val="0"/>
              <w:widowControl w:val="0"/>
              <w:kinsoku w:val="0"/>
              <w:wordWrap/>
              <w:overflowPunct w:val="0"/>
              <w:topLinePunct w:val="0"/>
              <w:autoSpaceDE/>
              <w:autoSpaceDN/>
              <w:bidi w:val="0"/>
              <w:adjustRightInd w:val="0"/>
              <w:snapToGrid/>
              <w:spacing w:before="0"/>
              <w:ind w:left="42" w:leftChars="20" w:right="42" w:rightChars="20"/>
              <w:jc w:val="both"/>
              <w:textAlignment w:val="auto"/>
              <w:rPr>
                <w:rFonts w:hint="default" w:ascii="楷体" w:hAnsi="楷体" w:eastAsia="楷体" w:cs="宋体"/>
                <w:spacing w:val="-2"/>
                <w:kern w:val="0"/>
                <w:sz w:val="24"/>
                <w:szCs w:val="24"/>
                <w:highlight w:val="none"/>
                <w:lang w:val="en-US" w:eastAsia="zh-CN" w:bidi="ar-SA"/>
              </w:rPr>
            </w:pPr>
            <w:r>
              <w:rPr>
                <w:rFonts w:hint="eastAsia" w:ascii="楷体" w:hAnsi="楷体" w:eastAsia="楷体" w:cs="宋体"/>
                <w:spacing w:val="-2"/>
                <w:kern w:val="0"/>
                <w:sz w:val="24"/>
                <w:szCs w:val="24"/>
                <w:highlight w:val="none"/>
                <w:lang w:val="en-US" w:eastAsia="zh-CN" w:bidi="ar-SA"/>
              </w:rPr>
              <w:t>T份额：苏银理财恒源融达1号6月T/J22420</w:t>
            </w:r>
          </w:p>
          <w:p>
            <w:pPr>
              <w:keepNext w:val="0"/>
              <w:keepLines w:val="0"/>
              <w:pageBreakBefore w:val="0"/>
              <w:widowControl w:val="0"/>
              <w:kinsoku w:val="0"/>
              <w:wordWrap/>
              <w:overflowPunct w:val="0"/>
              <w:topLinePunct w:val="0"/>
              <w:autoSpaceDE/>
              <w:autoSpaceDN/>
              <w:bidi w:val="0"/>
              <w:adjustRightInd w:val="0"/>
              <w:snapToGrid/>
              <w:spacing w:before="0"/>
              <w:ind w:left="42" w:leftChars="20" w:right="42" w:rightChars="20"/>
              <w:jc w:val="both"/>
              <w:textAlignment w:val="auto"/>
              <w:rPr>
                <w:rFonts w:hint="default" w:ascii="楷体" w:hAnsi="楷体" w:eastAsia="楷体" w:cs="宋体"/>
                <w:spacing w:val="-2"/>
                <w:kern w:val="0"/>
                <w:sz w:val="24"/>
                <w:szCs w:val="24"/>
                <w:highlight w:val="none"/>
                <w:lang w:val="en-US" w:eastAsia="zh-CN" w:bidi="ar-SA"/>
              </w:rPr>
            </w:pPr>
            <w:r>
              <w:rPr>
                <w:rFonts w:hint="eastAsia" w:ascii="楷体" w:hAnsi="楷体" w:eastAsia="楷体" w:cs="宋体"/>
                <w:spacing w:val="-2"/>
                <w:kern w:val="0"/>
                <w:sz w:val="24"/>
                <w:szCs w:val="24"/>
                <w:highlight w:val="none"/>
                <w:lang w:val="en-US" w:eastAsia="zh-CN" w:bidi="ar-SA"/>
              </w:rPr>
              <w:t>晋升财富臻享份额：苏银理财恒源融达1号6月（晋升财富臻享）/J22421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99" w:type="pct"/>
            <w:noWrap w:val="0"/>
            <w:tcMar>
              <w:top w:w="0" w:type="dxa"/>
              <w:left w:w="28" w:type="dxa"/>
              <w:bottom w:w="0" w:type="dxa"/>
              <w:right w:w="28" w:type="dxa"/>
            </w:tcMar>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left"/>
              <w:textAlignment w:val="auto"/>
              <w:outlineLvl w:val="9"/>
              <w:rPr>
                <w:rFonts w:hint="eastAsia" w:ascii="楷体" w:hAnsi="楷体" w:eastAsia="楷体" w:cs="Times New Roman"/>
                <w:b/>
                <w:bCs/>
                <w:sz w:val="24"/>
                <w:szCs w:val="24"/>
                <w:highlight w:val="yellow"/>
                <w:vertAlign w:val="baseline"/>
              </w:rPr>
            </w:pPr>
            <w:r>
              <w:rPr>
                <w:rFonts w:hint="eastAsia" w:ascii="楷体" w:hAnsi="楷体" w:eastAsia="楷体" w:cs="Times New Roman"/>
                <w:b/>
                <w:bCs/>
                <w:sz w:val="24"/>
                <w:szCs w:val="24"/>
                <w:highlight w:val="none"/>
                <w:vertAlign w:val="baseline"/>
                <w:lang w:val="en-US" w:eastAsia="zh-CN"/>
              </w:rPr>
              <w:t>销售对象</w:t>
            </w:r>
          </w:p>
        </w:tc>
        <w:tc>
          <w:tcPr>
            <w:tcW w:w="4100" w:type="pct"/>
            <w:noWrap w:val="0"/>
            <w:tcMar>
              <w:top w:w="0" w:type="dxa"/>
              <w:left w:w="28" w:type="dxa"/>
              <w:bottom w:w="0" w:type="dxa"/>
              <w:right w:w="28" w:type="dxa"/>
            </w:tcMar>
            <w:vAlign w:val="center"/>
          </w:tcPr>
          <w:p>
            <w:pPr>
              <w:keepNext w:val="0"/>
              <w:keepLines w:val="0"/>
              <w:pageBreakBefore w:val="0"/>
              <w:widowControl w:val="0"/>
              <w:kinsoku w:val="0"/>
              <w:wordWrap/>
              <w:overflowPunct w:val="0"/>
              <w:topLinePunct w:val="0"/>
              <w:autoSpaceDE/>
              <w:autoSpaceDN/>
              <w:bidi w:val="0"/>
              <w:adjustRightInd w:val="0"/>
              <w:snapToGrid/>
              <w:spacing w:before="0"/>
              <w:ind w:left="42" w:leftChars="20" w:right="42" w:rightChars="20"/>
              <w:jc w:val="both"/>
              <w:textAlignment w:val="auto"/>
              <w:rPr>
                <w:rFonts w:hint="eastAsia" w:ascii="楷体" w:hAnsi="楷体" w:eastAsia="楷体" w:cs="Times New Roman"/>
                <w:b/>
                <w:bCs/>
                <w:kern w:val="0"/>
                <w:sz w:val="24"/>
                <w:szCs w:val="24"/>
                <w:highlight w:val="yellow"/>
                <w:vertAlign w:val="baseline"/>
                <w:lang w:val="en-US" w:eastAsia="zh-CN" w:bidi="ar-SA"/>
              </w:rPr>
            </w:pPr>
            <w:r>
              <w:rPr>
                <w:rFonts w:hint="eastAsia" w:ascii="楷体" w:hAnsi="楷体" w:eastAsia="楷体" w:cs="宋体"/>
                <w:spacing w:val="-2"/>
                <w:kern w:val="0"/>
                <w:sz w:val="24"/>
                <w:szCs w:val="24"/>
                <w:highlight w:val="none"/>
                <w:lang w:val="en-US" w:eastAsia="zh-CN" w:bidi="ar-SA"/>
              </w:rPr>
              <w:t>个人和机构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99" w:type="pct"/>
            <w:noWrap w:val="0"/>
            <w:tcMar>
              <w:top w:w="0" w:type="dxa"/>
              <w:left w:w="28" w:type="dxa"/>
              <w:bottom w:w="0" w:type="dxa"/>
              <w:right w:w="28" w:type="dxa"/>
            </w:tcMar>
            <w:vAlign w:val="center"/>
          </w:tcPr>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outlineLvl w:val="9"/>
              <w:rPr>
                <w:rFonts w:hint="eastAsia" w:ascii="楷体" w:hAnsi="楷体" w:eastAsia="楷体" w:cs="Times New Roman"/>
                <w:b/>
                <w:bCs/>
                <w:sz w:val="24"/>
                <w:szCs w:val="24"/>
                <w:vertAlign w:val="baseline"/>
              </w:rPr>
            </w:pPr>
            <w:r>
              <w:rPr>
                <w:rFonts w:hint="eastAsia" w:ascii="楷体" w:hAnsi="楷体" w:eastAsia="楷体" w:cs="Times New Roman"/>
                <w:b/>
                <w:bCs/>
                <w:sz w:val="24"/>
                <w:szCs w:val="24"/>
              </w:rPr>
              <w:t>购买起点/追加金额</w:t>
            </w:r>
          </w:p>
        </w:tc>
        <w:tc>
          <w:tcPr>
            <w:tcW w:w="4100" w:type="pct"/>
            <w:noWrap w:val="0"/>
            <w:tcMar>
              <w:top w:w="0" w:type="dxa"/>
              <w:left w:w="28" w:type="dxa"/>
              <w:bottom w:w="0" w:type="dxa"/>
              <w:right w:w="28" w:type="dxa"/>
            </w:tcMar>
            <w:vAlign w:val="center"/>
          </w:tcPr>
          <w:p>
            <w:pPr>
              <w:keepNext w:val="0"/>
              <w:keepLines w:val="0"/>
              <w:pageBreakBefore w:val="0"/>
              <w:widowControl w:val="0"/>
              <w:kinsoku w:val="0"/>
              <w:wordWrap/>
              <w:overflowPunct w:val="0"/>
              <w:topLinePunct w:val="0"/>
              <w:autoSpaceDE/>
              <w:autoSpaceDN/>
              <w:bidi w:val="0"/>
              <w:adjustRightInd w:val="0"/>
              <w:snapToGrid/>
              <w:spacing w:before="0"/>
              <w:ind w:left="42" w:leftChars="20" w:right="42" w:rightChars="20"/>
              <w:jc w:val="both"/>
              <w:textAlignment w:val="auto"/>
              <w:rPr>
                <w:rFonts w:hint="default" w:ascii="楷体" w:hAnsi="楷体" w:eastAsia="楷体" w:cs="宋体"/>
                <w:spacing w:val="-2"/>
                <w:kern w:val="0"/>
                <w:sz w:val="24"/>
                <w:szCs w:val="24"/>
                <w:highlight w:val="none"/>
                <w:lang w:val="en-US" w:eastAsia="zh-CN" w:bidi="ar-SA"/>
              </w:rPr>
            </w:pPr>
            <w:r>
              <w:rPr>
                <w:rFonts w:hint="eastAsia" w:ascii="楷体" w:hAnsi="楷体" w:eastAsia="楷体" w:cs="宋体"/>
                <w:spacing w:val="-2"/>
                <w:kern w:val="0"/>
                <w:sz w:val="24"/>
                <w:szCs w:val="24"/>
                <w:highlight w:val="none"/>
                <w:lang w:val="en-US" w:eastAsia="zh-CN" w:bidi="ar-SA"/>
              </w:rPr>
              <w:t>R</w:t>
            </w:r>
            <w:r>
              <w:rPr>
                <w:rFonts w:hint="default" w:ascii="楷体" w:hAnsi="楷体" w:eastAsia="楷体" w:cs="宋体"/>
                <w:spacing w:val="-2"/>
                <w:kern w:val="0"/>
                <w:sz w:val="24"/>
                <w:szCs w:val="24"/>
                <w:highlight w:val="none"/>
                <w:lang w:val="en-US" w:eastAsia="zh-CN" w:bidi="ar-SA"/>
              </w:rPr>
              <w:t>份额：1元/1元的整数倍</w:t>
            </w:r>
          </w:p>
          <w:p>
            <w:pPr>
              <w:keepNext w:val="0"/>
              <w:keepLines w:val="0"/>
              <w:pageBreakBefore w:val="0"/>
              <w:widowControl w:val="0"/>
              <w:kinsoku w:val="0"/>
              <w:wordWrap/>
              <w:overflowPunct w:val="0"/>
              <w:topLinePunct w:val="0"/>
              <w:autoSpaceDE/>
              <w:autoSpaceDN/>
              <w:bidi w:val="0"/>
              <w:adjustRightInd w:val="0"/>
              <w:snapToGrid/>
              <w:spacing w:before="0"/>
              <w:ind w:left="42" w:leftChars="20" w:right="42" w:rightChars="20"/>
              <w:jc w:val="both"/>
              <w:textAlignment w:val="auto"/>
              <w:rPr>
                <w:rFonts w:hint="default" w:ascii="楷体" w:hAnsi="楷体" w:eastAsia="楷体" w:cs="宋体"/>
                <w:spacing w:val="-2"/>
                <w:kern w:val="0"/>
                <w:sz w:val="24"/>
                <w:szCs w:val="24"/>
                <w:highlight w:val="none"/>
                <w:lang w:val="en-US" w:eastAsia="zh-CN" w:bidi="ar-SA"/>
              </w:rPr>
            </w:pPr>
            <w:r>
              <w:rPr>
                <w:rFonts w:hint="eastAsia" w:ascii="楷体" w:hAnsi="楷体" w:eastAsia="楷体" w:cs="宋体"/>
                <w:spacing w:val="-2"/>
                <w:kern w:val="0"/>
                <w:sz w:val="24"/>
                <w:szCs w:val="24"/>
                <w:highlight w:val="none"/>
                <w:lang w:val="en-US" w:eastAsia="zh-CN" w:bidi="ar-SA"/>
              </w:rPr>
              <w:t>T</w:t>
            </w:r>
            <w:r>
              <w:rPr>
                <w:rFonts w:hint="default" w:ascii="楷体" w:hAnsi="楷体" w:eastAsia="楷体" w:cs="宋体"/>
                <w:spacing w:val="-2"/>
                <w:kern w:val="0"/>
                <w:sz w:val="24"/>
                <w:szCs w:val="24"/>
                <w:highlight w:val="none"/>
                <w:lang w:val="en-US" w:eastAsia="zh-CN" w:bidi="ar-SA"/>
              </w:rPr>
              <w:t>份额：1元/1元的整数倍</w:t>
            </w:r>
          </w:p>
          <w:p>
            <w:pPr>
              <w:keepNext w:val="0"/>
              <w:keepLines w:val="0"/>
              <w:pageBreakBefore w:val="0"/>
              <w:widowControl w:val="0"/>
              <w:kinsoku w:val="0"/>
              <w:wordWrap/>
              <w:overflowPunct w:val="0"/>
              <w:topLinePunct w:val="0"/>
              <w:autoSpaceDE/>
              <w:autoSpaceDN/>
              <w:bidi w:val="0"/>
              <w:adjustRightInd w:val="0"/>
              <w:snapToGrid/>
              <w:spacing w:before="0"/>
              <w:ind w:left="42" w:leftChars="20" w:right="42" w:rightChars="20"/>
              <w:jc w:val="both"/>
              <w:textAlignment w:val="auto"/>
              <w:rPr>
                <w:rFonts w:hint="default" w:ascii="楷体" w:hAnsi="楷体" w:eastAsia="楷体" w:cs="宋体"/>
                <w:spacing w:val="-2"/>
                <w:kern w:val="0"/>
                <w:sz w:val="24"/>
                <w:szCs w:val="24"/>
                <w:highlight w:val="none"/>
                <w:lang w:val="en-US" w:eastAsia="zh-CN" w:bidi="ar-SA"/>
              </w:rPr>
            </w:pPr>
            <w:r>
              <w:rPr>
                <w:rFonts w:hint="default" w:ascii="楷体" w:hAnsi="楷体" w:eastAsia="楷体" w:cs="宋体"/>
                <w:spacing w:val="-2"/>
                <w:kern w:val="0"/>
                <w:sz w:val="24"/>
                <w:szCs w:val="24"/>
                <w:highlight w:val="none"/>
                <w:lang w:val="en-US" w:eastAsia="zh-CN" w:bidi="ar-SA"/>
              </w:rPr>
              <w:t>晋升财富臻享份额：1</w:t>
            </w:r>
            <w:r>
              <w:rPr>
                <w:rFonts w:hint="eastAsia" w:ascii="楷体" w:hAnsi="楷体" w:eastAsia="楷体" w:cs="宋体"/>
                <w:spacing w:val="-2"/>
                <w:kern w:val="0"/>
                <w:sz w:val="24"/>
                <w:szCs w:val="24"/>
                <w:highlight w:val="none"/>
                <w:lang w:val="en-US" w:eastAsia="zh-CN" w:bidi="ar-SA"/>
              </w:rPr>
              <w:t>0万</w:t>
            </w:r>
            <w:r>
              <w:rPr>
                <w:rFonts w:hint="default" w:ascii="楷体" w:hAnsi="楷体" w:eastAsia="楷体" w:cs="宋体"/>
                <w:spacing w:val="-2"/>
                <w:kern w:val="0"/>
                <w:sz w:val="24"/>
                <w:szCs w:val="24"/>
                <w:highlight w:val="none"/>
                <w:lang w:val="en-US" w:eastAsia="zh-CN" w:bidi="ar-SA"/>
              </w:rPr>
              <w:t>元/1元</w:t>
            </w:r>
            <w:r>
              <w:rPr>
                <w:rFonts w:hint="eastAsia" w:ascii="楷体" w:hAnsi="楷体" w:eastAsia="楷体" w:cs="宋体"/>
                <w:spacing w:val="-2"/>
                <w:kern w:val="0"/>
                <w:sz w:val="24"/>
                <w:szCs w:val="24"/>
                <w:highlight w:val="none"/>
                <w:lang w:val="en-US" w:eastAsia="zh-CN" w:bidi="ar-SA"/>
              </w:rPr>
              <w:t>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899" w:type="pct"/>
            <w:noWrap w:val="0"/>
            <w:tcMar>
              <w:top w:w="0" w:type="dxa"/>
              <w:left w:w="28" w:type="dxa"/>
              <w:bottom w:w="0" w:type="dxa"/>
              <w:right w:w="28" w:type="dxa"/>
            </w:tcMar>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left"/>
              <w:textAlignment w:val="auto"/>
              <w:outlineLvl w:val="9"/>
              <w:rPr>
                <w:rFonts w:hint="default" w:ascii="楷体" w:hAnsi="楷体" w:eastAsia="楷体" w:cs="Times New Roman"/>
                <w:b/>
                <w:bCs/>
                <w:sz w:val="24"/>
                <w:szCs w:val="24"/>
                <w:vertAlign w:val="baseline"/>
                <w:lang w:val="en-US" w:eastAsia="zh-CN"/>
              </w:rPr>
            </w:pPr>
            <w:r>
              <w:rPr>
                <w:rFonts w:hint="eastAsia" w:ascii="楷体" w:hAnsi="楷体" w:eastAsia="楷体" w:cs="Times New Roman"/>
                <w:b/>
                <w:bCs/>
                <w:sz w:val="24"/>
                <w:szCs w:val="24"/>
                <w:vertAlign w:val="baseline"/>
                <w:lang w:val="en-US" w:eastAsia="zh-CN"/>
              </w:rPr>
              <w:t>业绩比较基准（年化）</w:t>
            </w:r>
          </w:p>
        </w:tc>
        <w:tc>
          <w:tcPr>
            <w:tcW w:w="4100" w:type="pct"/>
            <w:noWrap w:val="0"/>
            <w:tcMar>
              <w:top w:w="0" w:type="dxa"/>
              <w:left w:w="28" w:type="dxa"/>
              <w:bottom w:w="0" w:type="dxa"/>
              <w:right w:w="28" w:type="dxa"/>
            </w:tcMar>
            <w:vAlign w:val="center"/>
          </w:tcPr>
          <w:p>
            <w:pPr>
              <w:keepNext w:val="0"/>
              <w:keepLines w:val="0"/>
              <w:pageBreakBefore w:val="0"/>
              <w:widowControl w:val="0"/>
              <w:wordWrap/>
              <w:topLinePunct w:val="0"/>
              <w:autoSpaceDE/>
              <w:autoSpaceDN/>
              <w:bidi w:val="0"/>
              <w:snapToGrid/>
              <w:ind w:left="42" w:leftChars="20" w:right="42" w:rightChars="20"/>
              <w:jc w:val="both"/>
              <w:textAlignment w:val="auto"/>
              <w:rPr>
                <w:rFonts w:hint="eastAsia" w:ascii="楷体" w:hAnsi="楷体" w:eastAsia="楷体" w:cs="宋体"/>
                <w:spacing w:val="-2"/>
                <w:sz w:val="24"/>
                <w:szCs w:val="24"/>
                <w:lang w:val="en-US" w:eastAsia="zh-CN"/>
              </w:rPr>
            </w:pPr>
            <w:r>
              <w:rPr>
                <w:rFonts w:hint="eastAsia" w:ascii="楷体" w:hAnsi="楷体" w:eastAsia="楷体" w:cs="宋体"/>
                <w:spacing w:val="-2"/>
                <w:sz w:val="24"/>
                <w:szCs w:val="24"/>
                <w:lang w:val="en-US" w:eastAsia="zh-CN"/>
              </w:rPr>
              <w:t>R份额：2.35%-3.15%</w:t>
            </w:r>
          </w:p>
          <w:p>
            <w:pPr>
              <w:keepNext w:val="0"/>
              <w:keepLines w:val="0"/>
              <w:pageBreakBefore w:val="0"/>
              <w:widowControl w:val="0"/>
              <w:wordWrap/>
              <w:topLinePunct w:val="0"/>
              <w:autoSpaceDE/>
              <w:autoSpaceDN/>
              <w:bidi w:val="0"/>
              <w:snapToGrid/>
              <w:ind w:left="42" w:leftChars="20" w:right="42" w:rightChars="20"/>
              <w:jc w:val="both"/>
              <w:textAlignment w:val="auto"/>
              <w:rPr>
                <w:rFonts w:hint="eastAsia" w:ascii="楷体" w:hAnsi="楷体" w:eastAsia="楷体" w:cs="宋体"/>
                <w:spacing w:val="-2"/>
                <w:sz w:val="24"/>
                <w:szCs w:val="24"/>
                <w:lang w:val="en-US" w:eastAsia="zh-CN"/>
              </w:rPr>
            </w:pPr>
            <w:r>
              <w:rPr>
                <w:rFonts w:hint="eastAsia" w:ascii="楷体" w:hAnsi="楷体" w:eastAsia="楷体" w:cs="宋体"/>
                <w:spacing w:val="-2"/>
                <w:sz w:val="24"/>
                <w:szCs w:val="24"/>
                <w:lang w:val="en-US" w:eastAsia="zh-CN"/>
              </w:rPr>
              <w:t>T份额：2.30%-3.10%</w:t>
            </w:r>
          </w:p>
          <w:p>
            <w:pPr>
              <w:keepNext w:val="0"/>
              <w:keepLines w:val="0"/>
              <w:pageBreakBefore w:val="0"/>
              <w:widowControl w:val="0"/>
              <w:wordWrap/>
              <w:topLinePunct w:val="0"/>
              <w:autoSpaceDE/>
              <w:autoSpaceDN/>
              <w:bidi w:val="0"/>
              <w:snapToGrid/>
              <w:ind w:left="42" w:leftChars="20" w:right="42" w:rightChars="20"/>
              <w:jc w:val="both"/>
              <w:textAlignment w:val="auto"/>
              <w:rPr>
                <w:rFonts w:hint="default" w:ascii="楷体" w:hAnsi="楷体" w:eastAsia="楷体" w:cs="宋体"/>
                <w:spacing w:val="-2"/>
                <w:sz w:val="24"/>
                <w:szCs w:val="24"/>
                <w:lang w:val="en-US" w:eastAsia="zh-CN"/>
              </w:rPr>
            </w:pPr>
            <w:r>
              <w:rPr>
                <w:rFonts w:hint="eastAsia" w:ascii="楷体" w:hAnsi="楷体" w:eastAsia="楷体" w:cs="宋体"/>
                <w:spacing w:val="-2"/>
                <w:sz w:val="24"/>
                <w:szCs w:val="24"/>
                <w:lang w:val="en-US" w:eastAsia="zh-CN"/>
              </w:rPr>
              <w:t>晋升财富臻享份额：2</w:t>
            </w:r>
            <w:bookmarkStart w:id="0" w:name="_GoBack"/>
            <w:bookmarkEnd w:id="0"/>
            <w:r>
              <w:rPr>
                <w:rFonts w:hint="eastAsia" w:ascii="楷体" w:hAnsi="楷体" w:eastAsia="楷体" w:cs="宋体"/>
                <w:spacing w:val="-2"/>
                <w:sz w:val="24"/>
                <w:szCs w:val="24"/>
                <w:lang w:val="en-US" w:eastAsia="zh-CN"/>
              </w:rPr>
              <w:t>.30%-3.10%</w:t>
            </w:r>
          </w:p>
          <w:p>
            <w:pPr>
              <w:keepNext w:val="0"/>
              <w:keepLines w:val="0"/>
              <w:pageBreakBefore w:val="0"/>
              <w:widowControl w:val="0"/>
              <w:wordWrap/>
              <w:topLinePunct w:val="0"/>
              <w:autoSpaceDE/>
              <w:autoSpaceDN/>
              <w:bidi w:val="0"/>
              <w:snapToGrid/>
              <w:ind w:left="42" w:leftChars="20" w:right="42" w:rightChars="20"/>
              <w:jc w:val="both"/>
              <w:textAlignment w:val="auto"/>
              <w:rPr>
                <w:rFonts w:hint="eastAsia" w:ascii="楷体" w:hAnsi="楷体" w:eastAsia="楷体" w:cs="Times New Roman"/>
                <w:kern w:val="0"/>
                <w:sz w:val="24"/>
                <w:szCs w:val="24"/>
                <w:lang w:val="en-US" w:eastAsia="zh-CN" w:bidi="ar-SA"/>
              </w:rPr>
            </w:pPr>
            <w:r>
              <w:rPr>
                <w:rFonts w:hint="eastAsia" w:ascii="楷体" w:hAnsi="楷体" w:eastAsia="楷体" w:cs="宋体"/>
                <w:spacing w:val="-2"/>
                <w:sz w:val="24"/>
                <w:szCs w:val="24"/>
                <w:lang w:eastAsia="zh-CN"/>
              </w:rPr>
              <w:t>业绩比较基准是管理人基于产品性质、投资策略、过往经验等因素对产品设定的投资目标。业绩比较基准不是预期收益率，不代表产品的未来表现和实际收益，不构成对产品收益的承诺。投资者的实际收益由产品净值表现决定。产品存续期内管理人有权根据市场情况调整业绩比较基准，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899" w:type="pct"/>
            <w:noWrap w:val="0"/>
            <w:tcMar>
              <w:top w:w="0" w:type="dxa"/>
              <w:left w:w="28" w:type="dxa"/>
              <w:bottom w:w="0" w:type="dxa"/>
              <w:right w:w="28" w:type="dxa"/>
            </w:tcMar>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left"/>
              <w:textAlignment w:val="auto"/>
              <w:outlineLvl w:val="9"/>
              <w:rPr>
                <w:rFonts w:hint="default" w:ascii="楷体" w:hAnsi="楷体" w:eastAsia="楷体" w:cs="Times New Roman"/>
                <w:b/>
                <w:bCs/>
                <w:sz w:val="24"/>
                <w:szCs w:val="24"/>
                <w:vertAlign w:val="baseline"/>
                <w:lang w:val="en-US" w:eastAsia="zh-CN"/>
              </w:rPr>
            </w:pPr>
            <w:r>
              <w:rPr>
                <w:rFonts w:hint="eastAsia" w:ascii="楷体" w:hAnsi="楷体" w:eastAsia="楷体" w:cs="Times New Roman"/>
                <w:b/>
                <w:bCs/>
                <w:sz w:val="24"/>
                <w:szCs w:val="24"/>
                <w:vertAlign w:val="baseline"/>
                <w:lang w:val="en-US" w:eastAsia="zh-CN"/>
              </w:rPr>
              <w:t>产品费用</w:t>
            </w:r>
          </w:p>
        </w:tc>
        <w:tc>
          <w:tcPr>
            <w:tcW w:w="4100" w:type="pct"/>
            <w:noWrap w:val="0"/>
            <w:tcMar>
              <w:top w:w="0" w:type="dxa"/>
              <w:left w:w="28" w:type="dxa"/>
              <w:bottom w:w="0" w:type="dxa"/>
              <w:right w:w="28" w:type="dxa"/>
            </w:tcMar>
            <w:vAlign w:val="center"/>
          </w:tcPr>
          <w:p>
            <w:pPr>
              <w:keepNext w:val="0"/>
              <w:keepLines w:val="0"/>
              <w:pageBreakBefore w:val="0"/>
              <w:widowControl w:val="0"/>
              <w:wordWrap/>
              <w:topLinePunct w:val="0"/>
              <w:autoSpaceDE/>
              <w:autoSpaceDN/>
              <w:bidi w:val="0"/>
              <w:snapToGrid/>
              <w:ind w:left="42" w:leftChars="20" w:right="42" w:rightChars="20"/>
              <w:jc w:val="both"/>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1.托管费率（年化）：0.02%。</w:t>
            </w:r>
          </w:p>
          <w:p>
            <w:pPr>
              <w:keepNext w:val="0"/>
              <w:keepLines w:val="0"/>
              <w:pageBreakBefore w:val="0"/>
              <w:widowControl w:val="0"/>
              <w:wordWrap/>
              <w:topLinePunct w:val="0"/>
              <w:autoSpaceDE/>
              <w:autoSpaceDN/>
              <w:bidi w:val="0"/>
              <w:snapToGrid/>
              <w:ind w:left="42" w:leftChars="20" w:right="42" w:rightChars="20"/>
              <w:jc w:val="both"/>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2.销售服务费率（年化）：0.20%。</w:t>
            </w:r>
          </w:p>
          <w:p>
            <w:pPr>
              <w:keepNext w:val="0"/>
              <w:keepLines w:val="0"/>
              <w:pageBreakBefore w:val="0"/>
              <w:widowControl w:val="0"/>
              <w:wordWrap/>
              <w:topLinePunct w:val="0"/>
              <w:autoSpaceDE/>
              <w:autoSpaceDN/>
              <w:bidi w:val="0"/>
              <w:snapToGrid/>
              <w:ind w:left="42" w:leftChars="20" w:right="42" w:rightChars="20"/>
              <w:jc w:val="both"/>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3.投资管理费率（年化）：0.50%。</w:t>
            </w:r>
          </w:p>
          <w:p>
            <w:pPr>
              <w:keepNext w:val="0"/>
              <w:keepLines w:val="0"/>
              <w:pageBreakBefore w:val="0"/>
              <w:widowControl w:val="0"/>
              <w:wordWrap/>
              <w:topLinePunct w:val="0"/>
              <w:autoSpaceDE/>
              <w:autoSpaceDN/>
              <w:bidi w:val="0"/>
              <w:snapToGrid/>
              <w:ind w:left="42" w:leftChars="20" w:right="42" w:rightChars="20"/>
              <w:jc w:val="both"/>
              <w:textAlignment w:val="auto"/>
              <w:rPr>
                <w:rFonts w:hint="eastAsia"/>
                <w:sz w:val="24"/>
                <w:szCs w:val="24"/>
                <w:lang w:val="en-US" w:eastAsia="zh-CN"/>
              </w:rPr>
            </w:pPr>
            <w:r>
              <w:rPr>
                <w:rFonts w:hint="eastAsia" w:ascii="楷体" w:hAnsi="楷体" w:eastAsia="楷体" w:cs="楷体"/>
                <w:sz w:val="24"/>
                <w:szCs w:val="24"/>
                <w:lang w:val="en-US" w:eastAsia="zh-CN"/>
              </w:rPr>
              <w:t>4.超额业绩报酬（如有）：管理人按投资周期收取超额业绩报酬，若各份额单一投资周期的产品实际投资收益在扣除托管费、销售服务费、投资管理费以及运作产品所必须缴纳的税费后超过各份额业绩比较基准下限，产品管理人将按照超出部分的50%收取超额业绩报酬。</w:t>
            </w:r>
          </w:p>
          <w:p>
            <w:pPr>
              <w:pStyle w:val="2"/>
              <w:keepNext w:val="0"/>
              <w:keepLines w:val="0"/>
              <w:pageBreakBefore w:val="0"/>
              <w:widowControl w:val="0"/>
              <w:wordWrap/>
              <w:topLinePunct w:val="0"/>
              <w:autoSpaceDE/>
              <w:autoSpaceDN/>
              <w:bidi w:val="0"/>
              <w:snapToGrid/>
              <w:spacing w:before="0"/>
              <w:ind w:left="42" w:leftChars="20" w:right="42" w:rightChars="20"/>
              <w:jc w:val="both"/>
              <w:textAlignment w:val="auto"/>
              <w:rPr>
                <w:rFonts w:hint="eastAsia"/>
                <w:sz w:val="24"/>
                <w:szCs w:val="24"/>
                <w:lang w:val="en-US" w:eastAsia="zh-CN"/>
              </w:rPr>
            </w:pPr>
            <w:r>
              <w:rPr>
                <w:rFonts w:hint="eastAsia" w:ascii="楷体" w:hAnsi="楷体" w:eastAsia="楷体" w:cs="楷体"/>
                <w:sz w:val="24"/>
                <w:szCs w:val="24"/>
                <w:lang w:val="en-US" w:eastAsia="zh-CN"/>
              </w:rPr>
              <w:t>产品存续期内管理人有权根据产品运行情况制定费率优惠措施，优惠后实际执行的费率以管理人公告为准。</w:t>
            </w:r>
          </w:p>
        </w:tc>
      </w:tr>
    </w:tbl>
    <w:p>
      <w:pPr>
        <w:pStyle w:val="11"/>
        <w:keepNext w:val="0"/>
        <w:keepLines w:val="0"/>
        <w:pageBreakBefore w:val="0"/>
        <w:wordWrap/>
        <w:topLinePunct w:val="0"/>
        <w:autoSpaceDE/>
        <w:autoSpaceDN/>
        <w:bidi w:val="0"/>
        <w:snapToGrid/>
        <w:spacing w:before="0" w:beforeAutospacing="0" w:after="0" w:afterAutospacing="0" w:line="480" w:lineRule="auto"/>
        <w:ind w:firstLine="560" w:firstLineChars="200"/>
        <w:textAlignment w:val="auto"/>
        <w:rPr>
          <w:rFonts w:hint="eastAsia" w:ascii="楷体" w:hAnsi="楷体" w:eastAsia="楷体" w:cs="Times New Roman"/>
          <w:sz w:val="28"/>
          <w:szCs w:val="28"/>
          <w:lang w:val="en-US" w:eastAsia="zh-CN"/>
        </w:rPr>
      </w:pPr>
      <w:r>
        <w:rPr>
          <w:rFonts w:hint="eastAsia" w:ascii="楷体" w:hAnsi="楷体" w:eastAsia="楷体" w:cs="Times New Roman"/>
          <w:sz w:val="28"/>
          <w:szCs w:val="28"/>
          <w:lang w:val="en-US" w:eastAsia="zh-CN"/>
        </w:rPr>
        <w:t>份额其他产品要素以理财产品说明书约定为准。后续如有调整，以产品管理人公告为准。</w:t>
      </w:r>
    </w:p>
    <w:p>
      <w:pPr>
        <w:pStyle w:val="11"/>
        <w:keepNext w:val="0"/>
        <w:keepLines w:val="0"/>
        <w:pageBreakBefore w:val="0"/>
        <w:wordWrap/>
        <w:topLinePunct w:val="0"/>
        <w:autoSpaceDE/>
        <w:autoSpaceDN/>
        <w:bidi w:val="0"/>
        <w:snapToGrid/>
        <w:spacing w:before="0" w:beforeAutospacing="0" w:after="0" w:afterAutospacing="0" w:line="480" w:lineRule="auto"/>
        <w:ind w:firstLine="560" w:firstLineChars="200"/>
        <w:textAlignment w:val="auto"/>
        <w:rPr>
          <w:rFonts w:hint="eastAsia" w:ascii="楷体" w:hAnsi="楷体" w:eastAsia="楷体" w:cs="Times New Roman"/>
          <w:sz w:val="28"/>
          <w:szCs w:val="28"/>
        </w:rPr>
      </w:pPr>
      <w:r>
        <w:rPr>
          <w:rFonts w:hint="eastAsia" w:ascii="楷体" w:hAnsi="楷体" w:eastAsia="楷体" w:cs="Times New Roman"/>
          <w:sz w:val="28"/>
          <w:szCs w:val="28"/>
        </w:rPr>
        <w:t>特此</w:t>
      </w:r>
      <w:r>
        <w:rPr>
          <w:rFonts w:hint="eastAsia" w:ascii="楷体" w:hAnsi="楷体" w:eastAsia="楷体" w:cs="Times New Roman"/>
          <w:sz w:val="28"/>
          <w:szCs w:val="28"/>
          <w:lang w:val="en-US" w:eastAsia="zh-CN"/>
        </w:rPr>
        <w:t>公</w:t>
      </w:r>
      <w:r>
        <w:rPr>
          <w:rFonts w:hint="eastAsia" w:ascii="楷体" w:hAnsi="楷体" w:eastAsia="楷体" w:cs="Times New Roman"/>
          <w:sz w:val="28"/>
          <w:szCs w:val="28"/>
        </w:rPr>
        <w:t>告。</w:t>
      </w:r>
    </w:p>
    <w:p>
      <w:pPr>
        <w:keepNext w:val="0"/>
        <w:keepLines w:val="0"/>
        <w:pageBreakBefore w:val="0"/>
        <w:wordWrap/>
        <w:topLinePunct w:val="0"/>
        <w:autoSpaceDE/>
        <w:autoSpaceDN/>
        <w:bidi w:val="0"/>
        <w:snapToGrid/>
        <w:spacing w:line="520" w:lineRule="exact"/>
        <w:jc w:val="right"/>
        <w:textAlignment w:val="auto"/>
        <w:rPr>
          <w:rFonts w:hint="eastAsia" w:ascii="楷体" w:hAnsi="楷体" w:eastAsia="楷体"/>
          <w:kern w:val="0"/>
          <w:sz w:val="28"/>
          <w:szCs w:val="28"/>
        </w:rPr>
      </w:pPr>
      <w:r>
        <w:rPr>
          <w:rFonts w:hint="eastAsia" w:ascii="楷体" w:hAnsi="楷体" w:eastAsia="楷体"/>
          <w:kern w:val="0"/>
          <w:sz w:val="28"/>
          <w:szCs w:val="28"/>
        </w:rPr>
        <w:t>苏银理财有限责任公司</w:t>
      </w:r>
    </w:p>
    <w:p>
      <w:pPr>
        <w:keepNext w:val="0"/>
        <w:keepLines w:val="0"/>
        <w:pageBreakBefore w:val="0"/>
        <w:wordWrap/>
        <w:topLinePunct w:val="0"/>
        <w:autoSpaceDE/>
        <w:autoSpaceDN/>
        <w:bidi w:val="0"/>
        <w:snapToGrid/>
        <w:spacing w:line="520" w:lineRule="exact"/>
        <w:jc w:val="right"/>
        <w:textAlignment w:val="auto"/>
        <w:rPr>
          <w:rFonts w:hint="eastAsia" w:ascii="楷体" w:hAnsi="楷体" w:eastAsia="楷体"/>
          <w:kern w:val="0"/>
          <w:sz w:val="24"/>
          <w:szCs w:val="24"/>
        </w:rPr>
      </w:pPr>
      <w:r>
        <w:rPr>
          <w:rFonts w:hint="eastAsia" w:ascii="楷体" w:hAnsi="楷体" w:eastAsia="楷体"/>
          <w:kern w:val="0"/>
          <w:sz w:val="28"/>
          <w:szCs w:val="28"/>
          <w:lang w:eastAsia="zh-CN"/>
        </w:rPr>
        <w:t>2026年6月</w:t>
      </w:r>
      <w:r>
        <w:rPr>
          <w:rFonts w:hint="eastAsia" w:ascii="楷体" w:hAnsi="楷体" w:eastAsia="楷体"/>
          <w:kern w:val="0"/>
          <w:sz w:val="28"/>
          <w:szCs w:val="28"/>
          <w:lang w:val="en-US" w:eastAsia="zh-CN"/>
        </w:rPr>
        <w:t>16</w:t>
      </w:r>
      <w:r>
        <w:rPr>
          <w:rFonts w:hint="eastAsia" w:ascii="楷体" w:hAnsi="楷体" w:eastAsia="楷体"/>
          <w:kern w:val="0"/>
          <w:sz w:val="28"/>
          <w:szCs w:val="28"/>
          <w:lang w:eastAsia="zh-CN"/>
        </w:rPr>
        <w:t>日</w:t>
      </w:r>
    </w:p>
    <w:p>
      <w:pPr>
        <w:keepNext w:val="0"/>
        <w:keepLines w:val="0"/>
        <w:pageBreakBefore w:val="0"/>
        <w:wordWrap/>
        <w:topLinePunct w:val="0"/>
        <w:autoSpaceDE/>
        <w:autoSpaceDN/>
        <w:bidi w:val="0"/>
        <w:snapToGrid/>
        <w:spacing w:line="520" w:lineRule="exact"/>
        <w:textAlignment w:val="auto"/>
        <w:rPr>
          <w:rFonts w:hint="eastAsia" w:ascii="楷体" w:hAnsi="楷体" w:eastAsia="楷体" w:cs="楷体"/>
        </w:rPr>
      </w:pPr>
    </w:p>
    <w:p>
      <w:pPr>
        <w:keepNext w:val="0"/>
        <w:keepLines w:val="0"/>
        <w:pageBreakBefore w:val="0"/>
        <w:wordWrap/>
        <w:topLinePunct w:val="0"/>
        <w:autoSpaceDE/>
        <w:autoSpaceDN/>
        <w:bidi w:val="0"/>
        <w:snapToGrid/>
        <w:spacing w:line="520" w:lineRule="exact"/>
        <w:textAlignment w:val="auto"/>
      </w:pPr>
      <w:r>
        <w:rPr>
          <w:rFonts w:hint="eastAsia" w:ascii="楷体" w:hAnsi="楷体" w:eastAsia="楷体" w:cs="楷体"/>
        </w:rPr>
        <w:t>备注：本次披露内容解释权归苏银理财所有，不构成任何形式的法律要约或承诺。</w:t>
      </w:r>
    </w:p>
    <w:sectPr>
      <w:headerReference r:id="rId5" w:type="first"/>
      <w:headerReference r:id="rId3" w:type="default"/>
      <w:footerReference r:id="rId6" w:type="default"/>
      <w:headerReference r:id="rId4" w:type="even"/>
      <w:pgSz w:w="11906" w:h="16838"/>
      <w:pgMar w:top="1440" w:right="1800"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before="0" w:line="320" w:lineRule="exact"/>
      <w:ind w:left="20"/>
      <w:jc w:val="both"/>
      <w:rPr>
        <w:rFonts w:ascii="楷体" w:hAnsi="楷体" w:eastAsia="楷体" w:cs="黑体"/>
        <w:b/>
        <w:spacing w:val="-2"/>
        <w:sz w:val="24"/>
        <w:szCs w:val="24"/>
      </w:rPr>
    </w:pPr>
    <w:r>
      <w:rPr>
        <w:rFonts w:ascii="楷体" w:hAnsi="楷体" w:eastAsia="楷体"/>
        <w:b/>
      </w:rPr>
      <w:drawing>
        <wp:anchor distT="0" distB="0" distL="114300" distR="114300" simplePos="0" relativeHeight="251661312" behindDoc="1" locked="0" layoutInCell="0" allowOverlap="1">
          <wp:simplePos x="0" y="0"/>
          <wp:positionH relativeFrom="margin">
            <wp:posOffset>-4560570</wp:posOffset>
          </wp:positionH>
          <wp:positionV relativeFrom="margin">
            <wp:posOffset>-1061720</wp:posOffset>
          </wp:positionV>
          <wp:extent cx="14444345" cy="10958195"/>
          <wp:effectExtent l="0" t="0" r="14605" b="14605"/>
          <wp:wrapNone/>
          <wp:docPr id="3" name="WordPictureWatermark367128483" descr="苏银理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67128483" descr="苏银理财"/>
                  <pic:cNvPicPr>
                    <a:picLocks noChangeAspect="1"/>
                  </pic:cNvPicPr>
                </pic:nvPicPr>
                <pic:blipFill>
                  <a:blip r:embed="rId1">
                    <a:lum bright="70001" contrast="-70000"/>
                  </a:blip>
                  <a:stretch>
                    <a:fillRect/>
                  </a:stretch>
                </pic:blipFill>
                <pic:spPr>
                  <a:xfrm>
                    <a:off x="0" y="0"/>
                    <a:ext cx="14444345" cy="10958195"/>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3923665</wp:posOffset>
          </wp:positionH>
          <wp:positionV relativeFrom="paragraph">
            <wp:posOffset>-95250</wp:posOffset>
          </wp:positionV>
          <wp:extent cx="1325245" cy="424815"/>
          <wp:effectExtent l="0" t="0" r="8255" b="13335"/>
          <wp:wrapSquare wrapText="bothSides"/>
          <wp:docPr id="4" name="图片 1" descr="说明: 说明: C:\Users\JSYH\Desktop\苏银理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说明: 说明: C:\Users\JSYH\Desktop\苏银理财.png"/>
                  <pic:cNvPicPr>
                    <a:picLocks noChangeAspect="1"/>
                  </pic:cNvPicPr>
                </pic:nvPicPr>
                <pic:blipFill>
                  <a:blip r:embed="rId2"/>
                  <a:stretch>
                    <a:fillRect/>
                  </a:stretch>
                </pic:blipFill>
                <pic:spPr>
                  <a:xfrm>
                    <a:off x="0" y="0"/>
                    <a:ext cx="1325245" cy="424815"/>
                  </a:xfrm>
                  <a:prstGeom prst="rect">
                    <a:avLst/>
                  </a:prstGeom>
                  <a:noFill/>
                  <a:ln>
                    <a:noFill/>
                  </a:ln>
                </pic:spPr>
              </pic:pic>
            </a:graphicData>
          </a:graphic>
        </wp:anchor>
      </w:drawing>
    </w:r>
    <w:r>
      <w:rPr>
        <w:rFonts w:hint="eastAsia" w:ascii="楷体" w:hAnsi="楷体" w:eastAsia="楷体" w:cs="黑体"/>
        <w:b/>
        <w:bCs/>
        <w:spacing w:val="-2"/>
        <w:sz w:val="24"/>
        <w:szCs w:val="24"/>
      </w:rPr>
      <w:t>理财非存款、产品有风险、投资须谨慎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14444345" cy="10958195"/>
          <wp:effectExtent l="0" t="0" r="14605" b="14605"/>
          <wp:wrapNone/>
          <wp:docPr id="2" name="WordPictureWatermark367128482" descr="苏银理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67128482" descr="苏银理财"/>
                  <pic:cNvPicPr>
                    <a:picLocks noChangeAspect="1"/>
                  </pic:cNvPicPr>
                </pic:nvPicPr>
                <pic:blipFill>
                  <a:blip r:embed="rId1">
                    <a:lum bright="70001" contrast="-70000"/>
                  </a:blip>
                  <a:stretch>
                    <a:fillRect/>
                  </a:stretch>
                </pic:blipFill>
                <pic:spPr>
                  <a:xfrm>
                    <a:off x="0" y="0"/>
                    <a:ext cx="14444345" cy="1095819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14444345" cy="10958195"/>
          <wp:effectExtent l="0" t="0" r="14605" b="14605"/>
          <wp:wrapNone/>
          <wp:docPr id="1" name="WordPictureWatermark367128481" descr="苏银理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67128481" descr="苏银理财"/>
                  <pic:cNvPicPr>
                    <a:picLocks noChangeAspect="1"/>
                  </pic:cNvPicPr>
                </pic:nvPicPr>
                <pic:blipFill>
                  <a:blip r:embed="rId1">
                    <a:lum bright="70001" contrast="-70000"/>
                  </a:blip>
                  <a:stretch>
                    <a:fillRect/>
                  </a:stretch>
                </pic:blipFill>
                <pic:spPr>
                  <a:xfrm>
                    <a:off x="0" y="0"/>
                    <a:ext cx="14444345" cy="1095819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3F7"/>
    <w:rsid w:val="00001531"/>
    <w:rsid w:val="0000191C"/>
    <w:rsid w:val="00001E2F"/>
    <w:rsid w:val="00002389"/>
    <w:rsid w:val="00003606"/>
    <w:rsid w:val="000048B0"/>
    <w:rsid w:val="00005B01"/>
    <w:rsid w:val="000101E4"/>
    <w:rsid w:val="0001103A"/>
    <w:rsid w:val="000131EF"/>
    <w:rsid w:val="00013628"/>
    <w:rsid w:val="00014334"/>
    <w:rsid w:val="000158A7"/>
    <w:rsid w:val="00015A92"/>
    <w:rsid w:val="00015D58"/>
    <w:rsid w:val="00016232"/>
    <w:rsid w:val="0002052D"/>
    <w:rsid w:val="00020A6F"/>
    <w:rsid w:val="00021007"/>
    <w:rsid w:val="00023BA8"/>
    <w:rsid w:val="000247F9"/>
    <w:rsid w:val="00024C7F"/>
    <w:rsid w:val="000263ED"/>
    <w:rsid w:val="00027E61"/>
    <w:rsid w:val="00027F48"/>
    <w:rsid w:val="0003072E"/>
    <w:rsid w:val="00030D69"/>
    <w:rsid w:val="00031806"/>
    <w:rsid w:val="00031F80"/>
    <w:rsid w:val="00034890"/>
    <w:rsid w:val="000375C2"/>
    <w:rsid w:val="000405B1"/>
    <w:rsid w:val="00043555"/>
    <w:rsid w:val="00043D5F"/>
    <w:rsid w:val="000469D0"/>
    <w:rsid w:val="00046AAA"/>
    <w:rsid w:val="0004768E"/>
    <w:rsid w:val="00050975"/>
    <w:rsid w:val="00051DB3"/>
    <w:rsid w:val="00054854"/>
    <w:rsid w:val="00057B16"/>
    <w:rsid w:val="00060571"/>
    <w:rsid w:val="00061D74"/>
    <w:rsid w:val="00062791"/>
    <w:rsid w:val="00064F2B"/>
    <w:rsid w:val="00066F56"/>
    <w:rsid w:val="000677EE"/>
    <w:rsid w:val="00070563"/>
    <w:rsid w:val="00071418"/>
    <w:rsid w:val="00071581"/>
    <w:rsid w:val="0007293A"/>
    <w:rsid w:val="00072D1F"/>
    <w:rsid w:val="0007366C"/>
    <w:rsid w:val="00074189"/>
    <w:rsid w:val="00074306"/>
    <w:rsid w:val="000757BB"/>
    <w:rsid w:val="00080C2C"/>
    <w:rsid w:val="00081AD6"/>
    <w:rsid w:val="000853F6"/>
    <w:rsid w:val="000867A8"/>
    <w:rsid w:val="00087036"/>
    <w:rsid w:val="00087EDB"/>
    <w:rsid w:val="00091208"/>
    <w:rsid w:val="00093C11"/>
    <w:rsid w:val="00094631"/>
    <w:rsid w:val="00096382"/>
    <w:rsid w:val="0009795C"/>
    <w:rsid w:val="00097F80"/>
    <w:rsid w:val="000A2D2D"/>
    <w:rsid w:val="000A2E68"/>
    <w:rsid w:val="000A45AB"/>
    <w:rsid w:val="000B0078"/>
    <w:rsid w:val="000B0690"/>
    <w:rsid w:val="000B0E85"/>
    <w:rsid w:val="000B382A"/>
    <w:rsid w:val="000B3B58"/>
    <w:rsid w:val="000B3EFD"/>
    <w:rsid w:val="000B659B"/>
    <w:rsid w:val="000B6E9F"/>
    <w:rsid w:val="000B7D78"/>
    <w:rsid w:val="000C3DB1"/>
    <w:rsid w:val="000C54ED"/>
    <w:rsid w:val="000C5C02"/>
    <w:rsid w:val="000C6143"/>
    <w:rsid w:val="000C7382"/>
    <w:rsid w:val="000D35BD"/>
    <w:rsid w:val="000D71CF"/>
    <w:rsid w:val="000D7225"/>
    <w:rsid w:val="000D722C"/>
    <w:rsid w:val="000E0485"/>
    <w:rsid w:val="000E1951"/>
    <w:rsid w:val="000E2E7D"/>
    <w:rsid w:val="000E34F3"/>
    <w:rsid w:val="000E4205"/>
    <w:rsid w:val="000E7579"/>
    <w:rsid w:val="000E7CF6"/>
    <w:rsid w:val="000F0433"/>
    <w:rsid w:val="000F1D3C"/>
    <w:rsid w:val="000F362A"/>
    <w:rsid w:val="000F3D5D"/>
    <w:rsid w:val="000F4243"/>
    <w:rsid w:val="000F4ABF"/>
    <w:rsid w:val="000F5B66"/>
    <w:rsid w:val="000F5FF6"/>
    <w:rsid w:val="000F65C5"/>
    <w:rsid w:val="000F7056"/>
    <w:rsid w:val="000F7D2C"/>
    <w:rsid w:val="00100F0C"/>
    <w:rsid w:val="001025A3"/>
    <w:rsid w:val="001036A0"/>
    <w:rsid w:val="0010457E"/>
    <w:rsid w:val="001065F5"/>
    <w:rsid w:val="00110417"/>
    <w:rsid w:val="00111E3E"/>
    <w:rsid w:val="001126F6"/>
    <w:rsid w:val="00112F03"/>
    <w:rsid w:val="00115E7F"/>
    <w:rsid w:val="0011696D"/>
    <w:rsid w:val="00121681"/>
    <w:rsid w:val="00122F58"/>
    <w:rsid w:val="0012352A"/>
    <w:rsid w:val="00123BCB"/>
    <w:rsid w:val="0012411A"/>
    <w:rsid w:val="001242DE"/>
    <w:rsid w:val="00124C00"/>
    <w:rsid w:val="00125B8C"/>
    <w:rsid w:val="0012647A"/>
    <w:rsid w:val="001303B2"/>
    <w:rsid w:val="00130EED"/>
    <w:rsid w:val="00130F7B"/>
    <w:rsid w:val="00131F1B"/>
    <w:rsid w:val="0013364F"/>
    <w:rsid w:val="00133AAF"/>
    <w:rsid w:val="00133B98"/>
    <w:rsid w:val="0013472F"/>
    <w:rsid w:val="00134733"/>
    <w:rsid w:val="001359ED"/>
    <w:rsid w:val="00137395"/>
    <w:rsid w:val="00140B25"/>
    <w:rsid w:val="001450DF"/>
    <w:rsid w:val="0014734D"/>
    <w:rsid w:val="00151CC7"/>
    <w:rsid w:val="00152B36"/>
    <w:rsid w:val="00153081"/>
    <w:rsid w:val="001530B2"/>
    <w:rsid w:val="001543E7"/>
    <w:rsid w:val="00155B77"/>
    <w:rsid w:val="00160569"/>
    <w:rsid w:val="00161E2F"/>
    <w:rsid w:val="001624A3"/>
    <w:rsid w:val="001624DA"/>
    <w:rsid w:val="00162BF5"/>
    <w:rsid w:val="00165E23"/>
    <w:rsid w:val="00166B3A"/>
    <w:rsid w:val="00170099"/>
    <w:rsid w:val="00170194"/>
    <w:rsid w:val="00170927"/>
    <w:rsid w:val="0017092A"/>
    <w:rsid w:val="00170A6E"/>
    <w:rsid w:val="00172B90"/>
    <w:rsid w:val="00173A2B"/>
    <w:rsid w:val="00173CE1"/>
    <w:rsid w:val="00174417"/>
    <w:rsid w:val="001749CF"/>
    <w:rsid w:val="00176B8E"/>
    <w:rsid w:val="001770F3"/>
    <w:rsid w:val="00177BCC"/>
    <w:rsid w:val="0018251A"/>
    <w:rsid w:val="001846FB"/>
    <w:rsid w:val="00194E69"/>
    <w:rsid w:val="00195FF0"/>
    <w:rsid w:val="00197DD9"/>
    <w:rsid w:val="001A05F5"/>
    <w:rsid w:val="001A1C12"/>
    <w:rsid w:val="001A57DB"/>
    <w:rsid w:val="001A586B"/>
    <w:rsid w:val="001A73F1"/>
    <w:rsid w:val="001B1D26"/>
    <w:rsid w:val="001B1E1E"/>
    <w:rsid w:val="001B2F76"/>
    <w:rsid w:val="001B2F82"/>
    <w:rsid w:val="001B396B"/>
    <w:rsid w:val="001B4B9C"/>
    <w:rsid w:val="001B72EB"/>
    <w:rsid w:val="001B7D0D"/>
    <w:rsid w:val="001C13E9"/>
    <w:rsid w:val="001C4148"/>
    <w:rsid w:val="001C78FF"/>
    <w:rsid w:val="001D0B29"/>
    <w:rsid w:val="001D1C27"/>
    <w:rsid w:val="001D2A8B"/>
    <w:rsid w:val="001D48EE"/>
    <w:rsid w:val="001D49AC"/>
    <w:rsid w:val="001D4BC9"/>
    <w:rsid w:val="001D4FE1"/>
    <w:rsid w:val="001D78FF"/>
    <w:rsid w:val="001E0062"/>
    <w:rsid w:val="001E0387"/>
    <w:rsid w:val="001E223F"/>
    <w:rsid w:val="001E4374"/>
    <w:rsid w:val="001E4A82"/>
    <w:rsid w:val="001E4C0D"/>
    <w:rsid w:val="001E4E95"/>
    <w:rsid w:val="001E623C"/>
    <w:rsid w:val="001E631F"/>
    <w:rsid w:val="001F0A69"/>
    <w:rsid w:val="001F1728"/>
    <w:rsid w:val="001F2658"/>
    <w:rsid w:val="001F3AD6"/>
    <w:rsid w:val="001F3CCB"/>
    <w:rsid w:val="001F63BD"/>
    <w:rsid w:val="001F6775"/>
    <w:rsid w:val="001F69BF"/>
    <w:rsid w:val="00200449"/>
    <w:rsid w:val="00200DF8"/>
    <w:rsid w:val="0020123C"/>
    <w:rsid w:val="0020196F"/>
    <w:rsid w:val="002024E9"/>
    <w:rsid w:val="0020639A"/>
    <w:rsid w:val="00206636"/>
    <w:rsid w:val="00210857"/>
    <w:rsid w:val="002119A2"/>
    <w:rsid w:val="00213632"/>
    <w:rsid w:val="00215F66"/>
    <w:rsid w:val="00216C87"/>
    <w:rsid w:val="0022162D"/>
    <w:rsid w:val="002222A4"/>
    <w:rsid w:val="0022633B"/>
    <w:rsid w:val="00226F9D"/>
    <w:rsid w:val="00230F4A"/>
    <w:rsid w:val="00231B08"/>
    <w:rsid w:val="00232A54"/>
    <w:rsid w:val="0023376E"/>
    <w:rsid w:val="0023523A"/>
    <w:rsid w:val="00235E45"/>
    <w:rsid w:val="002366EB"/>
    <w:rsid w:val="002379DD"/>
    <w:rsid w:val="00237FDB"/>
    <w:rsid w:val="0024053C"/>
    <w:rsid w:val="002436C1"/>
    <w:rsid w:val="00243DF5"/>
    <w:rsid w:val="00245106"/>
    <w:rsid w:val="00245D03"/>
    <w:rsid w:val="0024748B"/>
    <w:rsid w:val="00247A7D"/>
    <w:rsid w:val="0025150E"/>
    <w:rsid w:val="00252B51"/>
    <w:rsid w:val="00253997"/>
    <w:rsid w:val="0025423C"/>
    <w:rsid w:val="00254A3C"/>
    <w:rsid w:val="00254A8B"/>
    <w:rsid w:val="00256E57"/>
    <w:rsid w:val="0025744E"/>
    <w:rsid w:val="002579CC"/>
    <w:rsid w:val="0026641B"/>
    <w:rsid w:val="002672C8"/>
    <w:rsid w:val="00270665"/>
    <w:rsid w:val="00272C53"/>
    <w:rsid w:val="00272E20"/>
    <w:rsid w:val="00273681"/>
    <w:rsid w:val="0027409E"/>
    <w:rsid w:val="00274FAF"/>
    <w:rsid w:val="0027510A"/>
    <w:rsid w:val="002765F4"/>
    <w:rsid w:val="00276883"/>
    <w:rsid w:val="00277C1F"/>
    <w:rsid w:val="002821D7"/>
    <w:rsid w:val="00282F20"/>
    <w:rsid w:val="0029004F"/>
    <w:rsid w:val="00291B84"/>
    <w:rsid w:val="00292B19"/>
    <w:rsid w:val="00292B5E"/>
    <w:rsid w:val="002932FC"/>
    <w:rsid w:val="00294431"/>
    <w:rsid w:val="00294B49"/>
    <w:rsid w:val="00295538"/>
    <w:rsid w:val="00297034"/>
    <w:rsid w:val="002A046A"/>
    <w:rsid w:val="002A237A"/>
    <w:rsid w:val="002A23E0"/>
    <w:rsid w:val="002A2E20"/>
    <w:rsid w:val="002A32DF"/>
    <w:rsid w:val="002A6980"/>
    <w:rsid w:val="002A7DF5"/>
    <w:rsid w:val="002A7E94"/>
    <w:rsid w:val="002B0795"/>
    <w:rsid w:val="002B2620"/>
    <w:rsid w:val="002B3225"/>
    <w:rsid w:val="002B5694"/>
    <w:rsid w:val="002B6C82"/>
    <w:rsid w:val="002C021F"/>
    <w:rsid w:val="002C2056"/>
    <w:rsid w:val="002C222A"/>
    <w:rsid w:val="002C23F7"/>
    <w:rsid w:val="002C3367"/>
    <w:rsid w:val="002C7117"/>
    <w:rsid w:val="002C7CB4"/>
    <w:rsid w:val="002D0706"/>
    <w:rsid w:val="002D29FD"/>
    <w:rsid w:val="002D2AEC"/>
    <w:rsid w:val="002D2C1F"/>
    <w:rsid w:val="002D4FE3"/>
    <w:rsid w:val="002D600D"/>
    <w:rsid w:val="002E1382"/>
    <w:rsid w:val="002E6F55"/>
    <w:rsid w:val="002F0E4E"/>
    <w:rsid w:val="002F24A1"/>
    <w:rsid w:val="002F344B"/>
    <w:rsid w:val="002F41A5"/>
    <w:rsid w:val="002F709A"/>
    <w:rsid w:val="002F77A8"/>
    <w:rsid w:val="00301619"/>
    <w:rsid w:val="00301AD3"/>
    <w:rsid w:val="00301E80"/>
    <w:rsid w:val="00302755"/>
    <w:rsid w:val="00303147"/>
    <w:rsid w:val="00304D18"/>
    <w:rsid w:val="00305A15"/>
    <w:rsid w:val="00306353"/>
    <w:rsid w:val="00306D41"/>
    <w:rsid w:val="00307094"/>
    <w:rsid w:val="00307342"/>
    <w:rsid w:val="00310A72"/>
    <w:rsid w:val="00311C18"/>
    <w:rsid w:val="0031298C"/>
    <w:rsid w:val="00313D52"/>
    <w:rsid w:val="00314235"/>
    <w:rsid w:val="0031453A"/>
    <w:rsid w:val="003222FC"/>
    <w:rsid w:val="00325D85"/>
    <w:rsid w:val="0032607C"/>
    <w:rsid w:val="00326E7B"/>
    <w:rsid w:val="0033166C"/>
    <w:rsid w:val="0033358A"/>
    <w:rsid w:val="00333937"/>
    <w:rsid w:val="003342B8"/>
    <w:rsid w:val="0033504B"/>
    <w:rsid w:val="003362C7"/>
    <w:rsid w:val="00336A5A"/>
    <w:rsid w:val="00337AA0"/>
    <w:rsid w:val="00342ADB"/>
    <w:rsid w:val="00343B0F"/>
    <w:rsid w:val="00347006"/>
    <w:rsid w:val="00347D0D"/>
    <w:rsid w:val="003503AE"/>
    <w:rsid w:val="00351D8C"/>
    <w:rsid w:val="0035213A"/>
    <w:rsid w:val="00353419"/>
    <w:rsid w:val="00355D35"/>
    <w:rsid w:val="00356BEA"/>
    <w:rsid w:val="00360094"/>
    <w:rsid w:val="003627FB"/>
    <w:rsid w:val="00362826"/>
    <w:rsid w:val="00363EEF"/>
    <w:rsid w:val="0036403D"/>
    <w:rsid w:val="0036455C"/>
    <w:rsid w:val="00364ED6"/>
    <w:rsid w:val="003656BF"/>
    <w:rsid w:val="00366074"/>
    <w:rsid w:val="00367122"/>
    <w:rsid w:val="0037083D"/>
    <w:rsid w:val="00372402"/>
    <w:rsid w:val="003724FE"/>
    <w:rsid w:val="003726C4"/>
    <w:rsid w:val="003732C5"/>
    <w:rsid w:val="00374086"/>
    <w:rsid w:val="00375BEB"/>
    <w:rsid w:val="003800B4"/>
    <w:rsid w:val="003809E0"/>
    <w:rsid w:val="003814E2"/>
    <w:rsid w:val="00381E88"/>
    <w:rsid w:val="003821F9"/>
    <w:rsid w:val="003827CD"/>
    <w:rsid w:val="00383A99"/>
    <w:rsid w:val="00383D6D"/>
    <w:rsid w:val="003852EF"/>
    <w:rsid w:val="003870EE"/>
    <w:rsid w:val="00393452"/>
    <w:rsid w:val="00394C2C"/>
    <w:rsid w:val="00395441"/>
    <w:rsid w:val="00396F85"/>
    <w:rsid w:val="0039723A"/>
    <w:rsid w:val="003A1CB9"/>
    <w:rsid w:val="003A27B8"/>
    <w:rsid w:val="003A3D8C"/>
    <w:rsid w:val="003A48E3"/>
    <w:rsid w:val="003A539D"/>
    <w:rsid w:val="003A5FA1"/>
    <w:rsid w:val="003A7623"/>
    <w:rsid w:val="003B1725"/>
    <w:rsid w:val="003B242C"/>
    <w:rsid w:val="003B324C"/>
    <w:rsid w:val="003B4D64"/>
    <w:rsid w:val="003B5DFB"/>
    <w:rsid w:val="003B6220"/>
    <w:rsid w:val="003B76DC"/>
    <w:rsid w:val="003C1E93"/>
    <w:rsid w:val="003C2161"/>
    <w:rsid w:val="003C596C"/>
    <w:rsid w:val="003D03AF"/>
    <w:rsid w:val="003D07CA"/>
    <w:rsid w:val="003D1FE5"/>
    <w:rsid w:val="003D3735"/>
    <w:rsid w:val="003D5148"/>
    <w:rsid w:val="003D5CDF"/>
    <w:rsid w:val="003D6081"/>
    <w:rsid w:val="003D6720"/>
    <w:rsid w:val="003D6B3F"/>
    <w:rsid w:val="003D7951"/>
    <w:rsid w:val="003E030F"/>
    <w:rsid w:val="003E1EFB"/>
    <w:rsid w:val="003E2B26"/>
    <w:rsid w:val="003E4299"/>
    <w:rsid w:val="003E6D92"/>
    <w:rsid w:val="003E70B9"/>
    <w:rsid w:val="003E7812"/>
    <w:rsid w:val="003F2136"/>
    <w:rsid w:val="003F277A"/>
    <w:rsid w:val="003F29B2"/>
    <w:rsid w:val="003F31E6"/>
    <w:rsid w:val="003F40F9"/>
    <w:rsid w:val="003F4C40"/>
    <w:rsid w:val="003F52FE"/>
    <w:rsid w:val="003F580D"/>
    <w:rsid w:val="003F61D7"/>
    <w:rsid w:val="00401F3A"/>
    <w:rsid w:val="0040272E"/>
    <w:rsid w:val="00402EA0"/>
    <w:rsid w:val="00403497"/>
    <w:rsid w:val="004041C9"/>
    <w:rsid w:val="00407810"/>
    <w:rsid w:val="004079CC"/>
    <w:rsid w:val="004106A7"/>
    <w:rsid w:val="00410F85"/>
    <w:rsid w:val="00412823"/>
    <w:rsid w:val="0041382E"/>
    <w:rsid w:val="00413D00"/>
    <w:rsid w:val="00414410"/>
    <w:rsid w:val="00414992"/>
    <w:rsid w:val="00416ED0"/>
    <w:rsid w:val="004175B0"/>
    <w:rsid w:val="00421C9B"/>
    <w:rsid w:val="00422D31"/>
    <w:rsid w:val="00426041"/>
    <w:rsid w:val="00426CBC"/>
    <w:rsid w:val="00427CC0"/>
    <w:rsid w:val="0043002F"/>
    <w:rsid w:val="004303B3"/>
    <w:rsid w:val="00430927"/>
    <w:rsid w:val="0043308A"/>
    <w:rsid w:val="00433113"/>
    <w:rsid w:val="00433DCD"/>
    <w:rsid w:val="00434262"/>
    <w:rsid w:val="0043673C"/>
    <w:rsid w:val="00436801"/>
    <w:rsid w:val="00437DA0"/>
    <w:rsid w:val="004412CE"/>
    <w:rsid w:val="00442603"/>
    <w:rsid w:val="00444898"/>
    <w:rsid w:val="00445E88"/>
    <w:rsid w:val="004509F6"/>
    <w:rsid w:val="00453254"/>
    <w:rsid w:val="0045366F"/>
    <w:rsid w:val="00453F4D"/>
    <w:rsid w:val="00455D49"/>
    <w:rsid w:val="00455DF1"/>
    <w:rsid w:val="00456A0F"/>
    <w:rsid w:val="00456C53"/>
    <w:rsid w:val="00460F22"/>
    <w:rsid w:val="0046446A"/>
    <w:rsid w:val="004645D0"/>
    <w:rsid w:val="00464A97"/>
    <w:rsid w:val="00464FA6"/>
    <w:rsid w:val="004651E5"/>
    <w:rsid w:val="004676E4"/>
    <w:rsid w:val="0046796E"/>
    <w:rsid w:val="00467E09"/>
    <w:rsid w:val="004707EC"/>
    <w:rsid w:val="00470F11"/>
    <w:rsid w:val="0047173F"/>
    <w:rsid w:val="004722FE"/>
    <w:rsid w:val="00472A2C"/>
    <w:rsid w:val="004739B2"/>
    <w:rsid w:val="0047586E"/>
    <w:rsid w:val="004761F8"/>
    <w:rsid w:val="0047624F"/>
    <w:rsid w:val="00476551"/>
    <w:rsid w:val="00476764"/>
    <w:rsid w:val="00477506"/>
    <w:rsid w:val="00477994"/>
    <w:rsid w:val="00480ED0"/>
    <w:rsid w:val="00481CB0"/>
    <w:rsid w:val="00482251"/>
    <w:rsid w:val="00482CC2"/>
    <w:rsid w:val="004835E4"/>
    <w:rsid w:val="00484CF0"/>
    <w:rsid w:val="004856F7"/>
    <w:rsid w:val="00485E98"/>
    <w:rsid w:val="00487169"/>
    <w:rsid w:val="00490539"/>
    <w:rsid w:val="004907EE"/>
    <w:rsid w:val="004910C2"/>
    <w:rsid w:val="00491342"/>
    <w:rsid w:val="0049147A"/>
    <w:rsid w:val="00491B25"/>
    <w:rsid w:val="004925DF"/>
    <w:rsid w:val="004929D1"/>
    <w:rsid w:val="004939CA"/>
    <w:rsid w:val="00497D5C"/>
    <w:rsid w:val="004A243A"/>
    <w:rsid w:val="004A2756"/>
    <w:rsid w:val="004A49CD"/>
    <w:rsid w:val="004A4AED"/>
    <w:rsid w:val="004A58D1"/>
    <w:rsid w:val="004A5E88"/>
    <w:rsid w:val="004A65C0"/>
    <w:rsid w:val="004A6C11"/>
    <w:rsid w:val="004B1E66"/>
    <w:rsid w:val="004B4001"/>
    <w:rsid w:val="004B4B39"/>
    <w:rsid w:val="004B6EA9"/>
    <w:rsid w:val="004B735F"/>
    <w:rsid w:val="004B77FF"/>
    <w:rsid w:val="004C0F0C"/>
    <w:rsid w:val="004C1C90"/>
    <w:rsid w:val="004C49FA"/>
    <w:rsid w:val="004C4C9B"/>
    <w:rsid w:val="004C4EA4"/>
    <w:rsid w:val="004C7C47"/>
    <w:rsid w:val="004D0388"/>
    <w:rsid w:val="004D0478"/>
    <w:rsid w:val="004D0A93"/>
    <w:rsid w:val="004D20F5"/>
    <w:rsid w:val="004D34DD"/>
    <w:rsid w:val="004D382B"/>
    <w:rsid w:val="004D3B10"/>
    <w:rsid w:val="004D49D8"/>
    <w:rsid w:val="004D6E8F"/>
    <w:rsid w:val="004D73A7"/>
    <w:rsid w:val="004D7BA3"/>
    <w:rsid w:val="004E3C6A"/>
    <w:rsid w:val="004E46B0"/>
    <w:rsid w:val="004E645B"/>
    <w:rsid w:val="004F3AC9"/>
    <w:rsid w:val="004F3E60"/>
    <w:rsid w:val="004F40EF"/>
    <w:rsid w:val="004F46F0"/>
    <w:rsid w:val="004F4F78"/>
    <w:rsid w:val="004F55EC"/>
    <w:rsid w:val="005013A2"/>
    <w:rsid w:val="005017DC"/>
    <w:rsid w:val="0050386F"/>
    <w:rsid w:val="005041D5"/>
    <w:rsid w:val="005071D2"/>
    <w:rsid w:val="00510526"/>
    <w:rsid w:val="00510823"/>
    <w:rsid w:val="0051208D"/>
    <w:rsid w:val="00515789"/>
    <w:rsid w:val="00516DA1"/>
    <w:rsid w:val="005201F1"/>
    <w:rsid w:val="00520ACC"/>
    <w:rsid w:val="00520B0B"/>
    <w:rsid w:val="005212D4"/>
    <w:rsid w:val="00522AA1"/>
    <w:rsid w:val="0052415B"/>
    <w:rsid w:val="005266CB"/>
    <w:rsid w:val="00527FBD"/>
    <w:rsid w:val="0053069A"/>
    <w:rsid w:val="005308B0"/>
    <w:rsid w:val="00533B31"/>
    <w:rsid w:val="0053444E"/>
    <w:rsid w:val="0053510C"/>
    <w:rsid w:val="005362B4"/>
    <w:rsid w:val="0053633A"/>
    <w:rsid w:val="00536E3A"/>
    <w:rsid w:val="005400DC"/>
    <w:rsid w:val="00542CCA"/>
    <w:rsid w:val="0054309D"/>
    <w:rsid w:val="005436F3"/>
    <w:rsid w:val="00544451"/>
    <w:rsid w:val="005449D5"/>
    <w:rsid w:val="00544A6C"/>
    <w:rsid w:val="00551427"/>
    <w:rsid w:val="00551C0A"/>
    <w:rsid w:val="00554430"/>
    <w:rsid w:val="00560551"/>
    <w:rsid w:val="00561FE9"/>
    <w:rsid w:val="00562804"/>
    <w:rsid w:val="00564093"/>
    <w:rsid w:val="00564F46"/>
    <w:rsid w:val="005659B2"/>
    <w:rsid w:val="00566CB6"/>
    <w:rsid w:val="00567AAC"/>
    <w:rsid w:val="00572A2F"/>
    <w:rsid w:val="00572C28"/>
    <w:rsid w:val="00572D91"/>
    <w:rsid w:val="00574893"/>
    <w:rsid w:val="00575E03"/>
    <w:rsid w:val="00576A3A"/>
    <w:rsid w:val="00576B9E"/>
    <w:rsid w:val="00577555"/>
    <w:rsid w:val="00577910"/>
    <w:rsid w:val="005803FA"/>
    <w:rsid w:val="00583A5E"/>
    <w:rsid w:val="00590CD8"/>
    <w:rsid w:val="00593310"/>
    <w:rsid w:val="0059593D"/>
    <w:rsid w:val="00595C4D"/>
    <w:rsid w:val="00597498"/>
    <w:rsid w:val="0059767A"/>
    <w:rsid w:val="005A0462"/>
    <w:rsid w:val="005A43FC"/>
    <w:rsid w:val="005A6007"/>
    <w:rsid w:val="005A6752"/>
    <w:rsid w:val="005A6DE4"/>
    <w:rsid w:val="005A7236"/>
    <w:rsid w:val="005B08B3"/>
    <w:rsid w:val="005B0F07"/>
    <w:rsid w:val="005B16D7"/>
    <w:rsid w:val="005B1BB5"/>
    <w:rsid w:val="005B31FB"/>
    <w:rsid w:val="005B3AC2"/>
    <w:rsid w:val="005B439F"/>
    <w:rsid w:val="005B49CC"/>
    <w:rsid w:val="005B62FA"/>
    <w:rsid w:val="005B6576"/>
    <w:rsid w:val="005C09F1"/>
    <w:rsid w:val="005C0B01"/>
    <w:rsid w:val="005C1CF3"/>
    <w:rsid w:val="005C201C"/>
    <w:rsid w:val="005C37A8"/>
    <w:rsid w:val="005C3B0D"/>
    <w:rsid w:val="005C4B2D"/>
    <w:rsid w:val="005C5BC2"/>
    <w:rsid w:val="005C72E9"/>
    <w:rsid w:val="005C79F4"/>
    <w:rsid w:val="005D163E"/>
    <w:rsid w:val="005D33A6"/>
    <w:rsid w:val="005D4D03"/>
    <w:rsid w:val="005D5292"/>
    <w:rsid w:val="005D5470"/>
    <w:rsid w:val="005D637B"/>
    <w:rsid w:val="005E0829"/>
    <w:rsid w:val="005E14F6"/>
    <w:rsid w:val="005E162C"/>
    <w:rsid w:val="005E26A1"/>
    <w:rsid w:val="005E2D33"/>
    <w:rsid w:val="005E494F"/>
    <w:rsid w:val="005E5312"/>
    <w:rsid w:val="005E588E"/>
    <w:rsid w:val="005E5F0F"/>
    <w:rsid w:val="005E695B"/>
    <w:rsid w:val="005F0E22"/>
    <w:rsid w:val="005F1547"/>
    <w:rsid w:val="005F1604"/>
    <w:rsid w:val="005F24F4"/>
    <w:rsid w:val="005F2903"/>
    <w:rsid w:val="005F31D7"/>
    <w:rsid w:val="005F3AA3"/>
    <w:rsid w:val="005F537F"/>
    <w:rsid w:val="005F5931"/>
    <w:rsid w:val="005F7D07"/>
    <w:rsid w:val="0060020D"/>
    <w:rsid w:val="006023D7"/>
    <w:rsid w:val="00602794"/>
    <w:rsid w:val="00604135"/>
    <w:rsid w:val="006058CB"/>
    <w:rsid w:val="0060733C"/>
    <w:rsid w:val="0061140B"/>
    <w:rsid w:val="00613453"/>
    <w:rsid w:val="0061470B"/>
    <w:rsid w:val="00616AE1"/>
    <w:rsid w:val="00617F6B"/>
    <w:rsid w:val="0062067C"/>
    <w:rsid w:val="006214AD"/>
    <w:rsid w:val="0062541F"/>
    <w:rsid w:val="00625863"/>
    <w:rsid w:val="006260E5"/>
    <w:rsid w:val="0062647B"/>
    <w:rsid w:val="00627B69"/>
    <w:rsid w:val="00631CC2"/>
    <w:rsid w:val="00633754"/>
    <w:rsid w:val="00635E85"/>
    <w:rsid w:val="006371FF"/>
    <w:rsid w:val="006436A7"/>
    <w:rsid w:val="00643DD9"/>
    <w:rsid w:val="00644A75"/>
    <w:rsid w:val="006472A0"/>
    <w:rsid w:val="00651512"/>
    <w:rsid w:val="00654956"/>
    <w:rsid w:val="00654DE7"/>
    <w:rsid w:val="0065533C"/>
    <w:rsid w:val="00656A9D"/>
    <w:rsid w:val="00656F5E"/>
    <w:rsid w:val="00662CBC"/>
    <w:rsid w:val="006700A9"/>
    <w:rsid w:val="0067038D"/>
    <w:rsid w:val="00671A6A"/>
    <w:rsid w:val="00673F0C"/>
    <w:rsid w:val="00676A38"/>
    <w:rsid w:val="00680098"/>
    <w:rsid w:val="00680957"/>
    <w:rsid w:val="00682CFC"/>
    <w:rsid w:val="00683B13"/>
    <w:rsid w:val="00686216"/>
    <w:rsid w:val="00686325"/>
    <w:rsid w:val="00686EC4"/>
    <w:rsid w:val="00687063"/>
    <w:rsid w:val="00691425"/>
    <w:rsid w:val="00695E17"/>
    <w:rsid w:val="00696763"/>
    <w:rsid w:val="00696D1D"/>
    <w:rsid w:val="0069734A"/>
    <w:rsid w:val="006A139A"/>
    <w:rsid w:val="006A1939"/>
    <w:rsid w:val="006A303A"/>
    <w:rsid w:val="006A4427"/>
    <w:rsid w:val="006A45A4"/>
    <w:rsid w:val="006A45AE"/>
    <w:rsid w:val="006A5C3E"/>
    <w:rsid w:val="006B0367"/>
    <w:rsid w:val="006B147C"/>
    <w:rsid w:val="006B1E00"/>
    <w:rsid w:val="006B202A"/>
    <w:rsid w:val="006B4802"/>
    <w:rsid w:val="006B5097"/>
    <w:rsid w:val="006B5516"/>
    <w:rsid w:val="006B5D36"/>
    <w:rsid w:val="006B5E7D"/>
    <w:rsid w:val="006B7A09"/>
    <w:rsid w:val="006C42CE"/>
    <w:rsid w:val="006C51DA"/>
    <w:rsid w:val="006C5486"/>
    <w:rsid w:val="006C592D"/>
    <w:rsid w:val="006C5D93"/>
    <w:rsid w:val="006C74B3"/>
    <w:rsid w:val="006D209C"/>
    <w:rsid w:val="006D3791"/>
    <w:rsid w:val="006D465F"/>
    <w:rsid w:val="006D46A6"/>
    <w:rsid w:val="006D4B56"/>
    <w:rsid w:val="006D7209"/>
    <w:rsid w:val="006E11C9"/>
    <w:rsid w:val="006E31AE"/>
    <w:rsid w:val="006E4984"/>
    <w:rsid w:val="006E5E71"/>
    <w:rsid w:val="006F32BF"/>
    <w:rsid w:val="006F38F6"/>
    <w:rsid w:val="006F3989"/>
    <w:rsid w:val="006F4219"/>
    <w:rsid w:val="006F55D6"/>
    <w:rsid w:val="006F575A"/>
    <w:rsid w:val="006F79D7"/>
    <w:rsid w:val="00700A73"/>
    <w:rsid w:val="007015E9"/>
    <w:rsid w:val="00702A10"/>
    <w:rsid w:val="0070484E"/>
    <w:rsid w:val="00704ED8"/>
    <w:rsid w:val="0070601C"/>
    <w:rsid w:val="00706787"/>
    <w:rsid w:val="00706C45"/>
    <w:rsid w:val="00707008"/>
    <w:rsid w:val="00710993"/>
    <w:rsid w:val="00712884"/>
    <w:rsid w:val="00713C6D"/>
    <w:rsid w:val="00715090"/>
    <w:rsid w:val="00715379"/>
    <w:rsid w:val="0071587A"/>
    <w:rsid w:val="007159EB"/>
    <w:rsid w:val="007160E0"/>
    <w:rsid w:val="00716E3F"/>
    <w:rsid w:val="00717DE7"/>
    <w:rsid w:val="00720629"/>
    <w:rsid w:val="00720B16"/>
    <w:rsid w:val="007219C5"/>
    <w:rsid w:val="007223FC"/>
    <w:rsid w:val="00723E51"/>
    <w:rsid w:val="00725F23"/>
    <w:rsid w:val="007267EB"/>
    <w:rsid w:val="0072737A"/>
    <w:rsid w:val="00730159"/>
    <w:rsid w:val="00730AC8"/>
    <w:rsid w:val="00730C0D"/>
    <w:rsid w:val="0073129C"/>
    <w:rsid w:val="007339DB"/>
    <w:rsid w:val="007356FC"/>
    <w:rsid w:val="00735CE3"/>
    <w:rsid w:val="00736DD5"/>
    <w:rsid w:val="0074101E"/>
    <w:rsid w:val="0074150A"/>
    <w:rsid w:val="00741FEC"/>
    <w:rsid w:val="007433D3"/>
    <w:rsid w:val="00743A86"/>
    <w:rsid w:val="00743F1B"/>
    <w:rsid w:val="0074430F"/>
    <w:rsid w:val="007448B9"/>
    <w:rsid w:val="007468E9"/>
    <w:rsid w:val="00746BED"/>
    <w:rsid w:val="00747D71"/>
    <w:rsid w:val="00750288"/>
    <w:rsid w:val="00751BF1"/>
    <w:rsid w:val="007537F1"/>
    <w:rsid w:val="00756643"/>
    <w:rsid w:val="007567FF"/>
    <w:rsid w:val="00756DA9"/>
    <w:rsid w:val="0075794D"/>
    <w:rsid w:val="007608C8"/>
    <w:rsid w:val="00761696"/>
    <w:rsid w:val="00761834"/>
    <w:rsid w:val="00761D56"/>
    <w:rsid w:val="007620D8"/>
    <w:rsid w:val="007631A8"/>
    <w:rsid w:val="0076420A"/>
    <w:rsid w:val="0076492F"/>
    <w:rsid w:val="00764D0F"/>
    <w:rsid w:val="00764ED5"/>
    <w:rsid w:val="007665AE"/>
    <w:rsid w:val="007665E7"/>
    <w:rsid w:val="00767809"/>
    <w:rsid w:val="00773845"/>
    <w:rsid w:val="0077605D"/>
    <w:rsid w:val="00780896"/>
    <w:rsid w:val="00780E48"/>
    <w:rsid w:val="00780FF2"/>
    <w:rsid w:val="007815A1"/>
    <w:rsid w:val="00783BF6"/>
    <w:rsid w:val="0078501F"/>
    <w:rsid w:val="00785229"/>
    <w:rsid w:val="00791744"/>
    <w:rsid w:val="0079186B"/>
    <w:rsid w:val="007919EE"/>
    <w:rsid w:val="00793312"/>
    <w:rsid w:val="00794B5C"/>
    <w:rsid w:val="00796A9E"/>
    <w:rsid w:val="00796D05"/>
    <w:rsid w:val="00797687"/>
    <w:rsid w:val="007A0BE3"/>
    <w:rsid w:val="007A25AF"/>
    <w:rsid w:val="007A30A5"/>
    <w:rsid w:val="007A5FB9"/>
    <w:rsid w:val="007A664A"/>
    <w:rsid w:val="007A70C6"/>
    <w:rsid w:val="007B11D0"/>
    <w:rsid w:val="007B1CB5"/>
    <w:rsid w:val="007B27E9"/>
    <w:rsid w:val="007B2987"/>
    <w:rsid w:val="007B6A8F"/>
    <w:rsid w:val="007B70D3"/>
    <w:rsid w:val="007C1116"/>
    <w:rsid w:val="007C3AA6"/>
    <w:rsid w:val="007C4EF2"/>
    <w:rsid w:val="007C55D4"/>
    <w:rsid w:val="007D093F"/>
    <w:rsid w:val="007D0BE8"/>
    <w:rsid w:val="007D0D6D"/>
    <w:rsid w:val="007D36CA"/>
    <w:rsid w:val="007D4C02"/>
    <w:rsid w:val="007D5920"/>
    <w:rsid w:val="007D6496"/>
    <w:rsid w:val="007D6731"/>
    <w:rsid w:val="007D6837"/>
    <w:rsid w:val="007D7001"/>
    <w:rsid w:val="007D782F"/>
    <w:rsid w:val="007D7E87"/>
    <w:rsid w:val="007E1666"/>
    <w:rsid w:val="007E1ECC"/>
    <w:rsid w:val="007E2A09"/>
    <w:rsid w:val="007E40DD"/>
    <w:rsid w:val="007E4D5F"/>
    <w:rsid w:val="007E5A59"/>
    <w:rsid w:val="007E7C73"/>
    <w:rsid w:val="007F0225"/>
    <w:rsid w:val="007F0AC8"/>
    <w:rsid w:val="007F10CE"/>
    <w:rsid w:val="007F167C"/>
    <w:rsid w:val="007F2066"/>
    <w:rsid w:val="007F2B93"/>
    <w:rsid w:val="007F4005"/>
    <w:rsid w:val="007F64E9"/>
    <w:rsid w:val="007F7EFE"/>
    <w:rsid w:val="007F7F51"/>
    <w:rsid w:val="00800D68"/>
    <w:rsid w:val="0080100B"/>
    <w:rsid w:val="00801BBC"/>
    <w:rsid w:val="00802684"/>
    <w:rsid w:val="00804380"/>
    <w:rsid w:val="00804490"/>
    <w:rsid w:val="00805FBA"/>
    <w:rsid w:val="00806655"/>
    <w:rsid w:val="00806B2A"/>
    <w:rsid w:val="008071EA"/>
    <w:rsid w:val="00810DA4"/>
    <w:rsid w:val="00813597"/>
    <w:rsid w:val="00814221"/>
    <w:rsid w:val="00814A29"/>
    <w:rsid w:val="00825793"/>
    <w:rsid w:val="008259B8"/>
    <w:rsid w:val="00825ADA"/>
    <w:rsid w:val="00825DEA"/>
    <w:rsid w:val="0082667C"/>
    <w:rsid w:val="008269BB"/>
    <w:rsid w:val="00827362"/>
    <w:rsid w:val="008279A8"/>
    <w:rsid w:val="00827E59"/>
    <w:rsid w:val="0083160C"/>
    <w:rsid w:val="0083338A"/>
    <w:rsid w:val="00833923"/>
    <w:rsid w:val="00834848"/>
    <w:rsid w:val="00834CDA"/>
    <w:rsid w:val="00835A8D"/>
    <w:rsid w:val="008362EF"/>
    <w:rsid w:val="008367C0"/>
    <w:rsid w:val="00840F68"/>
    <w:rsid w:val="00843EBB"/>
    <w:rsid w:val="008443EB"/>
    <w:rsid w:val="00844E1C"/>
    <w:rsid w:val="00847A9C"/>
    <w:rsid w:val="00855674"/>
    <w:rsid w:val="0086291A"/>
    <w:rsid w:val="00862D4F"/>
    <w:rsid w:val="00871456"/>
    <w:rsid w:val="00871856"/>
    <w:rsid w:val="00872ABA"/>
    <w:rsid w:val="00872FCE"/>
    <w:rsid w:val="00874EBD"/>
    <w:rsid w:val="008761FC"/>
    <w:rsid w:val="00877D2F"/>
    <w:rsid w:val="008800C1"/>
    <w:rsid w:val="00881137"/>
    <w:rsid w:val="00882933"/>
    <w:rsid w:val="00883A75"/>
    <w:rsid w:val="00883F98"/>
    <w:rsid w:val="00884396"/>
    <w:rsid w:val="008843FC"/>
    <w:rsid w:val="008862BD"/>
    <w:rsid w:val="008917E7"/>
    <w:rsid w:val="008962E9"/>
    <w:rsid w:val="0089653C"/>
    <w:rsid w:val="00896CA9"/>
    <w:rsid w:val="0089766E"/>
    <w:rsid w:val="00897AEF"/>
    <w:rsid w:val="008A0DE6"/>
    <w:rsid w:val="008A1FF5"/>
    <w:rsid w:val="008A233D"/>
    <w:rsid w:val="008A237E"/>
    <w:rsid w:val="008A447D"/>
    <w:rsid w:val="008A4AF5"/>
    <w:rsid w:val="008A4EFA"/>
    <w:rsid w:val="008A62A5"/>
    <w:rsid w:val="008A7E2E"/>
    <w:rsid w:val="008B3124"/>
    <w:rsid w:val="008B5749"/>
    <w:rsid w:val="008B6744"/>
    <w:rsid w:val="008B72A5"/>
    <w:rsid w:val="008B7762"/>
    <w:rsid w:val="008C0421"/>
    <w:rsid w:val="008C1918"/>
    <w:rsid w:val="008C1A51"/>
    <w:rsid w:val="008C2A4A"/>
    <w:rsid w:val="008C2F29"/>
    <w:rsid w:val="008C421B"/>
    <w:rsid w:val="008C4AD0"/>
    <w:rsid w:val="008C6B30"/>
    <w:rsid w:val="008D3033"/>
    <w:rsid w:val="008D493B"/>
    <w:rsid w:val="008D4A7C"/>
    <w:rsid w:val="008D51DA"/>
    <w:rsid w:val="008D53A9"/>
    <w:rsid w:val="008D5615"/>
    <w:rsid w:val="008D5F0D"/>
    <w:rsid w:val="008D683A"/>
    <w:rsid w:val="008E0359"/>
    <w:rsid w:val="008E0805"/>
    <w:rsid w:val="008E0FFB"/>
    <w:rsid w:val="008E12B9"/>
    <w:rsid w:val="008E2B4D"/>
    <w:rsid w:val="008E3094"/>
    <w:rsid w:val="008E3295"/>
    <w:rsid w:val="008E55EA"/>
    <w:rsid w:val="008E5926"/>
    <w:rsid w:val="008E75C5"/>
    <w:rsid w:val="008E7887"/>
    <w:rsid w:val="008E7E6E"/>
    <w:rsid w:val="008F1194"/>
    <w:rsid w:val="008F1884"/>
    <w:rsid w:val="008F237A"/>
    <w:rsid w:val="008F2796"/>
    <w:rsid w:val="008F34D3"/>
    <w:rsid w:val="008F6A2F"/>
    <w:rsid w:val="008F6B5E"/>
    <w:rsid w:val="008F755E"/>
    <w:rsid w:val="008F79D0"/>
    <w:rsid w:val="009008B1"/>
    <w:rsid w:val="00902015"/>
    <w:rsid w:val="00903531"/>
    <w:rsid w:val="00904A65"/>
    <w:rsid w:val="00905793"/>
    <w:rsid w:val="00907263"/>
    <w:rsid w:val="009123F6"/>
    <w:rsid w:val="00913A85"/>
    <w:rsid w:val="00913E2A"/>
    <w:rsid w:val="0091468D"/>
    <w:rsid w:val="0091475E"/>
    <w:rsid w:val="009163B6"/>
    <w:rsid w:val="00916B61"/>
    <w:rsid w:val="00917ED2"/>
    <w:rsid w:val="00917F42"/>
    <w:rsid w:val="009205E3"/>
    <w:rsid w:val="009217A9"/>
    <w:rsid w:val="00922F29"/>
    <w:rsid w:val="009231E6"/>
    <w:rsid w:val="00924926"/>
    <w:rsid w:val="00924ED9"/>
    <w:rsid w:val="009277E9"/>
    <w:rsid w:val="0093042C"/>
    <w:rsid w:val="00931316"/>
    <w:rsid w:val="00933086"/>
    <w:rsid w:val="00934A0F"/>
    <w:rsid w:val="00935CA2"/>
    <w:rsid w:val="00937ED6"/>
    <w:rsid w:val="009406E7"/>
    <w:rsid w:val="00940B04"/>
    <w:rsid w:val="00944AB3"/>
    <w:rsid w:val="009465F6"/>
    <w:rsid w:val="009469A2"/>
    <w:rsid w:val="00950141"/>
    <w:rsid w:val="00950FC7"/>
    <w:rsid w:val="00951D07"/>
    <w:rsid w:val="00953FB3"/>
    <w:rsid w:val="0095455D"/>
    <w:rsid w:val="0095482D"/>
    <w:rsid w:val="009563AA"/>
    <w:rsid w:val="009623A4"/>
    <w:rsid w:val="00963229"/>
    <w:rsid w:val="0096515A"/>
    <w:rsid w:val="00965C79"/>
    <w:rsid w:val="00966601"/>
    <w:rsid w:val="00967094"/>
    <w:rsid w:val="00970079"/>
    <w:rsid w:val="009700A9"/>
    <w:rsid w:val="00970A79"/>
    <w:rsid w:val="00973C9C"/>
    <w:rsid w:val="009752BD"/>
    <w:rsid w:val="009758CF"/>
    <w:rsid w:val="0098672A"/>
    <w:rsid w:val="00990141"/>
    <w:rsid w:val="00990D6F"/>
    <w:rsid w:val="0099157D"/>
    <w:rsid w:val="00993A67"/>
    <w:rsid w:val="00994D7F"/>
    <w:rsid w:val="009962A0"/>
    <w:rsid w:val="0099644E"/>
    <w:rsid w:val="00996F8C"/>
    <w:rsid w:val="009A0627"/>
    <w:rsid w:val="009A0875"/>
    <w:rsid w:val="009A24C3"/>
    <w:rsid w:val="009A44CB"/>
    <w:rsid w:val="009A454D"/>
    <w:rsid w:val="009A472B"/>
    <w:rsid w:val="009A5C14"/>
    <w:rsid w:val="009A7763"/>
    <w:rsid w:val="009A7A9E"/>
    <w:rsid w:val="009A7B95"/>
    <w:rsid w:val="009B05E8"/>
    <w:rsid w:val="009B05F1"/>
    <w:rsid w:val="009B126C"/>
    <w:rsid w:val="009B1A69"/>
    <w:rsid w:val="009B2CF2"/>
    <w:rsid w:val="009B45E7"/>
    <w:rsid w:val="009B493A"/>
    <w:rsid w:val="009B4DE3"/>
    <w:rsid w:val="009B62CB"/>
    <w:rsid w:val="009B6612"/>
    <w:rsid w:val="009B6A55"/>
    <w:rsid w:val="009C158C"/>
    <w:rsid w:val="009C196E"/>
    <w:rsid w:val="009C3B52"/>
    <w:rsid w:val="009C4A6F"/>
    <w:rsid w:val="009C55F9"/>
    <w:rsid w:val="009C6025"/>
    <w:rsid w:val="009D161B"/>
    <w:rsid w:val="009D18A0"/>
    <w:rsid w:val="009D1EF0"/>
    <w:rsid w:val="009D478F"/>
    <w:rsid w:val="009D479C"/>
    <w:rsid w:val="009D5125"/>
    <w:rsid w:val="009D705F"/>
    <w:rsid w:val="009D7772"/>
    <w:rsid w:val="009D7E79"/>
    <w:rsid w:val="009E0B76"/>
    <w:rsid w:val="009E1143"/>
    <w:rsid w:val="009E2925"/>
    <w:rsid w:val="009E409E"/>
    <w:rsid w:val="009E63C4"/>
    <w:rsid w:val="009E7131"/>
    <w:rsid w:val="009F0065"/>
    <w:rsid w:val="009F0651"/>
    <w:rsid w:val="009F0908"/>
    <w:rsid w:val="009F0DCA"/>
    <w:rsid w:val="009F1BCB"/>
    <w:rsid w:val="009F2488"/>
    <w:rsid w:val="009F3650"/>
    <w:rsid w:val="009F6E81"/>
    <w:rsid w:val="009F7321"/>
    <w:rsid w:val="00A00194"/>
    <w:rsid w:val="00A001C6"/>
    <w:rsid w:val="00A00244"/>
    <w:rsid w:val="00A02BF2"/>
    <w:rsid w:val="00A031F9"/>
    <w:rsid w:val="00A05A0B"/>
    <w:rsid w:val="00A05E0C"/>
    <w:rsid w:val="00A12FE6"/>
    <w:rsid w:val="00A14944"/>
    <w:rsid w:val="00A2017E"/>
    <w:rsid w:val="00A2337E"/>
    <w:rsid w:val="00A24A28"/>
    <w:rsid w:val="00A24FA6"/>
    <w:rsid w:val="00A2547A"/>
    <w:rsid w:val="00A261BA"/>
    <w:rsid w:val="00A26D65"/>
    <w:rsid w:val="00A37578"/>
    <w:rsid w:val="00A403A8"/>
    <w:rsid w:val="00A404B2"/>
    <w:rsid w:val="00A406D2"/>
    <w:rsid w:val="00A41901"/>
    <w:rsid w:val="00A428F3"/>
    <w:rsid w:val="00A44630"/>
    <w:rsid w:val="00A446D4"/>
    <w:rsid w:val="00A4582E"/>
    <w:rsid w:val="00A466C5"/>
    <w:rsid w:val="00A472C5"/>
    <w:rsid w:val="00A50CD1"/>
    <w:rsid w:val="00A513F1"/>
    <w:rsid w:val="00A528CC"/>
    <w:rsid w:val="00A52EF0"/>
    <w:rsid w:val="00A5472F"/>
    <w:rsid w:val="00A54C4F"/>
    <w:rsid w:val="00A560DE"/>
    <w:rsid w:val="00A565E9"/>
    <w:rsid w:val="00A56F02"/>
    <w:rsid w:val="00A57FD5"/>
    <w:rsid w:val="00A61B87"/>
    <w:rsid w:val="00A62028"/>
    <w:rsid w:val="00A6320B"/>
    <w:rsid w:val="00A640E4"/>
    <w:rsid w:val="00A6444C"/>
    <w:rsid w:val="00A64491"/>
    <w:rsid w:val="00A66DA4"/>
    <w:rsid w:val="00A7441C"/>
    <w:rsid w:val="00A75036"/>
    <w:rsid w:val="00A7606A"/>
    <w:rsid w:val="00A7702A"/>
    <w:rsid w:val="00A80332"/>
    <w:rsid w:val="00A80D18"/>
    <w:rsid w:val="00A82F73"/>
    <w:rsid w:val="00A84413"/>
    <w:rsid w:val="00A85069"/>
    <w:rsid w:val="00A851D3"/>
    <w:rsid w:val="00A85C99"/>
    <w:rsid w:val="00A86059"/>
    <w:rsid w:val="00A8682A"/>
    <w:rsid w:val="00A877EA"/>
    <w:rsid w:val="00A90434"/>
    <w:rsid w:val="00A90848"/>
    <w:rsid w:val="00A90D5D"/>
    <w:rsid w:val="00A919A8"/>
    <w:rsid w:val="00A94817"/>
    <w:rsid w:val="00A95E04"/>
    <w:rsid w:val="00A9702D"/>
    <w:rsid w:val="00AA084D"/>
    <w:rsid w:val="00AA09CE"/>
    <w:rsid w:val="00AA109A"/>
    <w:rsid w:val="00AA184D"/>
    <w:rsid w:val="00AA21D4"/>
    <w:rsid w:val="00AA3ADF"/>
    <w:rsid w:val="00AA4945"/>
    <w:rsid w:val="00AA4F18"/>
    <w:rsid w:val="00AA7490"/>
    <w:rsid w:val="00AA7EB9"/>
    <w:rsid w:val="00AB0321"/>
    <w:rsid w:val="00AB21EA"/>
    <w:rsid w:val="00AB29DA"/>
    <w:rsid w:val="00AB2D5C"/>
    <w:rsid w:val="00AB3BFD"/>
    <w:rsid w:val="00AB51C0"/>
    <w:rsid w:val="00AB538D"/>
    <w:rsid w:val="00AB70F7"/>
    <w:rsid w:val="00AB7AD4"/>
    <w:rsid w:val="00AC12F5"/>
    <w:rsid w:val="00AC1749"/>
    <w:rsid w:val="00AC2A9D"/>
    <w:rsid w:val="00AC56CE"/>
    <w:rsid w:val="00AC59CF"/>
    <w:rsid w:val="00AC604F"/>
    <w:rsid w:val="00AC71B2"/>
    <w:rsid w:val="00AD2F15"/>
    <w:rsid w:val="00AD34FD"/>
    <w:rsid w:val="00AD4224"/>
    <w:rsid w:val="00AD4E75"/>
    <w:rsid w:val="00AD6DC7"/>
    <w:rsid w:val="00AD74C8"/>
    <w:rsid w:val="00AD757C"/>
    <w:rsid w:val="00AE3181"/>
    <w:rsid w:val="00AE357C"/>
    <w:rsid w:val="00AE6795"/>
    <w:rsid w:val="00AE6ED6"/>
    <w:rsid w:val="00AE7EDF"/>
    <w:rsid w:val="00AF07F9"/>
    <w:rsid w:val="00AF165B"/>
    <w:rsid w:val="00AF16C9"/>
    <w:rsid w:val="00AF3257"/>
    <w:rsid w:val="00AF4186"/>
    <w:rsid w:val="00B01969"/>
    <w:rsid w:val="00B04BED"/>
    <w:rsid w:val="00B06EDD"/>
    <w:rsid w:val="00B10470"/>
    <w:rsid w:val="00B10AEC"/>
    <w:rsid w:val="00B12515"/>
    <w:rsid w:val="00B1367C"/>
    <w:rsid w:val="00B16963"/>
    <w:rsid w:val="00B2044E"/>
    <w:rsid w:val="00B234B3"/>
    <w:rsid w:val="00B24FA2"/>
    <w:rsid w:val="00B27D31"/>
    <w:rsid w:val="00B30BB7"/>
    <w:rsid w:val="00B3130A"/>
    <w:rsid w:val="00B320FF"/>
    <w:rsid w:val="00B32B9E"/>
    <w:rsid w:val="00B32FB1"/>
    <w:rsid w:val="00B3348F"/>
    <w:rsid w:val="00B35AFE"/>
    <w:rsid w:val="00B40329"/>
    <w:rsid w:val="00B40B8D"/>
    <w:rsid w:val="00B4103B"/>
    <w:rsid w:val="00B432A2"/>
    <w:rsid w:val="00B45440"/>
    <w:rsid w:val="00B53BE1"/>
    <w:rsid w:val="00B5466A"/>
    <w:rsid w:val="00B546E5"/>
    <w:rsid w:val="00B54E07"/>
    <w:rsid w:val="00B565C8"/>
    <w:rsid w:val="00B56E68"/>
    <w:rsid w:val="00B575ED"/>
    <w:rsid w:val="00B57F78"/>
    <w:rsid w:val="00B62F9E"/>
    <w:rsid w:val="00B6326B"/>
    <w:rsid w:val="00B66F7A"/>
    <w:rsid w:val="00B67ED0"/>
    <w:rsid w:val="00B70E53"/>
    <w:rsid w:val="00B71451"/>
    <w:rsid w:val="00B74278"/>
    <w:rsid w:val="00B74705"/>
    <w:rsid w:val="00B74730"/>
    <w:rsid w:val="00B75149"/>
    <w:rsid w:val="00B803D6"/>
    <w:rsid w:val="00B83257"/>
    <w:rsid w:val="00B903E3"/>
    <w:rsid w:val="00B911C2"/>
    <w:rsid w:val="00B91DF8"/>
    <w:rsid w:val="00B93396"/>
    <w:rsid w:val="00B95300"/>
    <w:rsid w:val="00B9543E"/>
    <w:rsid w:val="00B9594C"/>
    <w:rsid w:val="00B96F03"/>
    <w:rsid w:val="00B9734C"/>
    <w:rsid w:val="00BA0B05"/>
    <w:rsid w:val="00BA1C6F"/>
    <w:rsid w:val="00BA314C"/>
    <w:rsid w:val="00BA6C1F"/>
    <w:rsid w:val="00BA6D21"/>
    <w:rsid w:val="00BB1E94"/>
    <w:rsid w:val="00BB57F4"/>
    <w:rsid w:val="00BB64DA"/>
    <w:rsid w:val="00BB7712"/>
    <w:rsid w:val="00BC177D"/>
    <w:rsid w:val="00BC1A41"/>
    <w:rsid w:val="00BC2114"/>
    <w:rsid w:val="00BC2908"/>
    <w:rsid w:val="00BC3FC3"/>
    <w:rsid w:val="00BC5224"/>
    <w:rsid w:val="00BC6BAB"/>
    <w:rsid w:val="00BC6FDF"/>
    <w:rsid w:val="00BC7AE4"/>
    <w:rsid w:val="00BC7D79"/>
    <w:rsid w:val="00BD02DD"/>
    <w:rsid w:val="00BD09E2"/>
    <w:rsid w:val="00BD4A4B"/>
    <w:rsid w:val="00BD4C27"/>
    <w:rsid w:val="00BD626E"/>
    <w:rsid w:val="00BD6E92"/>
    <w:rsid w:val="00BE05BB"/>
    <w:rsid w:val="00BE0CF7"/>
    <w:rsid w:val="00BE0F25"/>
    <w:rsid w:val="00BE207E"/>
    <w:rsid w:val="00BE274E"/>
    <w:rsid w:val="00BE336C"/>
    <w:rsid w:val="00BE4D2C"/>
    <w:rsid w:val="00BE5519"/>
    <w:rsid w:val="00BE7988"/>
    <w:rsid w:val="00BE7F6B"/>
    <w:rsid w:val="00BF0382"/>
    <w:rsid w:val="00BF082E"/>
    <w:rsid w:val="00BF0FC4"/>
    <w:rsid w:val="00BF1E0A"/>
    <w:rsid w:val="00BF27E9"/>
    <w:rsid w:val="00BF6F76"/>
    <w:rsid w:val="00C02978"/>
    <w:rsid w:val="00C034A9"/>
    <w:rsid w:val="00C03859"/>
    <w:rsid w:val="00C03DBF"/>
    <w:rsid w:val="00C04FA0"/>
    <w:rsid w:val="00C05E01"/>
    <w:rsid w:val="00C05E42"/>
    <w:rsid w:val="00C06075"/>
    <w:rsid w:val="00C063F1"/>
    <w:rsid w:val="00C078BD"/>
    <w:rsid w:val="00C13805"/>
    <w:rsid w:val="00C15CA6"/>
    <w:rsid w:val="00C16807"/>
    <w:rsid w:val="00C2025F"/>
    <w:rsid w:val="00C214FA"/>
    <w:rsid w:val="00C2167D"/>
    <w:rsid w:val="00C21BCC"/>
    <w:rsid w:val="00C228FA"/>
    <w:rsid w:val="00C23C07"/>
    <w:rsid w:val="00C2403A"/>
    <w:rsid w:val="00C24CC2"/>
    <w:rsid w:val="00C266D3"/>
    <w:rsid w:val="00C266DA"/>
    <w:rsid w:val="00C26FE9"/>
    <w:rsid w:val="00C27BD3"/>
    <w:rsid w:val="00C27D03"/>
    <w:rsid w:val="00C31095"/>
    <w:rsid w:val="00C31607"/>
    <w:rsid w:val="00C32321"/>
    <w:rsid w:val="00C32332"/>
    <w:rsid w:val="00C349F0"/>
    <w:rsid w:val="00C34A1E"/>
    <w:rsid w:val="00C3720B"/>
    <w:rsid w:val="00C41423"/>
    <w:rsid w:val="00C43335"/>
    <w:rsid w:val="00C4334F"/>
    <w:rsid w:val="00C43E9F"/>
    <w:rsid w:val="00C4434A"/>
    <w:rsid w:val="00C44974"/>
    <w:rsid w:val="00C44E9E"/>
    <w:rsid w:val="00C46098"/>
    <w:rsid w:val="00C46439"/>
    <w:rsid w:val="00C46B32"/>
    <w:rsid w:val="00C47A26"/>
    <w:rsid w:val="00C50E1F"/>
    <w:rsid w:val="00C516EC"/>
    <w:rsid w:val="00C53DC9"/>
    <w:rsid w:val="00C571A9"/>
    <w:rsid w:val="00C57A73"/>
    <w:rsid w:val="00C615A7"/>
    <w:rsid w:val="00C616BF"/>
    <w:rsid w:val="00C62C5D"/>
    <w:rsid w:val="00C64873"/>
    <w:rsid w:val="00C65A0A"/>
    <w:rsid w:val="00C66628"/>
    <w:rsid w:val="00C71BA5"/>
    <w:rsid w:val="00C73961"/>
    <w:rsid w:val="00C7422F"/>
    <w:rsid w:val="00C751BF"/>
    <w:rsid w:val="00C7651A"/>
    <w:rsid w:val="00C77280"/>
    <w:rsid w:val="00C812AA"/>
    <w:rsid w:val="00C81AD1"/>
    <w:rsid w:val="00C83111"/>
    <w:rsid w:val="00C84265"/>
    <w:rsid w:val="00C84ED5"/>
    <w:rsid w:val="00C9070B"/>
    <w:rsid w:val="00C94791"/>
    <w:rsid w:val="00C96465"/>
    <w:rsid w:val="00C96D0A"/>
    <w:rsid w:val="00CA001B"/>
    <w:rsid w:val="00CA01AD"/>
    <w:rsid w:val="00CA1A52"/>
    <w:rsid w:val="00CA2625"/>
    <w:rsid w:val="00CA3024"/>
    <w:rsid w:val="00CA3524"/>
    <w:rsid w:val="00CA3E46"/>
    <w:rsid w:val="00CA5475"/>
    <w:rsid w:val="00CA6FE3"/>
    <w:rsid w:val="00CB0E61"/>
    <w:rsid w:val="00CB19DA"/>
    <w:rsid w:val="00CB1BF5"/>
    <w:rsid w:val="00CB3AF4"/>
    <w:rsid w:val="00CB3F45"/>
    <w:rsid w:val="00CB40A0"/>
    <w:rsid w:val="00CB44F6"/>
    <w:rsid w:val="00CB51FF"/>
    <w:rsid w:val="00CB7F06"/>
    <w:rsid w:val="00CC0334"/>
    <w:rsid w:val="00CC1692"/>
    <w:rsid w:val="00CC1B8B"/>
    <w:rsid w:val="00CC1DF5"/>
    <w:rsid w:val="00CC3A59"/>
    <w:rsid w:val="00CC4253"/>
    <w:rsid w:val="00CC4804"/>
    <w:rsid w:val="00CC5133"/>
    <w:rsid w:val="00CC59AB"/>
    <w:rsid w:val="00CC5F27"/>
    <w:rsid w:val="00CC63FE"/>
    <w:rsid w:val="00CC7437"/>
    <w:rsid w:val="00CD1841"/>
    <w:rsid w:val="00CD20E1"/>
    <w:rsid w:val="00CD3BBB"/>
    <w:rsid w:val="00CD3C54"/>
    <w:rsid w:val="00CD492D"/>
    <w:rsid w:val="00CE3521"/>
    <w:rsid w:val="00CE3BC2"/>
    <w:rsid w:val="00CE5723"/>
    <w:rsid w:val="00CE6ED8"/>
    <w:rsid w:val="00CE74C3"/>
    <w:rsid w:val="00CF1168"/>
    <w:rsid w:val="00CF1C88"/>
    <w:rsid w:val="00CF3FC7"/>
    <w:rsid w:val="00CF4841"/>
    <w:rsid w:val="00CF5493"/>
    <w:rsid w:val="00CF67D8"/>
    <w:rsid w:val="00CF694E"/>
    <w:rsid w:val="00CF6BF4"/>
    <w:rsid w:val="00CF7DE9"/>
    <w:rsid w:val="00D01398"/>
    <w:rsid w:val="00D0189D"/>
    <w:rsid w:val="00D04528"/>
    <w:rsid w:val="00D050BA"/>
    <w:rsid w:val="00D05E32"/>
    <w:rsid w:val="00D06FC6"/>
    <w:rsid w:val="00D106A3"/>
    <w:rsid w:val="00D11CE7"/>
    <w:rsid w:val="00D12281"/>
    <w:rsid w:val="00D14D03"/>
    <w:rsid w:val="00D174F0"/>
    <w:rsid w:val="00D17707"/>
    <w:rsid w:val="00D26B1B"/>
    <w:rsid w:val="00D2713F"/>
    <w:rsid w:val="00D2772F"/>
    <w:rsid w:val="00D3079F"/>
    <w:rsid w:val="00D30C5E"/>
    <w:rsid w:val="00D3100A"/>
    <w:rsid w:val="00D312EB"/>
    <w:rsid w:val="00D3348F"/>
    <w:rsid w:val="00D3413F"/>
    <w:rsid w:val="00D3483B"/>
    <w:rsid w:val="00D3497A"/>
    <w:rsid w:val="00D373B0"/>
    <w:rsid w:val="00D40C75"/>
    <w:rsid w:val="00D40F22"/>
    <w:rsid w:val="00D4142C"/>
    <w:rsid w:val="00D4229B"/>
    <w:rsid w:val="00D42F0B"/>
    <w:rsid w:val="00D45C32"/>
    <w:rsid w:val="00D462AD"/>
    <w:rsid w:val="00D46FF7"/>
    <w:rsid w:val="00D47AD5"/>
    <w:rsid w:val="00D47D4C"/>
    <w:rsid w:val="00D518C3"/>
    <w:rsid w:val="00D51C09"/>
    <w:rsid w:val="00D532C6"/>
    <w:rsid w:val="00D5426B"/>
    <w:rsid w:val="00D5599A"/>
    <w:rsid w:val="00D55B21"/>
    <w:rsid w:val="00D569AD"/>
    <w:rsid w:val="00D605E5"/>
    <w:rsid w:val="00D62A8B"/>
    <w:rsid w:val="00D71595"/>
    <w:rsid w:val="00D71B33"/>
    <w:rsid w:val="00D72158"/>
    <w:rsid w:val="00D740F4"/>
    <w:rsid w:val="00D802FD"/>
    <w:rsid w:val="00D8162D"/>
    <w:rsid w:val="00D869C5"/>
    <w:rsid w:val="00D932E1"/>
    <w:rsid w:val="00D937A6"/>
    <w:rsid w:val="00D94A5A"/>
    <w:rsid w:val="00D95166"/>
    <w:rsid w:val="00D97721"/>
    <w:rsid w:val="00DA0427"/>
    <w:rsid w:val="00DA05B7"/>
    <w:rsid w:val="00DA127D"/>
    <w:rsid w:val="00DA266F"/>
    <w:rsid w:val="00DA26A7"/>
    <w:rsid w:val="00DA2928"/>
    <w:rsid w:val="00DA30E8"/>
    <w:rsid w:val="00DA3AE2"/>
    <w:rsid w:val="00DA3B33"/>
    <w:rsid w:val="00DA42A3"/>
    <w:rsid w:val="00DA5B4D"/>
    <w:rsid w:val="00DA7075"/>
    <w:rsid w:val="00DA74A2"/>
    <w:rsid w:val="00DB121B"/>
    <w:rsid w:val="00DB6664"/>
    <w:rsid w:val="00DB73FB"/>
    <w:rsid w:val="00DB7CD4"/>
    <w:rsid w:val="00DC0DBE"/>
    <w:rsid w:val="00DC429D"/>
    <w:rsid w:val="00DC6E17"/>
    <w:rsid w:val="00DC6F8F"/>
    <w:rsid w:val="00DD26B7"/>
    <w:rsid w:val="00DD35D4"/>
    <w:rsid w:val="00DD4DCA"/>
    <w:rsid w:val="00DD5181"/>
    <w:rsid w:val="00DD5CCB"/>
    <w:rsid w:val="00DD6003"/>
    <w:rsid w:val="00DD7B1D"/>
    <w:rsid w:val="00DE1A4C"/>
    <w:rsid w:val="00DE285A"/>
    <w:rsid w:val="00DE2F3F"/>
    <w:rsid w:val="00DE4AFA"/>
    <w:rsid w:val="00DE5417"/>
    <w:rsid w:val="00DE5630"/>
    <w:rsid w:val="00DE7227"/>
    <w:rsid w:val="00DE76FC"/>
    <w:rsid w:val="00DF3789"/>
    <w:rsid w:val="00DF3F22"/>
    <w:rsid w:val="00DF4241"/>
    <w:rsid w:val="00DF45B4"/>
    <w:rsid w:val="00DF4BAB"/>
    <w:rsid w:val="00DF5D14"/>
    <w:rsid w:val="00DF608E"/>
    <w:rsid w:val="00DF6CC5"/>
    <w:rsid w:val="00DF6DEE"/>
    <w:rsid w:val="00DF6FF1"/>
    <w:rsid w:val="00DF76E0"/>
    <w:rsid w:val="00E0139A"/>
    <w:rsid w:val="00E015A9"/>
    <w:rsid w:val="00E02883"/>
    <w:rsid w:val="00E04029"/>
    <w:rsid w:val="00E04242"/>
    <w:rsid w:val="00E10861"/>
    <w:rsid w:val="00E120BC"/>
    <w:rsid w:val="00E1376C"/>
    <w:rsid w:val="00E15635"/>
    <w:rsid w:val="00E16BEE"/>
    <w:rsid w:val="00E21B02"/>
    <w:rsid w:val="00E23869"/>
    <w:rsid w:val="00E26156"/>
    <w:rsid w:val="00E27323"/>
    <w:rsid w:val="00E3099D"/>
    <w:rsid w:val="00E333FB"/>
    <w:rsid w:val="00E3345C"/>
    <w:rsid w:val="00E36150"/>
    <w:rsid w:val="00E36F7B"/>
    <w:rsid w:val="00E40778"/>
    <w:rsid w:val="00E41FE9"/>
    <w:rsid w:val="00E4501A"/>
    <w:rsid w:val="00E4586E"/>
    <w:rsid w:val="00E45DE5"/>
    <w:rsid w:val="00E45DEB"/>
    <w:rsid w:val="00E464B9"/>
    <w:rsid w:val="00E469E8"/>
    <w:rsid w:val="00E46BFA"/>
    <w:rsid w:val="00E47194"/>
    <w:rsid w:val="00E477BE"/>
    <w:rsid w:val="00E47B62"/>
    <w:rsid w:val="00E51517"/>
    <w:rsid w:val="00E51F74"/>
    <w:rsid w:val="00E5403A"/>
    <w:rsid w:val="00E54533"/>
    <w:rsid w:val="00E55868"/>
    <w:rsid w:val="00E60C14"/>
    <w:rsid w:val="00E61815"/>
    <w:rsid w:val="00E63C50"/>
    <w:rsid w:val="00E653EB"/>
    <w:rsid w:val="00E65D86"/>
    <w:rsid w:val="00E66967"/>
    <w:rsid w:val="00E67E1C"/>
    <w:rsid w:val="00E70E2A"/>
    <w:rsid w:val="00E72C1A"/>
    <w:rsid w:val="00E745C5"/>
    <w:rsid w:val="00E74BBE"/>
    <w:rsid w:val="00E75451"/>
    <w:rsid w:val="00E763CD"/>
    <w:rsid w:val="00E76A0F"/>
    <w:rsid w:val="00E7711B"/>
    <w:rsid w:val="00E807D4"/>
    <w:rsid w:val="00E8114F"/>
    <w:rsid w:val="00E828F9"/>
    <w:rsid w:val="00E82B64"/>
    <w:rsid w:val="00E83E08"/>
    <w:rsid w:val="00E850A3"/>
    <w:rsid w:val="00E8528B"/>
    <w:rsid w:val="00E86A15"/>
    <w:rsid w:val="00E87034"/>
    <w:rsid w:val="00E90733"/>
    <w:rsid w:val="00E90F26"/>
    <w:rsid w:val="00E931A2"/>
    <w:rsid w:val="00E93D9A"/>
    <w:rsid w:val="00E96340"/>
    <w:rsid w:val="00EA38D5"/>
    <w:rsid w:val="00EA4363"/>
    <w:rsid w:val="00EA5409"/>
    <w:rsid w:val="00EA5F10"/>
    <w:rsid w:val="00EA5F30"/>
    <w:rsid w:val="00EA6EA0"/>
    <w:rsid w:val="00EA6F59"/>
    <w:rsid w:val="00EA789A"/>
    <w:rsid w:val="00EA7F85"/>
    <w:rsid w:val="00EB219C"/>
    <w:rsid w:val="00EB321E"/>
    <w:rsid w:val="00EB62A2"/>
    <w:rsid w:val="00EB64FC"/>
    <w:rsid w:val="00EB7B3E"/>
    <w:rsid w:val="00EC0FC7"/>
    <w:rsid w:val="00EC3466"/>
    <w:rsid w:val="00EC37C6"/>
    <w:rsid w:val="00EC3CEA"/>
    <w:rsid w:val="00EC744B"/>
    <w:rsid w:val="00EC778D"/>
    <w:rsid w:val="00EC7B5A"/>
    <w:rsid w:val="00ED0894"/>
    <w:rsid w:val="00ED1573"/>
    <w:rsid w:val="00ED1966"/>
    <w:rsid w:val="00ED419B"/>
    <w:rsid w:val="00ED4DA5"/>
    <w:rsid w:val="00ED5AAA"/>
    <w:rsid w:val="00ED5AF3"/>
    <w:rsid w:val="00ED6E55"/>
    <w:rsid w:val="00ED71E9"/>
    <w:rsid w:val="00ED7419"/>
    <w:rsid w:val="00EE050F"/>
    <w:rsid w:val="00EE067F"/>
    <w:rsid w:val="00EE081A"/>
    <w:rsid w:val="00EE1EB5"/>
    <w:rsid w:val="00EE243B"/>
    <w:rsid w:val="00EE2FB7"/>
    <w:rsid w:val="00EE60DB"/>
    <w:rsid w:val="00EE7E38"/>
    <w:rsid w:val="00EE7EEA"/>
    <w:rsid w:val="00EF1D7E"/>
    <w:rsid w:val="00EF2D5D"/>
    <w:rsid w:val="00EF39FC"/>
    <w:rsid w:val="00EF449C"/>
    <w:rsid w:val="00EF4CEE"/>
    <w:rsid w:val="00EF5638"/>
    <w:rsid w:val="00EF6801"/>
    <w:rsid w:val="00EF7F09"/>
    <w:rsid w:val="00F016CA"/>
    <w:rsid w:val="00F01E4F"/>
    <w:rsid w:val="00F04143"/>
    <w:rsid w:val="00F0482C"/>
    <w:rsid w:val="00F0740D"/>
    <w:rsid w:val="00F07750"/>
    <w:rsid w:val="00F07780"/>
    <w:rsid w:val="00F106C0"/>
    <w:rsid w:val="00F10988"/>
    <w:rsid w:val="00F10A86"/>
    <w:rsid w:val="00F12149"/>
    <w:rsid w:val="00F13587"/>
    <w:rsid w:val="00F16387"/>
    <w:rsid w:val="00F203C7"/>
    <w:rsid w:val="00F210E0"/>
    <w:rsid w:val="00F21646"/>
    <w:rsid w:val="00F21917"/>
    <w:rsid w:val="00F27A4B"/>
    <w:rsid w:val="00F27BB1"/>
    <w:rsid w:val="00F31BEE"/>
    <w:rsid w:val="00F32B0E"/>
    <w:rsid w:val="00F33DC4"/>
    <w:rsid w:val="00F35946"/>
    <w:rsid w:val="00F359C0"/>
    <w:rsid w:val="00F37DBE"/>
    <w:rsid w:val="00F421EA"/>
    <w:rsid w:val="00F430AC"/>
    <w:rsid w:val="00F462D5"/>
    <w:rsid w:val="00F46975"/>
    <w:rsid w:val="00F477B9"/>
    <w:rsid w:val="00F51502"/>
    <w:rsid w:val="00F53604"/>
    <w:rsid w:val="00F54A39"/>
    <w:rsid w:val="00F54B2D"/>
    <w:rsid w:val="00F54BBB"/>
    <w:rsid w:val="00F55625"/>
    <w:rsid w:val="00F55FAE"/>
    <w:rsid w:val="00F60171"/>
    <w:rsid w:val="00F6086F"/>
    <w:rsid w:val="00F613FA"/>
    <w:rsid w:val="00F6631F"/>
    <w:rsid w:val="00F72112"/>
    <w:rsid w:val="00F723D6"/>
    <w:rsid w:val="00F724AB"/>
    <w:rsid w:val="00F77E87"/>
    <w:rsid w:val="00F804E3"/>
    <w:rsid w:val="00F806A9"/>
    <w:rsid w:val="00F81620"/>
    <w:rsid w:val="00F8217F"/>
    <w:rsid w:val="00F83113"/>
    <w:rsid w:val="00F83C22"/>
    <w:rsid w:val="00F84521"/>
    <w:rsid w:val="00F87451"/>
    <w:rsid w:val="00F906AB"/>
    <w:rsid w:val="00F91766"/>
    <w:rsid w:val="00F91A6E"/>
    <w:rsid w:val="00F96B7D"/>
    <w:rsid w:val="00FA0537"/>
    <w:rsid w:val="00FA25EA"/>
    <w:rsid w:val="00FA2ECA"/>
    <w:rsid w:val="00FA2FA8"/>
    <w:rsid w:val="00FA65E5"/>
    <w:rsid w:val="00FA6A63"/>
    <w:rsid w:val="00FB1348"/>
    <w:rsid w:val="00FB1EA0"/>
    <w:rsid w:val="00FB2144"/>
    <w:rsid w:val="00FB2DA4"/>
    <w:rsid w:val="00FB45C2"/>
    <w:rsid w:val="00FB5FCF"/>
    <w:rsid w:val="00FB6B51"/>
    <w:rsid w:val="00FC1E49"/>
    <w:rsid w:val="00FC2786"/>
    <w:rsid w:val="00FC36CB"/>
    <w:rsid w:val="00FC3779"/>
    <w:rsid w:val="00FC400D"/>
    <w:rsid w:val="00FC58AA"/>
    <w:rsid w:val="00FC7979"/>
    <w:rsid w:val="00FC7CE2"/>
    <w:rsid w:val="00FD1489"/>
    <w:rsid w:val="00FD15A5"/>
    <w:rsid w:val="00FD2169"/>
    <w:rsid w:val="00FD245E"/>
    <w:rsid w:val="00FD24D9"/>
    <w:rsid w:val="00FD2B4A"/>
    <w:rsid w:val="00FD43CA"/>
    <w:rsid w:val="00FD4B6C"/>
    <w:rsid w:val="00FD7C6C"/>
    <w:rsid w:val="00FE1CB9"/>
    <w:rsid w:val="00FE54A8"/>
    <w:rsid w:val="00FE6741"/>
    <w:rsid w:val="00FE6B1A"/>
    <w:rsid w:val="00FF06F9"/>
    <w:rsid w:val="00FF0FB4"/>
    <w:rsid w:val="00FF1A88"/>
    <w:rsid w:val="00FF2B2A"/>
    <w:rsid w:val="00FF2B97"/>
    <w:rsid w:val="00FF4EE6"/>
    <w:rsid w:val="00FF683E"/>
    <w:rsid w:val="02AC21EF"/>
    <w:rsid w:val="039520FF"/>
    <w:rsid w:val="05665582"/>
    <w:rsid w:val="05976EAE"/>
    <w:rsid w:val="05C24554"/>
    <w:rsid w:val="07731EDA"/>
    <w:rsid w:val="099D0555"/>
    <w:rsid w:val="09C32C91"/>
    <w:rsid w:val="0A1B5FEF"/>
    <w:rsid w:val="0BA66D62"/>
    <w:rsid w:val="0BCB5EA3"/>
    <w:rsid w:val="0C0E3597"/>
    <w:rsid w:val="0C931F95"/>
    <w:rsid w:val="0CAD1EB9"/>
    <w:rsid w:val="0D674401"/>
    <w:rsid w:val="0DAF4280"/>
    <w:rsid w:val="0E1C2D6A"/>
    <w:rsid w:val="0EEE740C"/>
    <w:rsid w:val="0F2B39CE"/>
    <w:rsid w:val="10E55ACF"/>
    <w:rsid w:val="125F1383"/>
    <w:rsid w:val="13514332"/>
    <w:rsid w:val="13D568D2"/>
    <w:rsid w:val="140F75D9"/>
    <w:rsid w:val="143B0521"/>
    <w:rsid w:val="15083691"/>
    <w:rsid w:val="153B77D5"/>
    <w:rsid w:val="15CF287D"/>
    <w:rsid w:val="15E63A87"/>
    <w:rsid w:val="16BB7C80"/>
    <w:rsid w:val="17123359"/>
    <w:rsid w:val="1830306E"/>
    <w:rsid w:val="19C849CE"/>
    <w:rsid w:val="19FD06CD"/>
    <w:rsid w:val="1A3C1E2C"/>
    <w:rsid w:val="1A4E3859"/>
    <w:rsid w:val="1A86500A"/>
    <w:rsid w:val="1AE0418B"/>
    <w:rsid w:val="1D7A632D"/>
    <w:rsid w:val="1FCA4D25"/>
    <w:rsid w:val="204422FA"/>
    <w:rsid w:val="20A05C98"/>
    <w:rsid w:val="20BB3499"/>
    <w:rsid w:val="230E74F1"/>
    <w:rsid w:val="23A47824"/>
    <w:rsid w:val="241F2F69"/>
    <w:rsid w:val="24D9009C"/>
    <w:rsid w:val="25763021"/>
    <w:rsid w:val="2609649A"/>
    <w:rsid w:val="26CB37BE"/>
    <w:rsid w:val="26D67F7E"/>
    <w:rsid w:val="274E4D1E"/>
    <w:rsid w:val="2877731E"/>
    <w:rsid w:val="2A3744FF"/>
    <w:rsid w:val="2AEE2D02"/>
    <w:rsid w:val="2B26546E"/>
    <w:rsid w:val="2D866FA3"/>
    <w:rsid w:val="2EB879E5"/>
    <w:rsid w:val="2F1E6060"/>
    <w:rsid w:val="2FD10999"/>
    <w:rsid w:val="30374942"/>
    <w:rsid w:val="3085143A"/>
    <w:rsid w:val="322E7015"/>
    <w:rsid w:val="32ED03C5"/>
    <w:rsid w:val="33564463"/>
    <w:rsid w:val="34622BDD"/>
    <w:rsid w:val="35EE5CF5"/>
    <w:rsid w:val="364A375A"/>
    <w:rsid w:val="3715117B"/>
    <w:rsid w:val="37630ECD"/>
    <w:rsid w:val="387D37A3"/>
    <w:rsid w:val="398F7CEC"/>
    <w:rsid w:val="39A04D1C"/>
    <w:rsid w:val="3A516C8C"/>
    <w:rsid w:val="3ABF7DB8"/>
    <w:rsid w:val="3B113C3B"/>
    <w:rsid w:val="3B7E764C"/>
    <w:rsid w:val="3B9B7893"/>
    <w:rsid w:val="3C0D5E73"/>
    <w:rsid w:val="3C676CE6"/>
    <w:rsid w:val="3CBB230F"/>
    <w:rsid w:val="3F096D2E"/>
    <w:rsid w:val="403149C0"/>
    <w:rsid w:val="41F15D6D"/>
    <w:rsid w:val="42006E76"/>
    <w:rsid w:val="427416F1"/>
    <w:rsid w:val="43A33451"/>
    <w:rsid w:val="44422A0A"/>
    <w:rsid w:val="453D7759"/>
    <w:rsid w:val="454978E5"/>
    <w:rsid w:val="45EB52C6"/>
    <w:rsid w:val="462B0EDE"/>
    <w:rsid w:val="47B94258"/>
    <w:rsid w:val="481F6E5A"/>
    <w:rsid w:val="482B6C56"/>
    <w:rsid w:val="49443B51"/>
    <w:rsid w:val="494729C5"/>
    <w:rsid w:val="4A867329"/>
    <w:rsid w:val="4B43165C"/>
    <w:rsid w:val="4CF367EF"/>
    <w:rsid w:val="4F0048AD"/>
    <w:rsid w:val="4F40507F"/>
    <w:rsid w:val="4F587AFF"/>
    <w:rsid w:val="50B64FC6"/>
    <w:rsid w:val="527D382B"/>
    <w:rsid w:val="53D1760A"/>
    <w:rsid w:val="55067C5E"/>
    <w:rsid w:val="55170CA3"/>
    <w:rsid w:val="554B526C"/>
    <w:rsid w:val="55B45C20"/>
    <w:rsid w:val="567F61D4"/>
    <w:rsid w:val="57EC2A1F"/>
    <w:rsid w:val="5BA87554"/>
    <w:rsid w:val="5C97125A"/>
    <w:rsid w:val="5DC22E30"/>
    <w:rsid w:val="61823FF6"/>
    <w:rsid w:val="61BE7C55"/>
    <w:rsid w:val="61E25AA6"/>
    <w:rsid w:val="629B7BA9"/>
    <w:rsid w:val="63CD2A95"/>
    <w:rsid w:val="63DC5AE3"/>
    <w:rsid w:val="63FB32A6"/>
    <w:rsid w:val="63FE2AAA"/>
    <w:rsid w:val="654410EF"/>
    <w:rsid w:val="65866453"/>
    <w:rsid w:val="668B4989"/>
    <w:rsid w:val="669663D4"/>
    <w:rsid w:val="693E3352"/>
    <w:rsid w:val="698B39FA"/>
    <w:rsid w:val="69C04ABB"/>
    <w:rsid w:val="6A5A2C65"/>
    <w:rsid w:val="6ACE4D37"/>
    <w:rsid w:val="6B8241CB"/>
    <w:rsid w:val="6C1B5505"/>
    <w:rsid w:val="6C2814C5"/>
    <w:rsid w:val="6C9F7CC3"/>
    <w:rsid w:val="6D297180"/>
    <w:rsid w:val="6DD65823"/>
    <w:rsid w:val="6E0B6FB0"/>
    <w:rsid w:val="6E9762B3"/>
    <w:rsid w:val="6EBA5633"/>
    <w:rsid w:val="6F2F2654"/>
    <w:rsid w:val="70A951B1"/>
    <w:rsid w:val="721674E4"/>
    <w:rsid w:val="72407585"/>
    <w:rsid w:val="72FD1467"/>
    <w:rsid w:val="735A5B70"/>
    <w:rsid w:val="7396760B"/>
    <w:rsid w:val="74966354"/>
    <w:rsid w:val="74B557D5"/>
    <w:rsid w:val="754035D8"/>
    <w:rsid w:val="756F749D"/>
    <w:rsid w:val="759F2FBC"/>
    <w:rsid w:val="76061EED"/>
    <w:rsid w:val="76104767"/>
    <w:rsid w:val="7643053B"/>
    <w:rsid w:val="77667C2A"/>
    <w:rsid w:val="783D5AAA"/>
    <w:rsid w:val="7855512E"/>
    <w:rsid w:val="78FC7A20"/>
    <w:rsid w:val="79184670"/>
    <w:rsid w:val="79AF2A5A"/>
    <w:rsid w:val="7A3D18A8"/>
    <w:rsid w:val="7A996452"/>
    <w:rsid w:val="7B0A6242"/>
    <w:rsid w:val="7B4D1255"/>
    <w:rsid w:val="7B7E1B28"/>
    <w:rsid w:val="7C306209"/>
    <w:rsid w:val="7C5D165F"/>
    <w:rsid w:val="7C5E2341"/>
    <w:rsid w:val="7D5B5F3F"/>
    <w:rsid w:val="7EE125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19"/>
    <w:qFormat/>
    <w:uiPriority w:val="1"/>
    <w:pPr>
      <w:autoSpaceDE w:val="0"/>
      <w:autoSpaceDN w:val="0"/>
      <w:adjustRightInd w:val="0"/>
      <w:spacing w:before="17"/>
      <w:ind w:left="1144"/>
      <w:jc w:val="left"/>
      <w:outlineLvl w:val="0"/>
    </w:pPr>
    <w:rPr>
      <w:rFonts w:ascii="黑体" w:hAnsi="Times New Roman" w:eastAsia="黑体"/>
      <w:b/>
      <w:bCs/>
      <w:kern w:val="0"/>
      <w:sz w:val="36"/>
      <w:szCs w:val="36"/>
    </w:rPr>
  </w:style>
  <w:style w:type="paragraph" w:styleId="4">
    <w:name w:val="heading 2"/>
    <w:basedOn w:val="1"/>
    <w:next w:val="1"/>
    <w:link w:val="20"/>
    <w:qFormat/>
    <w:uiPriority w:val="9"/>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link w:val="21"/>
    <w:qFormat/>
    <w:uiPriority w:val="1"/>
    <w:pPr>
      <w:autoSpaceDE w:val="0"/>
      <w:autoSpaceDN w:val="0"/>
      <w:adjustRightInd w:val="0"/>
      <w:spacing w:before="34"/>
      <w:ind w:left="120"/>
      <w:jc w:val="left"/>
      <w:outlineLvl w:val="2"/>
    </w:pPr>
    <w:rPr>
      <w:rFonts w:ascii="宋体" w:hAnsi="Times New Roman"/>
      <w:b/>
      <w:bCs/>
      <w:kern w:val="0"/>
      <w:sz w:val="20"/>
      <w:szCs w:val="21"/>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23"/>
    <w:qFormat/>
    <w:uiPriority w:val="1"/>
    <w:pPr>
      <w:autoSpaceDE w:val="0"/>
      <w:autoSpaceDN w:val="0"/>
      <w:adjustRightInd w:val="0"/>
      <w:spacing w:before="162"/>
      <w:ind w:left="120"/>
      <w:jc w:val="left"/>
    </w:pPr>
    <w:rPr>
      <w:rFonts w:ascii="宋体" w:hAnsi="Times New Roman"/>
      <w:kern w:val="0"/>
      <w:sz w:val="20"/>
      <w:szCs w:val="21"/>
    </w:rPr>
  </w:style>
  <w:style w:type="paragraph" w:styleId="6">
    <w:name w:val="annotation text"/>
    <w:basedOn w:val="1"/>
    <w:link w:val="22"/>
    <w:unhideWhenUsed/>
    <w:qFormat/>
    <w:uiPriority w:val="99"/>
    <w:pPr>
      <w:jc w:val="left"/>
    </w:pPr>
  </w:style>
  <w:style w:type="paragraph" w:styleId="7">
    <w:name w:val="Date"/>
    <w:basedOn w:val="1"/>
    <w:next w:val="1"/>
    <w:link w:val="24"/>
    <w:unhideWhenUsed/>
    <w:qFormat/>
    <w:uiPriority w:val="99"/>
    <w:pPr>
      <w:ind w:left="100" w:leftChars="2500"/>
    </w:pPr>
  </w:style>
  <w:style w:type="paragraph" w:styleId="8">
    <w:name w:val="Balloon Text"/>
    <w:basedOn w:val="1"/>
    <w:link w:val="25"/>
    <w:unhideWhenUsed/>
    <w:qFormat/>
    <w:uiPriority w:val="99"/>
    <w:rPr>
      <w:kern w:val="0"/>
      <w:sz w:val="18"/>
      <w:szCs w:val="18"/>
    </w:rPr>
  </w:style>
  <w:style w:type="paragraph" w:styleId="9">
    <w:name w:val="footer"/>
    <w:basedOn w:val="1"/>
    <w:link w:val="26"/>
    <w:unhideWhenUsed/>
    <w:qFormat/>
    <w:uiPriority w:val="99"/>
    <w:pPr>
      <w:tabs>
        <w:tab w:val="center" w:pos="4153"/>
        <w:tab w:val="right" w:pos="8306"/>
      </w:tabs>
      <w:snapToGrid w:val="0"/>
      <w:jc w:val="left"/>
    </w:pPr>
    <w:rPr>
      <w:kern w:val="0"/>
      <w:sz w:val="18"/>
      <w:szCs w:val="18"/>
    </w:rPr>
  </w:style>
  <w:style w:type="paragraph" w:styleId="10">
    <w:name w:val="header"/>
    <w:basedOn w:val="1"/>
    <w:link w:val="2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6"/>
    <w:next w:val="6"/>
    <w:link w:val="28"/>
    <w:unhideWhenUsed/>
    <w:qFormat/>
    <w:uiPriority w:val="99"/>
    <w:rPr>
      <w:b/>
      <w:bCs/>
    </w:rPr>
  </w:style>
  <w:style w:type="table" w:styleId="14">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22"/>
    <w:rPr>
      <w:b/>
      <w:bCs/>
    </w:rPr>
  </w:style>
  <w:style w:type="character" w:styleId="17">
    <w:name w:val="Hyperlink"/>
    <w:unhideWhenUsed/>
    <w:qFormat/>
    <w:uiPriority w:val="99"/>
    <w:rPr>
      <w:color w:val="0000FF"/>
      <w:u w:val="single"/>
    </w:rPr>
  </w:style>
  <w:style w:type="character" w:styleId="18">
    <w:name w:val="annotation reference"/>
    <w:unhideWhenUsed/>
    <w:qFormat/>
    <w:uiPriority w:val="99"/>
    <w:rPr>
      <w:sz w:val="21"/>
      <w:szCs w:val="21"/>
    </w:rPr>
  </w:style>
  <w:style w:type="character" w:customStyle="1" w:styleId="19">
    <w:name w:val="标题 1 Char"/>
    <w:link w:val="3"/>
    <w:qFormat/>
    <w:uiPriority w:val="1"/>
    <w:rPr>
      <w:rFonts w:ascii="黑体" w:hAnsi="Times New Roman" w:eastAsia="黑体" w:cs="黑体"/>
      <w:b/>
      <w:bCs/>
      <w:kern w:val="0"/>
      <w:sz w:val="36"/>
      <w:szCs w:val="36"/>
    </w:rPr>
  </w:style>
  <w:style w:type="character" w:customStyle="1" w:styleId="20">
    <w:name w:val="标题 2 Char"/>
    <w:link w:val="4"/>
    <w:qFormat/>
    <w:uiPriority w:val="9"/>
    <w:rPr>
      <w:rFonts w:ascii="Cambria" w:hAnsi="Cambria" w:eastAsia="宋体" w:cs="Times New Roman"/>
      <w:b/>
      <w:bCs/>
      <w:sz w:val="32"/>
      <w:szCs w:val="32"/>
    </w:rPr>
  </w:style>
  <w:style w:type="character" w:customStyle="1" w:styleId="21">
    <w:name w:val="标题 3 Char"/>
    <w:link w:val="5"/>
    <w:qFormat/>
    <w:uiPriority w:val="1"/>
    <w:rPr>
      <w:rFonts w:ascii="宋体" w:hAnsi="Times New Roman" w:eastAsia="宋体" w:cs="宋体"/>
      <w:b/>
      <w:bCs/>
      <w:kern w:val="0"/>
      <w:szCs w:val="21"/>
    </w:rPr>
  </w:style>
  <w:style w:type="character" w:customStyle="1" w:styleId="22">
    <w:name w:val="批注文字 Char"/>
    <w:link w:val="6"/>
    <w:qFormat/>
    <w:uiPriority w:val="99"/>
    <w:rPr>
      <w:kern w:val="2"/>
      <w:sz w:val="21"/>
      <w:szCs w:val="22"/>
    </w:rPr>
  </w:style>
  <w:style w:type="character" w:customStyle="1" w:styleId="23">
    <w:name w:val="正文文本 Char"/>
    <w:link w:val="2"/>
    <w:qFormat/>
    <w:uiPriority w:val="1"/>
    <w:rPr>
      <w:rFonts w:ascii="宋体" w:hAnsi="Times New Roman" w:eastAsia="宋体" w:cs="宋体"/>
      <w:kern w:val="0"/>
      <w:szCs w:val="21"/>
    </w:rPr>
  </w:style>
  <w:style w:type="character" w:customStyle="1" w:styleId="24">
    <w:name w:val="日期 Char"/>
    <w:link w:val="7"/>
    <w:semiHidden/>
    <w:qFormat/>
    <w:uiPriority w:val="99"/>
  </w:style>
  <w:style w:type="character" w:customStyle="1" w:styleId="25">
    <w:name w:val="批注框文本 Char"/>
    <w:link w:val="8"/>
    <w:semiHidden/>
    <w:qFormat/>
    <w:uiPriority w:val="99"/>
    <w:rPr>
      <w:sz w:val="18"/>
      <w:szCs w:val="18"/>
    </w:rPr>
  </w:style>
  <w:style w:type="character" w:customStyle="1" w:styleId="26">
    <w:name w:val="页脚 Char"/>
    <w:link w:val="9"/>
    <w:qFormat/>
    <w:uiPriority w:val="99"/>
    <w:rPr>
      <w:sz w:val="18"/>
      <w:szCs w:val="18"/>
    </w:rPr>
  </w:style>
  <w:style w:type="character" w:customStyle="1" w:styleId="27">
    <w:name w:val="页眉 Char"/>
    <w:link w:val="10"/>
    <w:qFormat/>
    <w:uiPriority w:val="99"/>
    <w:rPr>
      <w:sz w:val="18"/>
      <w:szCs w:val="18"/>
    </w:rPr>
  </w:style>
  <w:style w:type="character" w:customStyle="1" w:styleId="28">
    <w:name w:val="批注主题 Char"/>
    <w:link w:val="12"/>
    <w:semiHidden/>
    <w:qFormat/>
    <w:uiPriority w:val="99"/>
    <w:rPr>
      <w:b/>
      <w:bCs/>
      <w:kern w:val="2"/>
      <w:sz w:val="21"/>
      <w:szCs w:val="22"/>
    </w:rPr>
  </w:style>
  <w:style w:type="paragraph" w:customStyle="1" w:styleId="2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30">
    <w:name w:val="List Paragraph"/>
    <w:basedOn w:val="1"/>
    <w:qFormat/>
    <w:uiPriority w:val="72"/>
    <w:pPr>
      <w:ind w:firstLine="420" w:firstLineChars="200"/>
    </w:pPr>
  </w:style>
  <w:style w:type="paragraph" w:customStyle="1" w:styleId="31">
    <w:name w:val="_Style 30"/>
    <w:semiHidden/>
    <w:qFormat/>
    <w:uiPriority w:val="99"/>
    <w:rPr>
      <w:rFonts w:ascii="Times New Roman" w:hAnsi="Times New Roman" w:eastAsia="宋体" w:cs="Times New Roman"/>
      <w:kern w:val="2"/>
      <w:sz w:val="21"/>
      <w:szCs w:val="22"/>
      <w:lang w:val="en-US" w:eastAsia="zh-CN" w:bidi="ar-SA"/>
    </w:rPr>
  </w:style>
  <w:style w:type="paragraph" w:customStyle="1" w:styleId="32">
    <w:name w:val="Table Paragraph"/>
    <w:basedOn w:val="1"/>
    <w:qFormat/>
    <w:uiPriority w:val="1"/>
    <w:pPr>
      <w:autoSpaceDE w:val="0"/>
      <w:autoSpaceDN w:val="0"/>
      <w:adjustRightInd w:val="0"/>
      <w:jc w:val="left"/>
    </w:pPr>
    <w:rPr>
      <w:rFonts w:ascii="Times New Roman" w:hAnsi="Times New Roman"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593</Words>
  <Characters>631</Characters>
  <Lines>2</Lines>
  <Paragraphs>1</Paragraphs>
  <TotalTime>0</TotalTime>
  <ScaleCrop>false</ScaleCrop>
  <LinksUpToDate>false</LinksUpToDate>
  <CharactersWithSpaces>631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2021-11-25T11:20:00Z</dcterms:created>
  <dc:creator>JSYH</dc:creator>
  <cp:lastModifiedBy>jsyh</cp:lastModifiedBy>
  <cp:lastPrinted>2022-06-20T06:27:00Z</cp:lastPrinted>
  <dcterms:modified xsi:type="dcterms:W3CDTF">2026-06-16T08:55:26Z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561CAE7336EE4AE481743EA6D29CCF82</vt:lpwstr>
  </property>
</Properties>
</file>