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spacing w:before="0" w:beforeAutospacing="0" w:after="0" w:afterAutospacing="0"/>
        <w:jc w:val="center"/>
        <w:rPr>
          <w:rFonts w:ascii="楷体" w:eastAsia="楷体" w:hAnsi="楷体" w:cs="Times New Roman"/>
          <w:b/>
          <w:sz w:val="36"/>
          <w:szCs w:val="36"/>
        </w:rPr>
      </w:pPr>
      <w:r>
        <w:rPr>
          <w:rFonts w:ascii="楷体" w:eastAsia="楷体" w:hAnsi="楷体" w:cs="Times New Roman" w:hint="eastAsia"/>
          <w:b/>
          <w:sz w:val="36"/>
          <w:szCs w:val="36"/>
        </w:rPr>
        <w:t xml:space="preserve">“</w:t>
      </w:r>
      <w:r>
        <w:rPr>
          <w:rFonts w:ascii="楷体" w:eastAsia="楷体" w:hAnsi="楷体" w:cs="楷体" w:hint="eastAsia"/>
          <w:b/>
          <w:bCs/>
          <w:spacing w:val="-1"/>
          <w:sz w:val="36"/>
          <w:szCs w:val="36"/>
        </w:rPr>
        <w:t xml:space="preserve">苏银理财恒源封闭债权306期</w:t>
      </w:r>
      <w:r>
        <w:rPr>
          <w:rFonts w:ascii="楷体" w:eastAsia="楷体" w:hAnsi="楷体" w:cs="Times New Roman" w:hint="eastAsia"/>
          <w:b/>
          <w:sz w:val="36"/>
          <w:szCs w:val="36"/>
        </w:rPr>
        <w:t xml:space="preserve">”理财产品非标准化债权类资产变动公告</w:t>
      </w:r>
    </w:p>
    <w:p>
      <w:pPr>
        <w:pStyle w:val="Normal(Web)"/>
        <w:spacing w:before="0" w:beforeAutospacing="0" w:after="0" w:afterAutospacing="0" w:line="360" w:lineRule="auto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</w:rPr>
        <w:t xml:space="preserve">尊敬的投资者：</w:t>
      </w: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</w:rPr>
        <w:t xml:space="preserve">“</w:t>
      </w:r>
      <w:r>
        <w:rPr>
          <w:rFonts w:ascii="楷体" w:eastAsia="楷体" w:hAnsi="楷体" w:cs="楷体" w:hint="eastAsia"/>
          <w:b w:val="0"/>
          <w:bCs w:val="0"/>
          <w:spacing w:val="-1"/>
          <w:sz w:val="24"/>
          <w:szCs w:val="24"/>
        </w:rPr>
        <w:t xml:space="preserve">苏银理财恒源封闭债权306期</w:t>
      </w:r>
      <w:r>
        <w:rPr>
          <w:rFonts w:ascii="楷体" w:eastAsia="楷体" w:hAnsi="楷体" w:cs="Times New Roman" w:hint="eastAsia"/>
        </w:rPr>
        <w:t xml:space="preserve">”理财产品</w:t>
      </w:r>
      <w:r>
        <w:rPr>
          <w:rFonts w:ascii="楷体" w:eastAsia="楷体" w:hAnsi="楷体" w:cs="Times New Roman" w:hint="eastAsia"/>
          <w:lang w:val="en-US" w:eastAsia="zh-CN"/>
        </w:rPr>
        <w:t xml:space="preserve">发生非标准化债权类资产变动，具体情况如下：</w:t>
      </w:r>
    </w:p>
    <w:p>
      <w:pPr>
        <w:pStyle w:val="Heading3"/>
        <w:rPr>
          <w:rFonts w:ascii="楷体" w:hAnsi="楷体"/>
        </w:rPr>
      </w:pPr>
      <w:r>
        <w:rPr>
          <w:rFonts w:ascii="楷体" w:hAnsi="楷体" w:hint="eastAsia"/>
        </w:rPr>
        <w:t xml:space="preserve">一</w:t>
      </w:r>
      <w:bookmarkStart w:id="0" w:name="_Toc535504139"/>
      <w:r>
        <w:rPr>
          <w:rFonts w:ascii="楷体" w:hAnsi="楷体" w:hint="eastAsia"/>
        </w:rPr>
        <w:t xml:space="preserve">、产品基本情况</w:t>
      </w:r>
      <w:bookmarkEnd w:id="0"/>
    </w:p>
    <w:tbl>
      <w:tblPr>
        <w:tblStyle w:val="TableNormal"/>
        <w:tblW w:w="86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4473"/>
        <w:gridCol w:w="4148"/>
      </w:tblGrid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/>
        </w:trPr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产品名称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苏银理财恒源封闭债权306期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全国银行业理财信息登记系统登记编码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pacing w:val="-1"/>
                <w:sz w:val="24"/>
                <w:szCs w:val="24"/>
              </w:rPr>
              <w:t xml:space="preserve">Z7003126000184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 w:hint="default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销售代码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J20371、J20372、J20373、J20374、J20375、J20376、J20377、J20378、J20379、J20380、J20381、J20382、J20383、J20384、J20385、J20386、J20387、J20388、J20389、J20391、J20392、J20393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产品</w:t>
            </w: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成立日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2026-06-10</w:t>
            </w:r>
          </w:p>
        </w:tc>
      </w:tr>
      <w:tr>
        <w:tblPrEx>
          <w:tblW w:w="862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楷体" w:eastAsia="楷体" w:hAnsi="楷体" w:hint="default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非标准化债权类资产变动日期</w:t>
            </w:r>
          </w:p>
        </w:tc>
        <w:tc>
          <w:tcPr>
            <w:tcW w:w="4148" w:type="dxa"/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spacing w:val="-1"/>
                <w:sz w:val="24"/>
                <w:szCs w:val="24"/>
              </w:rPr>
              <w:t xml:space="preserve">2026-06-16</w:t>
            </w:r>
          </w:p>
        </w:tc>
      </w:tr>
    </w:tbl>
    <w:p>
      <w:pPr>
        <w:pStyle w:val="标题4"/>
        <w:rPr>
          <w:rFonts w:ascii="楷体" w:hAnsi="楷体"/>
        </w:rPr>
      </w:pPr>
    </w:p>
    <w:p>
      <w:pPr>
        <w:pStyle w:val="Heading3"/>
        <w:rPr>
          <w:rFonts w:ascii="楷体" w:hAnsi="楷体" w:hint="default"/>
          <w:lang w:val="en-US" w:eastAsia="zh-CN"/>
        </w:rPr>
      </w:pPr>
      <w:r>
        <w:rPr>
          <w:rFonts w:ascii="楷体" w:hAnsi="楷体" w:hint="eastAsia"/>
          <w:lang w:val="en-US" w:eastAsia="zh-CN"/>
        </w:rPr>
        <w:t xml:space="preserve">二、增加的非标准化债权类资产明细</w:t>
      </w:r>
    </w:p>
    <w:tbl>
      <w:tblPr>
        <w:tblStyle w:val="TableNormal"/>
        <w:tblW w:w="87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78"/>
        <w:gridCol w:w="1824"/>
        <w:gridCol w:w="1410"/>
        <w:gridCol w:w="1245"/>
        <w:gridCol w:w="1335"/>
        <w:gridCol w:w="1080"/>
        <w:gridCol w:w="855"/>
      </w:tblGrid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序号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融资客户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项目名称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剩余融资期限（天）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到期分配方式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交易结构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风险状况</w:t>
            </w:r>
          </w:p>
        </w:tc>
      </w:tr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2"/>
                <w:szCs w:val="24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pacing w:val="-2"/>
                <w:sz w:val="20"/>
                <w:szCs w:val="20"/>
              </w:rPr>
              <w:t xml:space="preserve"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 w:hint="eastAsia"/>
                <w:sz w:val="22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蚂蚁消费贷款资产借款人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中信信托-惠澜1号集合资金信托计划-第4期-蚂蚁借呗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367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循环期不还本不付息，摊还期按月摊还本息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投资信托计划产品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正常</w:t>
            </w:r>
          </w:p>
        </w:tc>
      </w:tr>
    </w:tbl>
    <w:p>
      <w:pPr>
        <w:pStyle w:val="标题4"/>
        <w:rPr>
          <w:rFonts w:ascii="楷体" w:hAnsi="楷体"/>
        </w:rPr>
      </w:pPr>
    </w:p>
    <w:p>
      <w:pPr>
        <w:pStyle w:val="Heading3"/>
        <w:numPr>
          <w:ilvl w:val="0"/>
          <w:numId w:val="3"/>
        </w:numPr>
        <w:rPr>
          <w:rFonts w:ascii="楷体" w:hAnsi="楷体" w:hint="eastAsia"/>
          <w:lang w:val="en-US" w:eastAsia="zh-CN"/>
        </w:rPr>
      </w:pPr>
      <w:r>
        <w:rPr>
          <w:rFonts w:ascii="楷体" w:hAnsi="楷体" w:hint="eastAsia"/>
          <w:lang w:val="en-US" w:eastAsia="zh-CN"/>
        </w:rPr>
        <w:t xml:space="preserve">减少的非标准化债权类资产明细</w:t>
      </w:r>
    </w:p>
    <w:tbl>
      <w:tblPr>
        <w:tblStyle w:val="TableNormal"/>
        <w:tblW w:w="87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978"/>
        <w:gridCol w:w="1824"/>
        <w:gridCol w:w="1410"/>
        <w:gridCol w:w="1245"/>
        <w:gridCol w:w="1335"/>
        <w:gridCol w:w="1080"/>
        <w:gridCol w:w="855"/>
      </w:tblGrid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  <w:lang w:val="en-US" w:eastAsia="zh-CN"/>
              </w:rPr>
              <w:t xml:space="preserve">序号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融资客户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项目名称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剩余融资期限（天）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到期分配方式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交易结构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风险状况</w:t>
            </w:r>
          </w:p>
        </w:tc>
      </w:tr>
      <w:tr>
        <w:tblPrEx>
          <w:tblW w:w="872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eastAsia="楷体" w:hAnsi="楷体" w:hint="default"/>
                <w:sz w:val="22"/>
                <w:szCs w:val="24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pacing w:val="-2"/>
                <w:sz w:val="24"/>
                <w:szCs w:val="24"/>
              </w:rPr>
              <w:t xml:space="preserve"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 w:hint="eastAsia"/>
                <w:sz w:val="22"/>
                <w:szCs w:val="24"/>
                <w:highlight w:val="yellow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" w:eastAsia="楷体" w:hAnsi="楷体"/>
                <w:sz w:val="22"/>
                <w:szCs w:val="24"/>
              </w:rPr>
            </w:pPr>
            <w:r>
              <w:rPr>
                <w:rFonts w:ascii="楷体" w:eastAsia="楷体" w:hAnsi="楷体" w:cs="楷体" w:hint="eastAsia"/>
                <w:sz w:val="22"/>
              </w:rPr>
              <w:t xml:space="preserve">-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 w:hint="eastAsia"/>
        </w:rPr>
      </w:pPr>
      <w:r>
        <w:rPr>
          <w:rFonts w:ascii="楷体" w:eastAsia="楷体" w:hAnsi="楷体" w:cs="Times New Roman" w:hint="eastAsia"/>
        </w:rPr>
        <w:t xml:space="preserve">产品存续期内若本理财产品投资的非标准化债权资产有所调整，管理人将选择优质企业作为融资人，且融资项目已履行管理人内部审批流程，融资人业务经营正常，融资项目还款来源明确，并在本理财产品的定期报告中披露。</w:t>
      </w: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 w:hint="eastAsia"/>
        </w:rPr>
      </w:pPr>
      <w:r>
        <w:rPr>
          <w:rFonts w:ascii="楷体" w:eastAsia="楷体" w:hAnsi="楷体" w:cs="Times New Roman" w:hint="eastAsia"/>
        </w:rPr>
        <w:t xml:space="preserve">苏银理财有限责任公司将本着“受人之托、代人理财”的服务宗旨，切实履行产品管理人职责，感谢您一直以来对苏银理财的支持！</w:t>
      </w:r>
    </w:p>
    <w:p>
      <w:pPr>
        <w:pStyle w:val="Normal(Web)"/>
        <w:spacing w:before="0" w:beforeAutospacing="0" w:after="0" w:afterAutospacing="0" w:line="360" w:lineRule="auto"/>
        <w:ind w:firstLine="566" w:firstLineChars="236"/>
        <w:rPr>
          <w:rFonts w:ascii="楷体" w:eastAsia="楷体" w:hAnsi="楷体" w:cs="Times New Roman" w:hint="eastAsia"/>
        </w:rPr>
      </w:pPr>
      <w:r>
        <w:rPr>
          <w:rFonts w:ascii="楷体" w:eastAsia="楷体" w:hAnsi="楷体" w:cs="Times New Roman" w:hint="eastAsia"/>
        </w:rPr>
        <w:t xml:space="preserve">特此公告。</w:t>
      </w:r>
    </w:p>
    <w:p>
      <w:pPr>
        <w:rPr>
          <w:rFonts w:ascii="楷体" w:eastAsia="楷体" w:hAnsi="楷体"/>
        </w:rPr>
      </w:pPr>
    </w:p>
    <w:p>
      <w:pPr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 xml:space="preserve">苏银理财</w:t>
      </w:r>
      <w:r>
        <w:rPr>
          <w:rFonts w:ascii="楷体" w:eastAsia="楷体" w:hAnsi="楷体"/>
          <w:b/>
          <w:sz w:val="24"/>
          <w:szCs w:val="24"/>
        </w:rPr>
        <w:t xml:space="preserve">有限责任公司</w:t>
      </w:r>
    </w:p>
    <w:p>
      <w:pPr>
        <w:ind w:right="105"/>
        <w:jc w:val="right"/>
        <w:rPr>
          <w:rFonts w:ascii="楷体" w:eastAsia="楷体" w:hAnsi="楷体"/>
        </w:rPr>
      </w:pPr>
      <w:r>
        <w:rPr>
          <w:rFonts w:ascii="楷体" w:eastAsia="楷体" w:hAnsi="楷体" w:cs="楷体" w:hint="eastAsia"/>
          <w:b w:val="0"/>
          <w:bCs w:val="0"/>
          <w:spacing w:val="-1"/>
          <w:sz w:val="24"/>
          <w:szCs w:val="24"/>
        </w:rPr>
        <w:t xml:space="preserve">2026年06月17日</w:t>
      </w:r>
    </w:p>
    <w:p>
      <w:pPr>
        <w:rPr>
          <w:rFonts w:ascii="楷体" w:eastAsia="楷体" w:hAnsi="楷体" w:cs="Times New Roman" w:hint="eastAsia"/>
          <w:kern w:val="0"/>
          <w:sz w:val="24"/>
          <w:szCs w:val="24"/>
          <w:lang w:val="en-US" w:eastAsia="zh-CN" w:bidi="ar-SA"/>
        </w:rPr>
      </w:pPr>
    </w:p>
    <w:p>
      <w:pPr>
        <w:rPr>
          <w:rFonts w:ascii="楷体" w:eastAsia="楷体" w:hAnsi="楷体" w:cs="Times New Roman" w:hint="eastAsia"/>
          <w:kern w:val="0"/>
          <w:sz w:val="24"/>
          <w:szCs w:val="24"/>
          <w:lang w:val="en-US" w:eastAsia="zh-CN" w:bidi="ar-SA"/>
        </w:rPr>
      </w:pPr>
      <w:r>
        <w:rPr>
          <w:rFonts w:ascii="楷体" w:eastAsia="楷体" w:hAnsi="楷体" w:cs="Times New Roman" w:hint="eastAsia"/>
          <w:kern w:val="0"/>
          <w:sz w:val="24"/>
          <w:szCs w:val="24"/>
          <w:lang w:val="en-US" w:eastAsia="zh-CN" w:bidi="ar-SA"/>
        </w:rPr>
        <w:t xml:space="preserve">备注：本次披露内容解释权归苏银理财所有，不构成任何形式的法律要约或承诺。</w:t>
      </w:r>
    </w:p>
    <w:sectPr>
      <w:headerReference w:type="even" r:id="rId5"/>
      <w:headerReference w:type="default" r:id="rId6"/>
      <w:headerReference w:type="first" r:id="rId7"/>
      <w:footerReference w:type="default" r:id="rId8"/>
      <w:pgSz w:w="11906" w:h="16838" w:orient="portrait"/>
      <w:pgMar w:top="1440" w:right="1800" w:bottom="1440" w:left="1701" w:header="851" w:footer="992" w:gutter="0"/>
      <w:cols w:num="1" w:space="720">
        <w:col w:w="8405" w:space="72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 xml:space="preserve"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 xml:space="preserve">4</w:t>
    </w:r>
    <w:r>
      <w:rPr>
        <w:b/>
        <w:bCs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  <w:r>
      <w:rPr/>
      <w:pict>
        <v:shape id="WordPictureWatermark1025" o:spid="WordPictureWatermark1329" type="#_x0000_t75" style="height:862.85pt;margin-left:0;margin-top:0;mso-height-relative:page;mso-position-horizontal:center;mso-position-horizontal-relative:margin;mso-position-vertical:center;mso-position-vertical-relative:margin;mso-width-relative:page;position:absolute;width:1137.35pt;z-index:-251656192" coordsize="21600,21600" o:allowincell="f" o:preferrelative="t" filled="f" stroked="f">
          <v:stroke joinstyle="miter"/>
          <v:imagedata r:id="rId1" o:title="苏银理财" gain="19661f" blacklevel="22938f"/>
          <o:lock v:ext="edit" aspectratio="t"/>
          <w10:wrap anchorx="margin" anchory="margin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BodyText"/>
      <w:kinsoku w:val="0"/>
      <w:overflowPunct w:val="0"/>
      <w:spacing w:before="0" w:line="320" w:lineRule="exact"/>
      <w:ind w:left="20"/>
      <w:jc w:val="both"/>
      <w:rPr>
        <w:rFonts w:ascii="楷体" w:eastAsia="楷体" w:hAnsi="楷体" w:cs="黑体"/>
        <w:b/>
        <w:spacing w:val="-2"/>
        <w:sz w:val="24"/>
        <w:szCs w:val="24"/>
      </w:rPr>
    </w:pPr>
    <w:r>
      <w:rPr/>
      <w:pict>
        <v:shape id="WordPictureWatermark1026" o:spid="WordPictureWatermark1331" type="#_x0000_t75" style="height:862.85pt;margin-left:0;margin-top:0;mso-height-relative:page;mso-position-horizontal:center;mso-position-horizontal-relative:margin;mso-position-vertical:center;mso-position-vertical-relative:margin;mso-width-relative:page;position:absolute;width:1137.35pt;z-index:-251655168" coordsize="21600,21600" o:allowincell="f" o:preferrelative="t" filled="f" stroked="f">
          <v:stroke joinstyle="miter"/>
          <v:imagedata r:id="rId1" o:title="苏银理财" gain="19661f" blacklevel="22938f"/>
          <o:lock v:ext="edit" aspectratio="t"/>
          <w10:wrap anchorx="margin" anchory="margin"/>
        </v:shape>
      </w:pict>
    </w:r>
    <w:r>
      <w:pict>
        <v:shape id="图片 1" o:spid="_x0000_s1332" type="#_x0000_t75" style="height:33.45pt;margin-left:308.95pt;margin-top:-7.5pt;mso-height-relative:page;mso-width-relative:page;mso-wrap-distance-bottom:0;mso-wrap-distance-left:9pt;mso-wrap-distance-right:9pt;mso-wrap-distance-top:0;position:absolute;width:104.35pt;z-index:251662336" coordsize="21600,21600" o:preferrelative="t" filled="f" stroked="f">
          <v:stroke joinstyle="miter"/>
          <v:imagedata r:id="rId2" o:title=""/>
          <o:lock v:ext="edit" aspectratio="t"/>
          <w10:wrap type="square"/>
        </v:shape>
      </w:pict>
    </w:r>
    <w:r>
      <w:rPr>
        <w:rFonts w:ascii="楷体" w:eastAsia="楷体" w:hAnsi="楷体" w:cs="黑体" w:hint="eastAsia"/>
        <w:b/>
        <w:bCs/>
        <w:spacing w:val="-2"/>
        <w:sz w:val="24"/>
        <w:szCs w:val="24"/>
      </w:rPr>
      <w:t xml:space="preserve">理财非存款、产品有风险、投资须谨慎</w: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  <w:r>
      <w:rPr/>
      <w:pict>
        <v:shape id="WordPictureWatermark1027" o:spid="WordPictureWatermark1334" type="#_x0000_t75" style="height:862.85pt;margin-left:0;margin-top:0;mso-height-relative:page;mso-position-horizontal:center;mso-position-horizontal-relative:margin;mso-position-vertical:center;mso-position-vertical-relative:margin;mso-width-relative:page;position:absolute;width:1137.35pt;z-index:-251657216" coordsize="21600,21600" o:allowincell="f" o:preferrelative="t" filled="f" stroked="f">
          <v:stroke joinstyle="miter"/>
          <v:imagedata r:id="rId1" o:title="苏银理财" gain="19661f" blacklevel="22938f"/>
          <o:lock v:ext="edit" aspectratio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9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semiHidden="0" w:qFormat="1"/>
    <w:lsdException w:name="header" w:semiHidden="0" w:qFormat="1"/>
    <w:lsdException w:name="footer" w:semiHidden="0" w:qFormat="1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semiHidden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semiHidden="0" w:uiPriority="1" w:unhideWhenUsed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qFormat="1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eastAsia="宋体" w:hAnsi="宋体" w:cs="宋体"/>
      <w:kern w:val="2"/>
      <w:sz w:val="28"/>
      <w:szCs w:val="22"/>
      <w:lang w:val="en-US" w:eastAsia="zh-CN" w:bidi="ar-SA"/>
    </w:rPr>
  </w:style>
  <w:style w:type="paragraph" w:styleId="Heading3">
    <w:name w:val="Heading 3"/>
    <w:basedOn w:val="Normal"/>
    <w:next w:val="Normal"/>
    <w:uiPriority w:val="1"/>
    <w:qFormat/>
    <w:pPr>
      <w:autoSpaceDE w:val="0"/>
      <w:autoSpaceDN w:val="0"/>
      <w:adjustRightInd w:val="0"/>
      <w:spacing w:before="34"/>
      <w:ind w:left="120"/>
      <w:jc w:val="left"/>
      <w:outlineLvl w:val="2"/>
    </w:pPr>
    <w:rPr>
      <w:rFonts w:ascii="宋体" w:eastAsia="楷体" w:hAnsi="Times New Roman"/>
      <w:b/>
      <w:bCs/>
      <w:kern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nnotationtext">
    <w:name w:val="annotation text"/>
    <w:basedOn w:val="Normal"/>
    <w:uiPriority w:val="99"/>
    <w:unhideWhenUsed/>
    <w:qFormat/>
    <w:pPr>
      <w:jc w:val="left"/>
    </w:pPr>
    <w:rPr/>
  </w:style>
  <w:style w:type="paragraph" w:styleId="BodyText">
    <w:name w:val="Body Text"/>
    <w:basedOn w:val="Normal"/>
    <w:uiPriority w:val="1"/>
    <w:qFormat/>
    <w:pPr>
      <w:autoSpaceDE w:val="0"/>
      <w:autoSpaceDN w:val="0"/>
      <w:adjustRightInd w:val="0"/>
      <w:spacing w:before="162"/>
      <w:ind w:left="120"/>
      <w:jc w:val="left"/>
    </w:pPr>
    <w:rPr>
      <w:rFonts w:ascii="宋体" w:eastAsia="宋体" w:hAnsi="Times New Roman" w:cs="宋体"/>
      <w:kern w:val="0"/>
      <w:sz w:val="20"/>
      <w:szCs w:val="21"/>
    </w:rPr>
  </w:style>
  <w:style w:type="paragraph" w:styleId="BalloonText">
    <w:name w:val="Balloon Text"/>
    <w:basedOn w:val="Normal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nnotationreference">
    <w:name w:val="annotation reference"/>
    <w:uiPriority w:val="99"/>
    <w:unhideWhenUsed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无间隔1">
    <w:name w:val="无间隔1"/>
    <w:uiPriority w:val="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paragraph" w:customStyle="1" w:styleId="标题4">
    <w:name w:val="标题4"/>
    <w:basedOn w:val="Normal"/>
    <w:qFormat/>
    <w:rPr>
      <w:rFonts w:eastAsia="楷体"/>
    </w:rPr>
  </w:style>
  <w:style w:type="character" w:customStyle="1" w:styleId="页眉字符">
    <w:name w:val="页眉 字符"/>
    <w:link w:val="批注框文本字符"/>
    <w:uiPriority w:val="99"/>
    <w:qFormat/>
    <w:rPr>
      <w:sz w:val="18"/>
      <w:szCs w:val="18"/>
    </w:rPr>
  </w:style>
  <w:style w:type="character" w:customStyle="1" w:styleId="页脚字符">
    <w:name w:val="页脚 字符"/>
    <w:link w:val="标题3字符"/>
    <w:uiPriority w:val="99"/>
    <w:qFormat/>
    <w:rPr>
      <w:sz w:val="18"/>
      <w:szCs w:val="18"/>
    </w:rPr>
  </w:style>
  <w:style w:type="character" w:customStyle="1" w:styleId="正文文本字符1">
    <w:name w:val="正文文本 字符1"/>
    <w:uiPriority w:val="1"/>
    <w:qFormat/>
    <w:rPr>
      <w:rFonts w:ascii="宋体" w:eastAsia="宋体" w:hAnsi="Times New Roman" w:cs="宋体"/>
      <w:szCs w:val="21"/>
    </w:rPr>
  </w:style>
  <w:style w:type="character" w:customStyle="1" w:styleId="正文文本字符">
    <w:name w:val="正文文本 字符"/>
    <w:uiPriority w:val="99"/>
    <w:semiHidden/>
    <w:qFormat/>
    <w:rPr>
      <w:kern w:val="2"/>
      <w:sz w:val="21"/>
      <w:szCs w:val="22"/>
    </w:rPr>
  </w:style>
  <w:style w:type="character" w:customStyle="1" w:styleId="批注文字字符1">
    <w:name w:val="批注文字 字符1"/>
    <w:uiPriority w:val="99"/>
    <w:qFormat/>
    <w:rPr>
      <w:kern w:val="2"/>
      <w:sz w:val="21"/>
      <w:szCs w:val="22"/>
    </w:rPr>
  </w:style>
  <w:style w:type="character" w:customStyle="1" w:styleId="批注文字字符">
    <w:name w:val="批注文字 字符"/>
    <w:uiPriority w:val="99"/>
    <w:semiHidden/>
    <w:qFormat/>
    <w:rPr>
      <w:kern w:val="2"/>
      <w:sz w:val="21"/>
      <w:szCs w:val="22"/>
    </w:rPr>
  </w:style>
  <w:style w:type="character" w:customStyle="1" w:styleId="批注框文本字符">
    <w:name w:val="批注框文本 字符"/>
    <w:uiPriority w:val="99"/>
    <w:semiHidden/>
    <w:qFormat/>
    <w:rPr>
      <w:kern w:val="2"/>
      <w:sz w:val="18"/>
      <w:szCs w:val="18"/>
    </w:rPr>
  </w:style>
  <w:style w:type="character" w:customStyle="1" w:styleId="标题3字符">
    <w:name w:val="标题 3 字符"/>
    <w:uiPriority w:val="9"/>
    <w:semiHidden/>
    <w:qFormat/>
    <w:rPr>
      <w:b/>
      <w:bCs/>
      <w:kern w:val="2"/>
      <w:sz w:val="32"/>
      <w:szCs w:val="32"/>
    </w:rPr>
  </w:style>
  <w:style w:type="character" w:customStyle="1" w:styleId="标题3字符1">
    <w:name w:val="标题 3 字符1"/>
    <w:link w:val="Heading3"/>
    <w:uiPriority w:val="1"/>
    <w:qFormat/>
    <w:rPr>
      <w:rFonts w:ascii="宋体" w:eastAsia="楷体" w:hAnsi="Times New Roman"/>
      <w:b/>
      <w:bCs/>
      <w:sz w:val="24"/>
      <w:szCs w:val="21"/>
    </w:rPr>
  </w:style>
  <w:style w:type="character" w:customStyle="1" w:styleId="标题4字符">
    <w:name w:val="标题4 字符"/>
    <w:qFormat/>
    <w:rPr>
      <w:rFonts w:eastAsia="楷体"/>
      <w:kern w:val="2"/>
      <w:sz w:val="21"/>
      <w:szCs w:val="22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3.xml.rels>&#65279;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2021-11-18T10:04:00Z</dcterms:created>
  <dc:creator>User</dc:creator>
  <cp:lastModifiedBy>zhangguoxing</cp:lastModifiedBy>
  <dcterms:modified xsi:type="dcterms:W3CDTF">2025-06-23T07:52:57Z</dcterms:modified>
  <cp:revision>10</cp:revision>
  <dc:title>“${prdInfo.PRD_NAME}”理财产品</dc:title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4</Pages>
  <Words>465</Words>
  <Characters>2651</Characters>
  <Lines>22</Lines>
  <Paragraphs>6</Paragraphs>
  <TotalTime>0</TotalTime>
  <ScaleCrop>false</ScaleCrop>
  <LinksUpToDate>false</LinksUpToDate>
  <CharactersWithSpaces>3110</CharactersWithSpaces>
  <Application>WPS Office_10.8.2.7119_F1E327BC-269C-435d-A152-05C5408002CA</Application>
  <DocSecurity>0</DocSecuri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31802637FF8E4298AD1DCE61A946E12D</vt:lpwstr>
  </property>
</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100"/>
    <customShpInfo spid="_x0000_s4097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465</Words>
  <Characters>2651</Characters>
  <Application>WPS Office_10.8.2.7119_F1E327BC-269C-435d-A152-05C5408002CA</Application>
  <DocSecurity>0</DocSecurity>
  <Lines>22</Lines>
  <Paragraphs>6</Paragraphs>
  <Company>WORKGROUP</Company>
  <CharactersWithSpaces>3110</CharactersWithSpaces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_x201C__x0024__x007B_prdInfo.PRD_NAME_x007D__x201D_理财产品</dc:title>
  <dc:creator>User</dc:creator>
  <cp:lastModifiedBy>zhangguoxing</cp:lastModifiedBy>
  <cp:revision>10</cp:revision>
  <dcterms:created xsi:type="dcterms:W3CDTF">2021-11-18T10:04:00Z</dcterms:created>
  <dcterms:modified xsi:type="dcterms:W3CDTF">2026-06-17T01:36:40Z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2052-10.8.2.7119</vt:lpstr>
  </property>
  <property fmtid="{D5CDD505-2E9C-101B-9397-08002B2CF9AE}" pid="3" name="ICV">
    <vt:lpstr>31802637FF8E4298AD1DCE61A946E12D</vt:lpstr>
  </property>
</Properties>
</file>