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/>
        <w:jc w:val="center"/>
        <w:rPr>
          <w:rFonts w:ascii="楷体" w:hAnsi="楷体" w:eastAsia="楷体" w:cs="Times New Roman"/>
          <w:b/>
          <w:sz w:val="36"/>
          <w:szCs w:val="36"/>
        </w:rPr>
      </w:pPr>
      <w:r>
        <w:rPr>
          <w:rFonts w:ascii="楷体" w:hAnsi="楷体" w:eastAsia="楷体" w:cs="Times New Roman"/>
          <w:b/>
          <w:sz w:val="36"/>
          <w:szCs w:val="36"/>
        </w:rPr>
        <w:t>“</w:t>
      </w:r>
      <w:r>
        <w:rPr>
          <w:rFonts w:hint="eastAsia" w:ascii="楷体" w:hAnsi="楷体" w:eastAsia="楷体" w:cs="Times New Roman"/>
          <w:b/>
          <w:sz w:val="36"/>
          <w:szCs w:val="36"/>
        </w:rPr>
        <w:t>苏银理财恒源封闭债权293期优选2年</w:t>
      </w:r>
      <w:r>
        <w:rPr>
          <w:rFonts w:ascii="楷体" w:hAnsi="楷体" w:eastAsia="楷体" w:cs="Times New Roman"/>
          <w:b/>
          <w:sz w:val="36"/>
          <w:szCs w:val="36"/>
        </w:rPr>
        <w:t>”</w:t>
      </w:r>
      <w:r>
        <w:rPr>
          <w:rFonts w:hint="eastAsia" w:ascii="楷体" w:hAnsi="楷体" w:eastAsia="楷体" w:cs="Times New Roman"/>
          <w:b/>
          <w:sz w:val="36"/>
          <w:szCs w:val="36"/>
        </w:rPr>
        <w:t>理财产品发行公告</w:t>
      </w:r>
    </w:p>
    <w:p>
      <w:pPr>
        <w:pStyle w:val="5"/>
        <w:spacing w:before="0" w:beforeAutospacing="0" w:after="0" w:afterAutospacing="0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尊敬的投资者：</w:t>
      </w:r>
    </w:p>
    <w:p>
      <w:pPr>
        <w:pStyle w:val="5"/>
        <w:spacing w:before="0" w:beforeAutospacing="0" w:after="0" w:afterAutospacing="0"/>
        <w:ind w:firstLine="560" w:firstLineChars="200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“</w:t>
      </w:r>
      <w:r>
        <w:rPr>
          <w:rFonts w:ascii="楷体" w:hAnsi="楷体" w:eastAsia="楷体" w:cs="Times New Roman"/>
          <w:sz w:val="28"/>
          <w:szCs w:val="28"/>
        </w:rPr>
        <w:t>苏银理财恒源封闭债权293期优选2年</w:t>
      </w:r>
      <w:r>
        <w:rPr>
          <w:rFonts w:hint="eastAsia" w:ascii="楷体" w:hAnsi="楷体" w:eastAsia="楷体" w:cs="Times New Roman"/>
          <w:sz w:val="28"/>
          <w:szCs w:val="28"/>
        </w:rPr>
        <w:t>”理财产品于</w:t>
      </w:r>
      <w:r>
        <w:rPr>
          <w:rFonts w:ascii="楷体" w:hAnsi="楷体" w:eastAsia="楷体" w:cs="Times New Roman"/>
          <w:sz w:val="28"/>
          <w:szCs w:val="28"/>
        </w:rPr>
        <w:t>2026年04月23日</w:t>
      </w:r>
      <w:r>
        <w:rPr>
          <w:rFonts w:hint="eastAsia" w:ascii="楷体" w:hAnsi="楷体" w:eastAsia="楷体" w:cs="Times New Roman"/>
          <w:sz w:val="28"/>
          <w:szCs w:val="28"/>
        </w:rPr>
        <w:t>正式成立并投资运作，产品</w:t>
      </w:r>
      <w:r>
        <w:rPr>
          <w:rFonts w:ascii="楷体" w:hAnsi="楷体" w:eastAsia="楷体" w:cs="Times New Roman"/>
          <w:sz w:val="28"/>
          <w:szCs w:val="28"/>
        </w:rPr>
        <w:t xml:space="preserve">信息如下： </w:t>
      </w:r>
    </w:p>
    <w:tbl>
      <w:tblPr>
        <w:tblStyle w:val="6"/>
        <w:tblW w:w="84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eastAsia="楷体" w:cs="宋体"/>
                <w:kern w:val="0"/>
              </w:rPr>
              <w:t>产品名称</w:t>
            </w:r>
          </w:p>
        </w:tc>
        <w:tc>
          <w:tcPr>
            <w:tcW w:w="6167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eastAsia="楷体" w:cs="宋体"/>
                <w:kern w:val="0"/>
              </w:rPr>
              <w:t>苏银理财恒源封闭债权293期优选2年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eastAsia="楷体" w:cs="宋体"/>
                <w:kern w:val="0"/>
              </w:rPr>
              <w:t>登记编码</w:t>
            </w:r>
          </w:p>
        </w:tc>
        <w:tc>
          <w:tcPr>
            <w:tcW w:w="6167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eastAsia="楷体" w:cs="宋体"/>
                <w:kern w:val="0"/>
              </w:rPr>
              <w:t>Z7003126000127</w:t>
            </w:r>
          </w:p>
          <w:p>
            <w:pPr>
              <w:jc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hint="eastAsia" w:ascii="楷体" w:hAnsi="楷体" w:eastAsia="楷体" w:cs="宋体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eastAsia="楷体" w:cs="宋体"/>
                <w:kern w:val="0"/>
              </w:rPr>
              <w:t>托管机构</w:t>
            </w:r>
          </w:p>
        </w:tc>
        <w:tc>
          <w:tcPr>
            <w:tcW w:w="6167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eastAsia="楷体" w:cs="宋体"/>
                <w:kern w:val="0"/>
              </w:rPr>
              <w:t>中国工商银行股份有限公司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eastAsia="楷体" w:cs="宋体"/>
                <w:kern w:val="0"/>
              </w:rPr>
              <w:t>募集方式</w:t>
            </w:r>
          </w:p>
        </w:tc>
        <w:tc>
          <w:tcPr>
            <w:tcW w:w="6167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eastAsia="楷体" w:cs="宋体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eastAsia="楷体" w:cs="宋体"/>
                <w:kern w:val="0"/>
              </w:rPr>
              <w:t>运作模式</w:t>
            </w:r>
          </w:p>
        </w:tc>
        <w:tc>
          <w:tcPr>
            <w:tcW w:w="6167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eastAsia="楷体" w:cs="宋体"/>
                <w:kern w:val="0"/>
              </w:rPr>
              <w:t>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eastAsia="楷体" w:cs="宋体"/>
                <w:kern w:val="0"/>
              </w:rPr>
              <w:t>投资性质</w:t>
            </w:r>
          </w:p>
        </w:tc>
        <w:tc>
          <w:tcPr>
            <w:tcW w:w="6167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eastAsia="楷体" w:cs="宋体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eastAsia="楷体" w:cs="宋体"/>
                <w:kern w:val="0"/>
              </w:rPr>
              <w:t>风险等级</w:t>
            </w:r>
          </w:p>
        </w:tc>
        <w:tc>
          <w:tcPr>
            <w:tcW w:w="6167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eastAsia="楷体" w:cs="宋体"/>
                <w:kern w:val="0"/>
              </w:rPr>
              <w:t>二级（中低）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hint="eastAsia" w:ascii="楷体" w:hAnsi="楷体" w:eastAsia="楷体" w:cs="宋体"/>
                <w:kern w:val="0"/>
              </w:rPr>
              <w:t>募集规模（元）</w:t>
            </w:r>
          </w:p>
        </w:tc>
        <w:tc>
          <w:tcPr>
            <w:tcW w:w="6167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eastAsia="楷体" w:cs="宋体"/>
                <w:kern w:val="0"/>
              </w:rPr>
              <w:t>362,673,270.00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eastAsia="楷体" w:cs="宋体"/>
                <w:kern w:val="0"/>
              </w:rPr>
              <w:t>募集起始日期</w:t>
            </w:r>
          </w:p>
        </w:tc>
        <w:tc>
          <w:tcPr>
            <w:tcW w:w="6167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eastAsia="楷体" w:cs="宋体"/>
                <w:kern w:val="0"/>
              </w:rPr>
              <w:t>2026年04月16日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eastAsia="楷体" w:cs="宋体"/>
                <w:kern w:val="0"/>
              </w:rPr>
              <w:t>募集结束日期</w:t>
            </w:r>
          </w:p>
        </w:tc>
        <w:tc>
          <w:tcPr>
            <w:tcW w:w="6167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eastAsia="楷体" w:cs="宋体"/>
                <w:kern w:val="0"/>
              </w:rPr>
              <w:t>2026年04月22日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eastAsia="楷体" w:cs="宋体"/>
                <w:kern w:val="0"/>
              </w:rPr>
              <w:t>产品起始日期</w:t>
            </w:r>
          </w:p>
        </w:tc>
        <w:tc>
          <w:tcPr>
            <w:tcW w:w="6167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eastAsia="楷体" w:cs="宋体"/>
                <w:kern w:val="0"/>
              </w:rPr>
              <w:t>2026年04月23日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hint="eastAsia" w:ascii="楷体" w:hAnsi="楷体" w:eastAsia="楷体" w:cs="宋体"/>
                <w:kern w:val="0"/>
              </w:rPr>
              <w:t>计划</w:t>
            </w:r>
            <w:r>
              <w:rPr>
                <w:rFonts w:ascii="楷体" w:hAnsi="楷体" w:eastAsia="楷体" w:cs="宋体"/>
                <w:kern w:val="0"/>
              </w:rPr>
              <w:t>终止日期</w:t>
            </w:r>
          </w:p>
        </w:tc>
        <w:tc>
          <w:tcPr>
            <w:tcW w:w="6167" w:type="dxa"/>
            <w:vAlign w:val="center"/>
          </w:tcPr>
          <w:p>
            <w:pPr>
              <w:jc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ascii="楷体" w:hAnsi="楷体" w:eastAsia="楷体" w:cs="宋体"/>
                <w:kern w:val="0"/>
              </w:rPr>
              <w:t>2028年05月17日</w:t>
            </w:r>
          </w:p>
          <w:p>
            <w:pPr>
              <w:jc w:val="center"/>
              <w:rPr>
                <w:rFonts w:ascii="楷体" w:hAnsi="楷体" w:eastAsia="楷体" w:cs="宋体"/>
                <w:kern w:val="0"/>
              </w:rPr>
            </w:pPr>
            <w:r>
              <w:rPr>
                <w:rFonts w:hint="eastAsia" w:ascii="楷体" w:hAnsi="楷体" w:eastAsia="楷体" w:cs="宋体"/>
                <w:kern w:val="0"/>
              </w:rPr>
              <w:t>（以理财产品实际终止日期为准）</w:t>
            </w:r>
          </w:p>
        </w:tc>
      </w:tr>
    </w:tbl>
    <w:p>
      <w:pPr>
        <w:bidi w:val="0"/>
        <w:ind w:firstLine="560" w:firstLineChars="200"/>
        <w:jc w:val="left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</w:t>
      </w:r>
    </w:p>
    <w:p>
      <w:pPr>
        <w:pStyle w:val="5"/>
        <w:spacing w:before="0" w:beforeAutospacing="0" w:after="0" w:afterAutospacing="0"/>
        <w:ind w:firstLine="560" w:firstLineChars="200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特此公告。</w:t>
      </w:r>
    </w:p>
    <w:p>
      <w:pPr>
        <w:pStyle w:val="5"/>
        <w:spacing w:before="0" w:beforeAutospacing="0" w:after="0" w:afterAutospacing="0"/>
        <w:ind w:firstLine="560" w:firstLineChars="200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感谢您投资苏银理财本期理财产品，敬请继续关注苏银理财推出的其他理财产品。</w:t>
      </w:r>
    </w:p>
    <w:p>
      <w:pPr>
        <w:spacing w:line="560" w:lineRule="exact"/>
        <w:rPr>
          <w:rFonts w:ascii="楷体" w:hAnsi="楷体" w:eastAsia="楷体"/>
          <w:kern w:val="0"/>
          <w:sz w:val="28"/>
          <w:szCs w:val="28"/>
        </w:rPr>
      </w:pPr>
    </w:p>
    <w:p>
      <w:pPr>
        <w:spacing w:line="560" w:lineRule="exact"/>
        <w:jc w:val="right"/>
        <w:rPr>
          <w:rFonts w:ascii="楷体" w:hAnsi="楷体" w:eastAsia="楷体"/>
          <w:kern w:val="0"/>
          <w:sz w:val="28"/>
          <w:szCs w:val="28"/>
        </w:rPr>
      </w:pPr>
      <w:r>
        <w:rPr>
          <w:rFonts w:hint="eastAsia" w:ascii="楷体" w:hAnsi="楷体" w:eastAsia="楷体"/>
          <w:kern w:val="0"/>
          <w:sz w:val="28"/>
          <w:szCs w:val="28"/>
        </w:rPr>
        <w:t>苏银理财有限责任公司</w:t>
      </w:r>
    </w:p>
    <w:p>
      <w:pPr>
        <w:jc w:val="right"/>
        <w:rPr>
          <w:rFonts w:ascii="楷体" w:hAnsi="楷体" w:eastAsia="楷体"/>
          <w:kern w:val="0"/>
          <w:sz w:val="24"/>
          <w:szCs w:val="24"/>
        </w:rPr>
      </w:pPr>
      <w:r>
        <w:rPr>
          <w:rFonts w:ascii="楷体" w:hAnsi="楷体" w:eastAsia="楷体"/>
          <w:sz w:val="28"/>
          <w:szCs w:val="28"/>
        </w:rPr>
        <w:t>2026年04月24日</w:t>
      </w:r>
    </w:p>
    <w:p/>
    <w:p/>
    <w:p>
      <w:pPr>
        <w:rPr>
          <w:rFonts w:ascii="楷体" w:hAnsi="楷体" w:eastAsia="楷体"/>
        </w:rPr>
      </w:pPr>
      <w:r>
        <w:rPr>
          <w:rFonts w:hint="eastAsia" w:ascii="楷体" w:hAnsi="楷体" w:eastAsia="楷体"/>
        </w:rPr>
        <w:t>备注：本次披露内容解释权归苏银理财所有，不构成任何形式的法律要约或承诺。</w:t>
      </w:r>
    </w:p>
    <w:p/>
    <w:p>
      <w:bookmarkStart w:id="0" w:name="_GoBack"/>
      <w:bookmarkEnd w:id="0"/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800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kinsoku w:val="0"/>
      <w:overflowPunct w:val="0"/>
      <w:spacing w:before="0" w:line="320" w:lineRule="exact"/>
      <w:ind w:left="20"/>
      <w:jc w:val="both"/>
      <w:rPr>
        <w:rFonts w:ascii="楷体" w:hAnsi="楷体" w:eastAsia="楷体" w:cs="黑体"/>
        <w:b/>
        <w:spacing w:val="-2"/>
        <w:sz w:val="24"/>
        <w:szCs w:val="24"/>
      </w:rPr>
    </w:pPr>
    <w:r>
      <w:rPr>
        <w:rFonts w:ascii="楷体" w:hAnsi="楷体" w:eastAsia="楷体"/>
        <w:b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4444345" cy="10958195"/>
          <wp:effectExtent l="0" t="0" r="14605" b="14605"/>
          <wp:wrapNone/>
          <wp:docPr id="2" name="WordPictureWatermark367128483" descr="苏银理财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367128483" descr="苏银理财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4345" cy="1095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3923665</wp:posOffset>
          </wp:positionH>
          <wp:positionV relativeFrom="paragraph">
            <wp:posOffset>-95250</wp:posOffset>
          </wp:positionV>
          <wp:extent cx="1325245" cy="424815"/>
          <wp:effectExtent l="0" t="0" r="8255" b="13335"/>
          <wp:wrapSquare wrapText="bothSides"/>
          <wp:docPr id="1" name="图片 1" descr="说明: 说明: C:\Users\JSYH\Desktop\苏银理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说明: 说明: C:\Users\JSYH\Desktop\苏银理财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524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楷体" w:hAnsi="楷体" w:eastAsia="楷体" w:cs="黑体"/>
        <w:b/>
        <w:bCs/>
        <w:spacing w:val="-2"/>
        <w:sz w:val="24"/>
        <w:szCs w:val="24"/>
      </w:rPr>
      <w:t>理财非存款、产品有风险、投资须谨慎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4444345" cy="10958195"/>
          <wp:effectExtent l="0" t="0" r="14605" b="14605"/>
          <wp:wrapNone/>
          <wp:docPr id="4" name="WordPictureWatermark367128482" descr="苏银理财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367128482" descr="苏银理财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4345" cy="1095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4444345" cy="10958195"/>
          <wp:effectExtent l="0" t="0" r="14605" b="14605"/>
          <wp:wrapNone/>
          <wp:docPr id="3" name="WordPictureWatermark367128481" descr="苏银理财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367128481" descr="苏银理财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4345" cy="1095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C4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adjustRightInd w:val="0"/>
      <w:spacing w:before="162"/>
      <w:ind w:left="120"/>
      <w:jc w:val="left"/>
    </w:pPr>
    <w:rPr>
      <w:rFonts w:ascii="宋体" w:hAnsi="Times New Roman"/>
      <w:kern w:val="0"/>
      <w:sz w:val="20"/>
      <w:szCs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header2.xml" Type="http://schemas.openxmlformats.org/officeDocument/2006/relationships/header"/><Relationship Id="rId5" Target="header3.xml" Type="http://schemas.openxmlformats.org/officeDocument/2006/relationships/header"/><Relationship Id="rId6" Target="footer1.xml" Type="http://schemas.openxmlformats.org/officeDocument/2006/relationships/footer"/><Relationship Id="rId7" Target="theme/theme1.xml" Type="http://schemas.openxmlformats.org/officeDocument/2006/relationships/theme"/><Relationship Id="rId8" Target="fontTable.xml" Type="http://schemas.openxmlformats.org/officeDocument/2006/relationships/fontTable"/></Relationships>
</file>

<file path=word/_rels/head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2" Target="media/image2.png" Type="http://schemas.openxmlformats.org/officeDocument/2006/relationships/image"/></Relationships>
</file>

<file path=word/_rels/head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header3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2026-03-10T02:04:38Z</dcterms:created>
  <dc:creator>User</dc:creator>
  <cp:lastModifiedBy>User</cp:lastModifiedBy>
  <dcterms:modified xsi:type="dcterms:W3CDTF">2026-03-10T02:04:46Z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F1B1DEA8F5154B7FBB0F1E8C603730B9</vt:lpwstr>
  </property>
</Properties>
</file>