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BD2" w:rsidRDefault="002831AE">
      <w:pPr>
        <w:pStyle w:val="1"/>
        <w:shd w:val="clear" w:color="auto" w:fill="FFFFFF"/>
        <w:spacing w:before="0" w:beforeAutospacing="0" w:after="225" w:afterAutospacing="0" w:line="360" w:lineRule="auto"/>
        <w:jc w:val="center"/>
        <w:rPr>
          <w:rFonts w:ascii="黑体" w:eastAsia="黑体" w:hAnsi="黑体" w:cs="黑体"/>
          <w:sz w:val="28"/>
          <w:szCs w:val="28"/>
        </w:rPr>
      </w:pPr>
      <w:r>
        <w:rPr>
          <w:rFonts w:ascii="黑体" w:eastAsia="黑体" w:hAnsi="黑体" w:cs="黑体" w:hint="eastAsia"/>
          <w:sz w:val="28"/>
          <w:szCs w:val="28"/>
        </w:rPr>
        <w:t>关于部分理财产品产品份额类别设置变更的公告</w:t>
      </w:r>
    </w:p>
    <w:p w:rsidR="00DF3BD2" w:rsidRDefault="00DF3BD2">
      <w:pPr>
        <w:pStyle w:val="1"/>
        <w:shd w:val="clear" w:color="auto" w:fill="FFFFFF"/>
        <w:spacing w:before="0" w:beforeAutospacing="0" w:after="225" w:afterAutospacing="0" w:line="360" w:lineRule="auto"/>
        <w:jc w:val="center"/>
        <w:rPr>
          <w:rFonts w:ascii="黑体" w:eastAsia="黑体" w:hAnsi="黑体" w:cs="黑体"/>
          <w:sz w:val="28"/>
          <w:szCs w:val="28"/>
        </w:rPr>
      </w:pPr>
    </w:p>
    <w:p w:rsidR="00DF3BD2" w:rsidRDefault="002831AE">
      <w:pPr>
        <w:widowControl/>
        <w:shd w:val="clear" w:color="auto" w:fill="FFFFFF"/>
        <w:spacing w:line="360" w:lineRule="auto"/>
        <w:jc w:val="left"/>
        <w:rPr>
          <w:rFonts w:ascii="仿宋_GB2312" w:eastAsia="仿宋_GB2312" w:hAnsi="仿宋_GB2312" w:cs="仿宋_GB2312"/>
          <w:b/>
          <w:bCs/>
          <w:kern w:val="0"/>
          <w:szCs w:val="21"/>
        </w:rPr>
      </w:pPr>
      <w:r>
        <w:rPr>
          <w:rFonts w:ascii="仿宋_GB2312" w:eastAsia="仿宋_GB2312" w:hAnsi="仿宋_GB2312" w:cs="仿宋_GB2312" w:hint="eastAsia"/>
          <w:b/>
          <w:bCs/>
          <w:kern w:val="0"/>
          <w:szCs w:val="21"/>
        </w:rPr>
        <w:t>尊敬的投资者：</w:t>
      </w:r>
    </w:p>
    <w:p w:rsidR="00DF3BD2" w:rsidRDefault="002831AE">
      <w:pPr>
        <w:spacing w:line="360" w:lineRule="auto"/>
        <w:ind w:firstLine="422"/>
        <w:rPr>
          <w:rFonts w:ascii="仿宋_GB2312" w:eastAsia="仿宋_GB2312"/>
        </w:rPr>
      </w:pPr>
      <w:r>
        <w:rPr>
          <w:rFonts w:ascii="仿宋_GB2312" w:eastAsia="仿宋_GB2312" w:hAnsi="仿宋_GB2312" w:cs="仿宋_GB2312" w:hint="eastAsia"/>
          <w:kern w:val="0"/>
          <w:szCs w:val="21"/>
        </w:rPr>
        <w:t>为更好的服务广大投资者，产品管理人计划对部分理财产品产品份额类别设置进行变更，</w:t>
      </w:r>
      <w:r>
        <w:rPr>
          <w:rFonts w:ascii="仿宋_GB2312" w:eastAsia="仿宋_GB2312" w:hint="eastAsia"/>
        </w:rPr>
        <w:t>并对理财产品销售文件进行变更</w:t>
      </w:r>
      <w:r>
        <w:rPr>
          <w:rFonts w:ascii="仿宋_GB2312" w:eastAsia="仿宋_GB2312" w:hAnsi="仿宋_GB2312" w:cs="仿宋_GB2312" w:hint="eastAsia"/>
          <w:kern w:val="0"/>
          <w:szCs w:val="21"/>
        </w:rPr>
        <w:t>。本次变更前，相关理财产品不设置差异化产品份额类别，变更后，相关理财产品将根据投资者购买理财产品的金额、投资者类型、销售渠道等因素，对投资者所持有的理财产品份额设置不同的理财产品份额类别，同时相关理财产品现有的产品份额将设置为【A】类份额。</w:t>
      </w:r>
      <w:r>
        <w:rPr>
          <w:rFonts w:ascii="仿宋_GB2312" w:eastAsia="仿宋_GB2312"/>
        </w:rPr>
        <w:t>相关</w:t>
      </w:r>
      <w:r>
        <w:rPr>
          <w:rFonts w:ascii="仿宋_GB2312" w:eastAsia="仿宋_GB2312" w:hint="eastAsia"/>
        </w:rPr>
        <w:t>事项公告如下：</w:t>
      </w:r>
    </w:p>
    <w:p w:rsidR="00DF3BD2" w:rsidRDefault="002831AE">
      <w:pPr>
        <w:spacing w:line="360" w:lineRule="auto"/>
        <w:ind w:firstLine="422"/>
        <w:rPr>
          <w:rFonts w:ascii="仿宋_GB2312" w:eastAsia="仿宋_GB2312"/>
          <w:b/>
        </w:rPr>
      </w:pPr>
      <w:r>
        <w:rPr>
          <w:rFonts w:ascii="仿宋_GB2312" w:eastAsia="仿宋_GB2312" w:hint="eastAsia"/>
          <w:b/>
        </w:rPr>
        <w:t>一、涉及的理财产品范围</w:t>
      </w:r>
    </w:p>
    <w:p w:rsidR="00DF3BD2" w:rsidRDefault="002831AE">
      <w:pPr>
        <w:spacing w:line="360" w:lineRule="auto"/>
        <w:ind w:firstLine="422"/>
        <w:rPr>
          <w:rFonts w:ascii="仿宋_GB2312" w:eastAsia="仿宋_GB2312"/>
        </w:rPr>
      </w:pPr>
      <w:r>
        <w:rPr>
          <w:rFonts w:ascii="仿宋_GB2312" w:eastAsia="仿宋_GB2312" w:hint="eastAsia"/>
        </w:rPr>
        <w:t>涉及变更的理财产品详见附件1：理财产品清单。</w:t>
      </w:r>
    </w:p>
    <w:p w:rsidR="00DF3BD2" w:rsidRDefault="002831AE">
      <w:pPr>
        <w:spacing w:line="360" w:lineRule="auto"/>
        <w:ind w:firstLine="422"/>
        <w:rPr>
          <w:rFonts w:ascii="仿宋_GB2312" w:eastAsia="仿宋_GB2312"/>
          <w:b/>
        </w:rPr>
      </w:pPr>
      <w:r>
        <w:rPr>
          <w:rFonts w:ascii="仿宋_GB2312" w:eastAsia="仿宋_GB2312" w:hint="eastAsia"/>
          <w:b/>
        </w:rPr>
        <w:t>二、理财产品销售文件的变更</w:t>
      </w:r>
    </w:p>
    <w:p w:rsidR="00DF3BD2" w:rsidRDefault="002831AE">
      <w:pPr>
        <w:spacing w:line="360" w:lineRule="auto"/>
        <w:ind w:firstLineChars="200" w:firstLine="422"/>
        <w:rPr>
          <w:rFonts w:ascii="仿宋_GB2312" w:eastAsia="仿宋_GB2312"/>
          <w:b/>
        </w:rPr>
      </w:pPr>
      <w:r>
        <w:rPr>
          <w:rFonts w:ascii="仿宋_GB2312" w:eastAsia="仿宋_GB2312" w:hint="eastAsia"/>
          <w:b/>
        </w:rPr>
        <w:t>（一）产品份额类别设置的变更</w:t>
      </w:r>
    </w:p>
    <w:p w:rsidR="00DF3BD2" w:rsidRDefault="002831AE">
      <w:pPr>
        <w:spacing w:line="360" w:lineRule="auto"/>
        <w:ind w:firstLine="422"/>
        <w:rPr>
          <w:rFonts w:ascii="仿宋_GB2312" w:eastAsia="仿宋_GB2312"/>
        </w:rPr>
      </w:pPr>
      <w:r>
        <w:rPr>
          <w:rFonts w:ascii="仿宋_GB2312" w:eastAsia="仿宋_GB2312" w:hint="eastAsia"/>
        </w:rPr>
        <w:t>将原《产品说明书》中第二条 理财产品基本情况中“★产品份额类别”进行修改。</w:t>
      </w:r>
    </w:p>
    <w:p w:rsidR="00DF3BD2" w:rsidRDefault="002831AE">
      <w:pPr>
        <w:spacing w:line="360" w:lineRule="auto"/>
        <w:ind w:firstLine="422"/>
        <w:rPr>
          <w:rFonts w:ascii="仿宋_GB2312" w:eastAsia="仿宋_GB2312"/>
          <w:b/>
        </w:rPr>
      </w:pPr>
      <w:r>
        <w:rPr>
          <w:rFonts w:ascii="仿宋_GB2312" w:eastAsia="仿宋_GB2312" w:hint="eastAsia"/>
          <w:b/>
        </w:rPr>
        <w:t>原条款为：</w:t>
      </w:r>
    </w:p>
    <w:p w:rsidR="00DF3BD2" w:rsidRDefault="002831AE">
      <w:pPr>
        <w:spacing w:line="360" w:lineRule="auto"/>
        <w:ind w:firstLine="422"/>
        <w:rPr>
          <w:rFonts w:ascii="仿宋_GB2312" w:eastAsia="仿宋_GB2312"/>
        </w:rPr>
      </w:pPr>
      <w:r>
        <w:rPr>
          <w:rFonts w:ascii="仿宋_GB2312" w:eastAsia="仿宋_GB2312" w:hint="eastAsia"/>
        </w:rPr>
        <w:t>“</w:t>
      </w:r>
      <w:r>
        <w:rPr>
          <w:rFonts w:ascii="仿宋_GB2312" w:eastAsia="仿宋_GB2312" w:hAnsi="仿宋_GB2312" w:cs="仿宋_GB2312" w:hint="eastAsia"/>
          <w:kern w:val="0"/>
          <w:szCs w:val="21"/>
        </w:rPr>
        <w:t>本产品不设置差异化母子份额类别。</w:t>
      </w:r>
      <w:r>
        <w:rPr>
          <w:rFonts w:ascii="仿宋_GB2312" w:eastAsia="仿宋_GB2312" w:hint="eastAsia"/>
        </w:rPr>
        <w:t>”</w:t>
      </w:r>
    </w:p>
    <w:p w:rsidR="00DF3BD2" w:rsidRDefault="002831AE">
      <w:pPr>
        <w:spacing w:line="360" w:lineRule="auto"/>
        <w:ind w:firstLine="422"/>
        <w:rPr>
          <w:rFonts w:ascii="仿宋_GB2312" w:eastAsia="仿宋_GB2312"/>
          <w:b/>
        </w:rPr>
      </w:pPr>
      <w:r>
        <w:rPr>
          <w:rFonts w:ascii="仿宋_GB2312" w:eastAsia="仿宋_GB2312" w:hint="eastAsia"/>
          <w:b/>
        </w:rPr>
        <w:t>现修改为：</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“1.本产品根据投资者购买理财产品的金额、投资者类型、销售渠道等因素，对投资者所持有的理财产品份额设置不同的理财产品份额类别。</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2.本产品设置不同的理财产品份额，每类理财产品份额以下内容将单独设置：</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（1）销售名称</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（2）收费方式</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（3）销售服务费</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（4）销售代码</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（5）销售对象</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（6）销售起点金额（认购、申购的起点金额）</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lastRenderedPageBreak/>
        <w:t>（7）投资者认购、申购和赎回的数量限制</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（8）投资者持有本产品的最高限额、最低限额</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（9）分别计算和公告产品份额净值</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3.投资者可根据实际情况自行选择认购的产品份额类别。</w:t>
      </w:r>
    </w:p>
    <w:p w:rsidR="00DF3BD2" w:rsidRDefault="002831AE">
      <w:pPr>
        <w:widowControl/>
        <w:numPr>
          <w:ilvl w:val="255"/>
          <w:numId w:val="0"/>
        </w:numPr>
        <w:shd w:val="clear" w:color="auto" w:fill="FFFFFF"/>
        <w:spacing w:before="150" w:after="150" w:line="360" w:lineRule="auto"/>
        <w:ind w:firstLineChars="200" w:firstLine="420"/>
        <w:jc w:val="left"/>
        <w:rPr>
          <w:rFonts w:ascii="仿宋_GB2312" w:eastAsia="仿宋_GB2312"/>
        </w:rPr>
      </w:pPr>
      <w:r>
        <w:rPr>
          <w:rFonts w:ascii="仿宋_GB2312" w:eastAsia="仿宋_GB2312" w:hint="eastAsia"/>
        </w:rPr>
        <w:t>注：本产品说明书所列示产品份额类别仅为本产品项下某一类产品份额。其他类别的产品份额情况以产品管理人披露为准。”</w:t>
      </w:r>
    </w:p>
    <w:p w:rsidR="00DF3BD2" w:rsidRDefault="002831AE">
      <w:pPr>
        <w:spacing w:line="360" w:lineRule="auto"/>
        <w:ind w:firstLineChars="200" w:firstLine="422"/>
        <w:rPr>
          <w:rFonts w:ascii="仿宋_GB2312" w:eastAsia="仿宋_GB2312"/>
          <w:b/>
        </w:rPr>
      </w:pPr>
      <w:r>
        <w:rPr>
          <w:rFonts w:ascii="仿宋_GB2312" w:eastAsia="仿宋_GB2312" w:hint="eastAsia"/>
          <w:b/>
        </w:rPr>
        <w:t>（二）产品份额类别适用的提示</w:t>
      </w:r>
    </w:p>
    <w:p w:rsidR="00DF3BD2" w:rsidRDefault="002831AE">
      <w:pPr>
        <w:spacing w:line="360" w:lineRule="auto"/>
        <w:ind w:firstLine="422"/>
        <w:rPr>
          <w:rFonts w:ascii="仿宋_GB2312" w:eastAsia="仿宋_GB2312"/>
        </w:rPr>
      </w:pPr>
      <w:r>
        <w:rPr>
          <w:rFonts w:ascii="仿宋_GB2312" w:eastAsia="仿宋_GB2312" w:hint="eastAsia"/>
        </w:rPr>
        <w:t>在原《产品说明书》第二条 理财产品基本情况“产品销售名称”、“销售代码”、“★销售起点金额及递增金额”、“★认购、申购与赎回的数量限制”、“★业绩比较基准”、“★业绩报酬计提基准”、“★理财产品费用”中增加</w:t>
      </w:r>
      <w:r>
        <w:rPr>
          <w:rFonts w:ascii="仿宋_GB2312" w:eastAsia="仿宋_GB2312" w:hAnsi="仿宋_GB2312" w:cs="仿宋_GB2312" w:hint="eastAsia"/>
          <w:kern w:val="0"/>
          <w:szCs w:val="21"/>
        </w:rPr>
        <w:t>“（适用【A】类份额）”的提示</w:t>
      </w:r>
      <w:r>
        <w:rPr>
          <w:rFonts w:ascii="仿宋_GB2312" w:eastAsia="仿宋_GB2312" w:hint="eastAsia"/>
        </w:rPr>
        <w:t>。</w:t>
      </w:r>
    </w:p>
    <w:p w:rsidR="00DF3BD2" w:rsidRDefault="002831AE">
      <w:pPr>
        <w:spacing w:line="360" w:lineRule="auto"/>
        <w:ind w:firstLineChars="200" w:firstLine="422"/>
        <w:rPr>
          <w:rFonts w:ascii="仿宋_GB2312" w:eastAsia="仿宋_GB2312"/>
          <w:b/>
        </w:rPr>
      </w:pPr>
      <w:r>
        <w:rPr>
          <w:rFonts w:ascii="仿宋_GB2312" w:eastAsia="仿宋_GB2312" w:hint="eastAsia"/>
          <w:b/>
        </w:rPr>
        <w:t>（三）理财产品销售文件其他条款的变更</w:t>
      </w:r>
    </w:p>
    <w:p w:rsidR="00DF3BD2" w:rsidRDefault="002831AE">
      <w:pPr>
        <w:widowControl/>
        <w:spacing w:line="360" w:lineRule="auto"/>
        <w:ind w:firstLineChars="200" w:firstLine="420"/>
        <w:rPr>
          <w:rFonts w:ascii="仿宋_GB2312" w:eastAsia="仿宋_GB2312"/>
        </w:rPr>
      </w:pPr>
      <w:r>
        <w:rPr>
          <w:rFonts w:ascii="仿宋_GB2312" w:eastAsia="仿宋_GB2312" w:hint="eastAsia"/>
        </w:rPr>
        <w:t>对原销售文件的格式化条款的表述、文本的体例、格式进行变更。此部分内容的调整，主要为了实现与其他同类型产品结构的理财产品销售文件实现条款表述上的统一。</w:t>
      </w:r>
    </w:p>
    <w:p w:rsidR="00DF3BD2" w:rsidRDefault="002831AE">
      <w:pPr>
        <w:widowControl/>
        <w:spacing w:line="360" w:lineRule="auto"/>
        <w:ind w:firstLine="422"/>
        <w:jc w:val="left"/>
        <w:rPr>
          <w:rFonts w:ascii="仿宋_GB2312" w:eastAsia="仿宋_GB2312"/>
          <w:b/>
        </w:rPr>
      </w:pPr>
      <w:r>
        <w:rPr>
          <w:rFonts w:ascii="仿宋_GB2312" w:eastAsia="仿宋_GB2312" w:hint="eastAsia"/>
          <w:b/>
        </w:rPr>
        <w:t>三、理财产品销售文件变更的生效</w:t>
      </w:r>
    </w:p>
    <w:p w:rsidR="00DF3BD2" w:rsidRDefault="002831AE">
      <w:pPr>
        <w:widowControl/>
        <w:spacing w:line="360" w:lineRule="auto"/>
        <w:ind w:firstLineChars="200" w:firstLine="422"/>
        <w:jc w:val="left"/>
        <w:rPr>
          <w:rFonts w:ascii="仿宋_GB2312" w:eastAsia="仿宋_GB2312"/>
          <w:b/>
          <w:bCs/>
        </w:rPr>
      </w:pPr>
      <w:r>
        <w:rPr>
          <w:rFonts w:ascii="仿宋_GB2312" w:eastAsia="仿宋_GB2312" w:hint="eastAsia"/>
          <w:b/>
          <w:bCs/>
        </w:rPr>
        <w:t xml:space="preserve">（一）变更条款的生效 </w:t>
      </w:r>
    </w:p>
    <w:p w:rsidR="00DF3BD2" w:rsidRDefault="002831AE">
      <w:pPr>
        <w:widowControl/>
        <w:spacing w:line="360" w:lineRule="auto"/>
        <w:ind w:firstLineChars="200" w:firstLine="420"/>
        <w:jc w:val="left"/>
        <w:rPr>
          <w:rFonts w:ascii="仿宋_GB2312" w:eastAsia="仿宋_GB2312"/>
        </w:rPr>
      </w:pPr>
      <w:r>
        <w:rPr>
          <w:rFonts w:ascii="仿宋_GB2312" w:eastAsia="仿宋_GB2312" w:hint="eastAsia"/>
        </w:rPr>
        <w:t>1、本次销售文件变更事项已依据理财产品销售文件约定履行规定程序及相应信息披露义务，符合相关法律法规的规定。修订后的理财产品销售文件变更条款生效日为：【</w:t>
      </w:r>
      <w:r w:rsidR="008E10F7">
        <w:rPr>
          <w:rFonts w:ascii="仿宋_GB2312" w:eastAsia="仿宋_GB2312" w:hint="eastAsia"/>
        </w:rPr>
        <w:t>2023</w:t>
      </w:r>
      <w:r>
        <w:rPr>
          <w:rFonts w:ascii="仿宋_GB2312" w:eastAsia="仿宋_GB2312" w:hint="eastAsia"/>
        </w:rPr>
        <w:t>】年【</w:t>
      </w:r>
      <w:r w:rsidR="00600044">
        <w:rPr>
          <w:rFonts w:ascii="仿宋_GB2312" w:eastAsia="仿宋_GB2312"/>
        </w:rPr>
        <w:t>8</w:t>
      </w:r>
      <w:r>
        <w:rPr>
          <w:rFonts w:ascii="仿宋_GB2312" w:eastAsia="仿宋_GB2312" w:hint="eastAsia"/>
        </w:rPr>
        <w:t>】月【</w:t>
      </w:r>
      <w:r w:rsidR="00600044">
        <w:rPr>
          <w:rFonts w:ascii="仿宋_GB2312" w:eastAsia="仿宋_GB2312"/>
        </w:rPr>
        <w:t>9</w:t>
      </w:r>
      <w:r>
        <w:rPr>
          <w:rFonts w:ascii="仿宋_GB2312" w:eastAsia="仿宋_GB2312" w:hint="eastAsia"/>
        </w:rPr>
        <w:t>】日。</w:t>
      </w:r>
    </w:p>
    <w:p w:rsidR="00DF3BD2" w:rsidRDefault="002831AE">
      <w:pPr>
        <w:widowControl/>
        <w:spacing w:line="360" w:lineRule="auto"/>
        <w:ind w:firstLineChars="200" w:firstLine="420"/>
        <w:jc w:val="left"/>
        <w:rPr>
          <w:rFonts w:ascii="仿宋_GB2312" w:eastAsia="仿宋_GB2312"/>
        </w:rPr>
      </w:pPr>
      <w:r>
        <w:rPr>
          <w:rFonts w:ascii="仿宋_GB2312" w:eastAsia="仿宋_GB2312" w:hint="eastAsia"/>
        </w:rPr>
        <w:t>2、本次产品份额类别设置的变更后，已持有相关理财产品份额的投资者，自上述变更生效日起持有相关理财产品的【A】类产品份额。</w:t>
      </w:r>
    </w:p>
    <w:p w:rsidR="00DF3BD2" w:rsidRDefault="002831AE">
      <w:pPr>
        <w:widowControl/>
        <w:spacing w:line="360" w:lineRule="auto"/>
        <w:ind w:firstLineChars="200" w:firstLine="422"/>
        <w:jc w:val="left"/>
        <w:rPr>
          <w:rFonts w:ascii="仿宋_GB2312" w:eastAsia="仿宋_GB2312"/>
          <w:b/>
          <w:bCs/>
        </w:rPr>
      </w:pPr>
      <w:r>
        <w:rPr>
          <w:rFonts w:ascii="仿宋_GB2312" w:eastAsia="仿宋_GB2312" w:hint="eastAsia"/>
          <w:b/>
          <w:bCs/>
        </w:rPr>
        <w:t>（二）理财产品销售文件的文本替换</w:t>
      </w:r>
    </w:p>
    <w:p w:rsidR="00DF3BD2" w:rsidRDefault="002831AE">
      <w:pPr>
        <w:widowControl/>
        <w:spacing w:line="360" w:lineRule="auto"/>
        <w:ind w:firstLineChars="200" w:firstLine="420"/>
        <w:jc w:val="left"/>
        <w:rPr>
          <w:rFonts w:ascii="仿宋_GB2312" w:eastAsia="仿宋_GB2312"/>
        </w:rPr>
      </w:pPr>
      <w:r>
        <w:rPr>
          <w:rFonts w:ascii="仿宋_GB2312" w:eastAsia="仿宋_GB2312" w:hint="eastAsia"/>
        </w:rPr>
        <w:t>管理人将在变更条款生效日后，及时替换更新理财产品销售文件文本。</w:t>
      </w:r>
    </w:p>
    <w:p w:rsidR="00DF3BD2" w:rsidRDefault="002831AE">
      <w:pPr>
        <w:spacing w:line="360" w:lineRule="auto"/>
        <w:ind w:firstLineChars="200" w:firstLine="422"/>
        <w:rPr>
          <w:rFonts w:ascii="仿宋_GB2312" w:eastAsia="仿宋_GB2312"/>
          <w:b/>
        </w:rPr>
      </w:pPr>
      <w:r>
        <w:rPr>
          <w:rFonts w:ascii="仿宋_GB2312" w:eastAsia="仿宋_GB2312" w:hint="eastAsia"/>
          <w:b/>
        </w:rPr>
        <w:t>投资者如需了解本次理财产品销售文件变更的详细内容，请在理财产品的信息披露渠道（</w:t>
      </w:r>
      <w:r>
        <w:rPr>
          <w:rFonts w:ascii="仿宋_GB2312" w:eastAsia="仿宋_GB2312"/>
          <w:b/>
        </w:rPr>
        <w:t>产品管理人将以兴业银行或销售机构的信息披露渠道</w:t>
      </w:r>
      <w:r>
        <w:rPr>
          <w:rFonts w:ascii="仿宋_GB2312" w:eastAsia="仿宋_GB2312" w:hint="eastAsia"/>
          <w:b/>
        </w:rPr>
        <w:t>，包括但不限于兴业银行或销售机构的营业网点、门户网站、电子销售渠道等）查看变更后的理财产品销售文件。</w:t>
      </w:r>
    </w:p>
    <w:p w:rsidR="00DF3BD2" w:rsidRDefault="002831AE">
      <w:pPr>
        <w:spacing w:line="360" w:lineRule="auto"/>
        <w:ind w:firstLineChars="200" w:firstLine="422"/>
        <w:rPr>
          <w:rFonts w:ascii="仿宋_GB2312" w:eastAsia="仿宋_GB2312" w:cs="宋体"/>
          <w:b/>
          <w:kern w:val="0"/>
          <w:szCs w:val="21"/>
        </w:rPr>
      </w:pPr>
      <w:r>
        <w:rPr>
          <w:rFonts w:ascii="仿宋_GB2312" w:eastAsia="仿宋_GB2312" w:cs="宋体" w:hint="eastAsia"/>
          <w:b/>
          <w:kern w:val="0"/>
          <w:szCs w:val="21"/>
        </w:rPr>
        <w:t>四、</w:t>
      </w:r>
      <w:r>
        <w:rPr>
          <w:rFonts w:ascii="仿宋_GB2312" w:eastAsia="仿宋_GB2312" w:cs="宋体"/>
          <w:b/>
          <w:kern w:val="0"/>
          <w:szCs w:val="21"/>
        </w:rPr>
        <w:t>其他</w:t>
      </w:r>
    </w:p>
    <w:p w:rsidR="00DF3BD2" w:rsidRDefault="002831AE">
      <w:pPr>
        <w:spacing w:line="360" w:lineRule="auto"/>
        <w:ind w:firstLineChars="200" w:firstLine="420"/>
        <w:rPr>
          <w:rFonts w:ascii="仿宋_GB2312" w:eastAsia="仿宋_GB2312" w:cs="宋体"/>
          <w:kern w:val="0"/>
          <w:szCs w:val="21"/>
        </w:rPr>
      </w:pPr>
      <w:r>
        <w:rPr>
          <w:rFonts w:ascii="仿宋_GB2312" w:eastAsia="仿宋_GB2312" w:cs="宋体" w:hint="eastAsia"/>
          <w:kern w:val="0"/>
          <w:szCs w:val="21"/>
        </w:rPr>
        <w:t>如有疑问，您可向兴银理财有限</w:t>
      </w:r>
      <w:r>
        <w:rPr>
          <w:rFonts w:ascii="仿宋_GB2312" w:eastAsia="仿宋_GB2312" w:cs="宋体"/>
          <w:kern w:val="0"/>
          <w:szCs w:val="21"/>
        </w:rPr>
        <w:t>责任公司</w:t>
      </w:r>
      <w:r>
        <w:rPr>
          <w:rFonts w:ascii="仿宋_GB2312" w:eastAsia="仿宋_GB2312" w:cs="宋体" w:hint="eastAsia"/>
          <w:kern w:val="0"/>
          <w:szCs w:val="21"/>
        </w:rPr>
        <w:t>客户服务热线【</w:t>
      </w:r>
      <w:r>
        <w:rPr>
          <w:rFonts w:ascii="仿宋_GB2312" w:eastAsia="仿宋_GB2312" w:cs="宋体"/>
          <w:kern w:val="0"/>
          <w:szCs w:val="21"/>
        </w:rPr>
        <w:t>40015-95561</w:t>
      </w:r>
      <w:r>
        <w:rPr>
          <w:rFonts w:ascii="仿宋_GB2312" w:eastAsia="仿宋_GB2312" w:cs="宋体" w:hint="eastAsia"/>
          <w:kern w:val="0"/>
          <w:szCs w:val="21"/>
        </w:rPr>
        <w:t>】咨询。感谢您一直以来对兴银理财有限</w:t>
      </w:r>
      <w:r>
        <w:rPr>
          <w:rFonts w:ascii="仿宋_GB2312" w:eastAsia="仿宋_GB2312" w:cs="宋体"/>
          <w:kern w:val="0"/>
          <w:szCs w:val="21"/>
        </w:rPr>
        <w:t>责任公司</w:t>
      </w:r>
      <w:r>
        <w:rPr>
          <w:rFonts w:ascii="仿宋_GB2312" w:eastAsia="仿宋_GB2312" w:cs="宋体" w:hint="eastAsia"/>
          <w:kern w:val="0"/>
          <w:szCs w:val="21"/>
        </w:rPr>
        <w:t>的支持！敬请继续关注兴银理财有限</w:t>
      </w:r>
      <w:r>
        <w:rPr>
          <w:rFonts w:ascii="仿宋_GB2312" w:eastAsia="仿宋_GB2312" w:cs="宋体"/>
          <w:kern w:val="0"/>
          <w:szCs w:val="21"/>
        </w:rPr>
        <w:t>责任公司</w:t>
      </w:r>
      <w:r>
        <w:rPr>
          <w:rFonts w:ascii="仿宋_GB2312" w:eastAsia="仿宋_GB2312" w:cs="宋体" w:hint="eastAsia"/>
          <w:kern w:val="0"/>
          <w:szCs w:val="21"/>
        </w:rPr>
        <w:t>的理财产</w:t>
      </w:r>
      <w:r>
        <w:rPr>
          <w:rFonts w:ascii="仿宋_GB2312" w:eastAsia="仿宋_GB2312" w:cs="宋体" w:hint="eastAsia"/>
          <w:kern w:val="0"/>
          <w:szCs w:val="21"/>
        </w:rPr>
        <w:lastRenderedPageBreak/>
        <w:t>品。</w:t>
      </w:r>
    </w:p>
    <w:p w:rsidR="00DF3BD2" w:rsidRDefault="002831AE">
      <w:pPr>
        <w:spacing w:line="360" w:lineRule="auto"/>
        <w:ind w:firstLineChars="200" w:firstLine="420"/>
        <w:rPr>
          <w:rFonts w:ascii="仿宋_GB2312" w:eastAsia="仿宋_GB2312" w:cs="宋体"/>
          <w:kern w:val="0"/>
          <w:szCs w:val="21"/>
        </w:rPr>
      </w:pPr>
      <w:r>
        <w:rPr>
          <w:rFonts w:ascii="仿宋_GB2312" w:eastAsia="仿宋_GB2312" w:cs="宋体" w:hint="eastAsia"/>
          <w:kern w:val="0"/>
          <w:szCs w:val="21"/>
        </w:rPr>
        <w:t>特此公告。</w:t>
      </w:r>
    </w:p>
    <w:p w:rsidR="00DF3BD2" w:rsidRDefault="002831AE">
      <w:pPr>
        <w:widowControl/>
        <w:shd w:val="clear" w:color="auto" w:fill="FFFFFF"/>
        <w:spacing w:before="150" w:after="150" w:line="360" w:lineRule="auto"/>
        <w:ind w:firstLine="480"/>
        <w:jc w:val="right"/>
        <w:rPr>
          <w:rFonts w:ascii="仿宋_GB2312" w:eastAsia="仿宋_GB2312" w:hAnsi="仿宋_GB2312" w:cs="仿宋_GB2312"/>
          <w:kern w:val="0"/>
          <w:szCs w:val="21"/>
        </w:rPr>
      </w:pPr>
      <w:r>
        <w:rPr>
          <w:rFonts w:ascii="仿宋_GB2312" w:eastAsia="仿宋_GB2312" w:hAnsi="仿宋_GB2312" w:cs="仿宋_GB2312" w:hint="eastAsia"/>
          <w:kern w:val="0"/>
          <w:szCs w:val="21"/>
        </w:rPr>
        <w:t>产品管理人：兴银理财有限责任公司</w:t>
      </w:r>
    </w:p>
    <w:p w:rsidR="00DF3BD2" w:rsidRDefault="002831AE">
      <w:pPr>
        <w:widowControl/>
        <w:shd w:val="clear" w:color="auto" w:fill="FFFFFF"/>
        <w:spacing w:before="150" w:line="360" w:lineRule="auto"/>
        <w:ind w:firstLine="480"/>
        <w:jc w:val="right"/>
        <w:rPr>
          <w:rFonts w:ascii="仿宋_GB2312" w:eastAsia="仿宋_GB2312" w:hAnsi="仿宋_GB2312" w:cs="仿宋_GB2312"/>
          <w:kern w:val="0"/>
          <w:szCs w:val="21"/>
        </w:rPr>
      </w:pPr>
      <w:r>
        <w:rPr>
          <w:rFonts w:ascii="仿宋_GB2312" w:eastAsia="仿宋_GB2312" w:hAnsi="仿宋_GB2312" w:cs="仿宋_GB2312" w:hint="eastAsia"/>
          <w:kern w:val="0"/>
          <w:szCs w:val="21"/>
        </w:rPr>
        <w:t>【</w:t>
      </w:r>
      <w:r w:rsidR="008E10F7">
        <w:rPr>
          <w:rFonts w:ascii="仿宋_GB2312" w:eastAsia="仿宋_GB2312" w:hAnsi="仿宋_GB2312" w:cs="仿宋_GB2312" w:hint="eastAsia"/>
          <w:kern w:val="0"/>
          <w:szCs w:val="21"/>
        </w:rPr>
        <w:t>2023</w:t>
      </w:r>
      <w:r>
        <w:rPr>
          <w:rFonts w:ascii="仿宋_GB2312" w:eastAsia="仿宋_GB2312" w:hAnsi="仿宋_GB2312" w:cs="仿宋_GB2312" w:hint="eastAsia"/>
          <w:kern w:val="0"/>
          <w:szCs w:val="21"/>
        </w:rPr>
        <w:t>】年【</w:t>
      </w:r>
      <w:r w:rsidR="00600044">
        <w:rPr>
          <w:rFonts w:ascii="仿宋_GB2312" w:eastAsia="仿宋_GB2312" w:hAnsi="仿宋_GB2312" w:cs="仿宋_GB2312"/>
          <w:kern w:val="0"/>
          <w:szCs w:val="21"/>
        </w:rPr>
        <w:t>8</w:t>
      </w:r>
      <w:r>
        <w:rPr>
          <w:rFonts w:ascii="仿宋_GB2312" w:eastAsia="仿宋_GB2312" w:hAnsi="仿宋_GB2312" w:cs="仿宋_GB2312" w:hint="eastAsia"/>
          <w:kern w:val="0"/>
          <w:szCs w:val="21"/>
        </w:rPr>
        <w:t>】月【</w:t>
      </w:r>
      <w:r w:rsidR="006F60A0">
        <w:rPr>
          <w:rFonts w:ascii="仿宋_GB2312" w:eastAsia="仿宋_GB2312" w:hAnsi="仿宋_GB2312" w:cs="仿宋_GB2312"/>
          <w:kern w:val="0"/>
          <w:szCs w:val="21"/>
        </w:rPr>
        <w:t>3</w:t>
      </w:r>
      <w:bookmarkStart w:id="0" w:name="_GoBack"/>
      <w:bookmarkEnd w:id="0"/>
      <w:r>
        <w:rPr>
          <w:rFonts w:ascii="仿宋_GB2312" w:eastAsia="仿宋_GB2312" w:hAnsi="仿宋_GB2312" w:cs="仿宋_GB2312" w:hint="eastAsia"/>
          <w:kern w:val="0"/>
          <w:szCs w:val="21"/>
        </w:rPr>
        <w:t>】日</w:t>
      </w:r>
    </w:p>
    <w:p w:rsidR="00DF3BD2" w:rsidRDefault="002831AE">
      <w:pPr>
        <w:widowControl/>
        <w:spacing w:line="360" w:lineRule="auto"/>
        <w:jc w:val="left"/>
        <w:rPr>
          <w:rFonts w:ascii="仿宋_GB2312" w:eastAsia="仿宋_GB2312" w:hAnsi="仿宋_GB2312" w:cs="仿宋_GB2312"/>
          <w:kern w:val="0"/>
          <w:szCs w:val="21"/>
        </w:rPr>
      </w:pPr>
      <w:r>
        <w:rPr>
          <w:rFonts w:ascii="仿宋_GB2312" w:eastAsia="仿宋_GB2312" w:hAnsi="仿宋_GB2312" w:cs="仿宋_GB2312" w:hint="eastAsia"/>
          <w:kern w:val="0"/>
          <w:szCs w:val="21"/>
        </w:rPr>
        <w:br w:type="page"/>
      </w:r>
    </w:p>
    <w:p w:rsidR="00DF3BD2" w:rsidRDefault="002831AE">
      <w:pPr>
        <w:spacing w:line="360" w:lineRule="auto"/>
        <w:ind w:firstLine="422"/>
        <w:rPr>
          <w:rFonts w:ascii="仿宋_GB2312" w:eastAsia="仿宋_GB2312"/>
          <w:szCs w:val="21"/>
        </w:rPr>
      </w:pPr>
      <w:r>
        <w:rPr>
          <w:rFonts w:ascii="仿宋_GB2312" w:eastAsia="仿宋_GB2312" w:cs="宋体" w:hint="eastAsia"/>
          <w:b/>
          <w:kern w:val="0"/>
          <w:szCs w:val="21"/>
        </w:rPr>
        <w:lastRenderedPageBreak/>
        <w:t>附件</w:t>
      </w:r>
      <w:r>
        <w:rPr>
          <w:rFonts w:ascii="仿宋_GB2312" w:eastAsia="仿宋_GB2312" w:cs="宋体"/>
          <w:b/>
          <w:kern w:val="0"/>
          <w:szCs w:val="21"/>
        </w:rPr>
        <w:t>1</w:t>
      </w:r>
      <w:r>
        <w:rPr>
          <w:rFonts w:ascii="仿宋_GB2312" w:eastAsia="仿宋_GB2312" w:cs="宋体" w:hint="eastAsia"/>
          <w:b/>
          <w:kern w:val="0"/>
          <w:szCs w:val="21"/>
        </w:rPr>
        <w:t>：理财产品清单</w:t>
      </w:r>
    </w:p>
    <w:tbl>
      <w:tblPr>
        <w:tblW w:w="8387" w:type="dxa"/>
        <w:tblInd w:w="-5" w:type="dxa"/>
        <w:tblLayout w:type="fixed"/>
        <w:tblLook w:val="04A0" w:firstRow="1" w:lastRow="0" w:firstColumn="1" w:lastColumn="0" w:noHBand="0" w:noVBand="1"/>
      </w:tblPr>
      <w:tblGrid>
        <w:gridCol w:w="4747"/>
        <w:gridCol w:w="2010"/>
        <w:gridCol w:w="1630"/>
      </w:tblGrid>
      <w:tr w:rsidR="00DF3BD2">
        <w:trPr>
          <w:trHeight w:val="636"/>
        </w:trPr>
        <w:tc>
          <w:tcPr>
            <w:tcW w:w="4747" w:type="dxa"/>
            <w:tcBorders>
              <w:top w:val="single" w:sz="4" w:space="0" w:color="auto"/>
              <w:left w:val="single" w:sz="4" w:space="0" w:color="auto"/>
              <w:bottom w:val="single" w:sz="4" w:space="0" w:color="auto"/>
              <w:right w:val="single" w:sz="4" w:space="0" w:color="auto"/>
            </w:tcBorders>
            <w:shd w:val="clear" w:color="auto" w:fill="auto"/>
            <w:vAlign w:val="center"/>
          </w:tcPr>
          <w:p w:rsidR="00DF3BD2" w:rsidRDefault="002831AE">
            <w:pPr>
              <w:widowControl/>
              <w:spacing w:line="360" w:lineRule="auto"/>
              <w:jc w:val="center"/>
              <w:rPr>
                <w:rFonts w:ascii="仿宋_GB2312" w:eastAsia="仿宋_GB2312" w:hAnsi="仿宋_GB2312" w:cs="仿宋_GB2312"/>
                <w:b/>
                <w:kern w:val="0"/>
                <w:szCs w:val="21"/>
              </w:rPr>
            </w:pPr>
            <w:r>
              <w:rPr>
                <w:rFonts w:ascii="仿宋_GB2312" w:eastAsia="仿宋_GB2312" w:hAnsi="仿宋_GB2312" w:cs="仿宋_GB2312" w:hint="eastAsia"/>
                <w:b/>
                <w:kern w:val="0"/>
                <w:szCs w:val="21"/>
              </w:rPr>
              <w:t>理财产品名称</w:t>
            </w:r>
          </w:p>
        </w:tc>
        <w:tc>
          <w:tcPr>
            <w:tcW w:w="2010" w:type="dxa"/>
            <w:tcBorders>
              <w:top w:val="single" w:sz="4" w:space="0" w:color="auto"/>
              <w:left w:val="nil"/>
              <w:bottom w:val="single" w:sz="4" w:space="0" w:color="auto"/>
              <w:right w:val="single" w:sz="4" w:space="0" w:color="auto"/>
            </w:tcBorders>
            <w:shd w:val="clear" w:color="auto" w:fill="auto"/>
            <w:vAlign w:val="center"/>
          </w:tcPr>
          <w:p w:rsidR="00DF3BD2" w:rsidRDefault="002831AE">
            <w:pPr>
              <w:widowControl/>
              <w:spacing w:line="360" w:lineRule="auto"/>
              <w:jc w:val="center"/>
              <w:rPr>
                <w:rFonts w:ascii="仿宋_GB2312" w:eastAsia="仿宋_GB2312" w:hAnsi="仿宋_GB2312" w:cs="仿宋_GB2312"/>
                <w:b/>
                <w:kern w:val="0"/>
                <w:szCs w:val="21"/>
              </w:rPr>
            </w:pPr>
            <w:r>
              <w:rPr>
                <w:rFonts w:ascii="仿宋_GB2312" w:eastAsia="仿宋_GB2312" w:hAnsi="仿宋_GB2312" w:cs="仿宋_GB2312" w:hint="eastAsia"/>
                <w:b/>
                <w:kern w:val="0"/>
                <w:szCs w:val="21"/>
              </w:rPr>
              <w:t>产品登记编码</w:t>
            </w:r>
          </w:p>
        </w:tc>
        <w:tc>
          <w:tcPr>
            <w:tcW w:w="1630" w:type="dxa"/>
            <w:tcBorders>
              <w:top w:val="single" w:sz="4" w:space="0" w:color="auto"/>
              <w:left w:val="nil"/>
              <w:bottom w:val="single" w:sz="4" w:space="0" w:color="auto"/>
              <w:right w:val="single" w:sz="4" w:space="0" w:color="auto"/>
            </w:tcBorders>
            <w:shd w:val="clear" w:color="auto" w:fill="auto"/>
            <w:vAlign w:val="center"/>
          </w:tcPr>
          <w:p w:rsidR="00DF3BD2" w:rsidRDefault="002831AE">
            <w:pPr>
              <w:widowControl/>
              <w:spacing w:line="360" w:lineRule="auto"/>
              <w:jc w:val="center"/>
              <w:rPr>
                <w:rFonts w:ascii="仿宋_GB2312" w:eastAsia="仿宋_GB2312" w:hAnsi="仿宋_GB2312" w:cs="仿宋_GB2312"/>
                <w:b/>
                <w:kern w:val="0"/>
                <w:szCs w:val="21"/>
              </w:rPr>
            </w:pPr>
            <w:r>
              <w:rPr>
                <w:rFonts w:ascii="仿宋_GB2312" w:eastAsia="仿宋_GB2312" w:hAnsi="仿宋_GB2312" w:cs="仿宋_GB2312" w:hint="eastAsia"/>
                <w:b/>
                <w:kern w:val="0"/>
                <w:szCs w:val="21"/>
              </w:rPr>
              <w:t>产品代码</w:t>
            </w:r>
          </w:p>
        </w:tc>
      </w:tr>
      <w:tr w:rsidR="00DF3BD2">
        <w:trPr>
          <w:trHeight w:val="636"/>
        </w:trPr>
        <w:tc>
          <w:tcPr>
            <w:tcW w:w="4747" w:type="dxa"/>
            <w:tcBorders>
              <w:top w:val="single" w:sz="4" w:space="0" w:color="auto"/>
              <w:left w:val="single" w:sz="4" w:space="0" w:color="auto"/>
              <w:bottom w:val="single" w:sz="4" w:space="0" w:color="auto"/>
              <w:right w:val="single" w:sz="4" w:space="0" w:color="auto"/>
            </w:tcBorders>
            <w:shd w:val="clear" w:color="auto" w:fill="auto"/>
            <w:vAlign w:val="center"/>
          </w:tcPr>
          <w:p w:rsidR="00DF3BD2" w:rsidRDefault="009354F0">
            <w:pPr>
              <w:widowControl/>
              <w:spacing w:line="360" w:lineRule="auto"/>
              <w:rPr>
                <w:rFonts w:ascii="仿宋_GB2312" w:eastAsia="仿宋_GB2312" w:hAnsi="仿宋_GB2312" w:cs="仿宋_GB2312"/>
                <w:kern w:val="0"/>
                <w:szCs w:val="21"/>
              </w:rPr>
            </w:pPr>
            <w:r w:rsidRPr="009354F0">
              <w:rPr>
                <w:rFonts w:ascii="仿宋_GB2312" w:eastAsia="仿宋_GB2312" w:hAnsi="仿宋_GB2312" w:cs="仿宋_GB2312" w:hint="eastAsia"/>
                <w:kern w:val="0"/>
                <w:szCs w:val="21"/>
              </w:rPr>
              <w:t>兴业银行天天万利宝稳利1号净值型理财产品E款</w:t>
            </w:r>
          </w:p>
        </w:tc>
        <w:tc>
          <w:tcPr>
            <w:tcW w:w="2010" w:type="dxa"/>
            <w:tcBorders>
              <w:top w:val="single" w:sz="4" w:space="0" w:color="auto"/>
              <w:left w:val="nil"/>
              <w:bottom w:val="single" w:sz="4" w:space="0" w:color="auto"/>
              <w:right w:val="single" w:sz="4" w:space="0" w:color="auto"/>
            </w:tcBorders>
            <w:shd w:val="clear" w:color="auto" w:fill="auto"/>
            <w:vAlign w:val="center"/>
          </w:tcPr>
          <w:p w:rsidR="00DF3BD2" w:rsidRDefault="009354F0">
            <w:pPr>
              <w:widowControl/>
              <w:spacing w:line="360" w:lineRule="auto"/>
              <w:rPr>
                <w:rFonts w:ascii="仿宋_GB2312" w:eastAsia="仿宋_GB2312" w:hAnsi="仿宋_GB2312" w:cs="仿宋_GB2312"/>
                <w:kern w:val="0"/>
                <w:szCs w:val="21"/>
              </w:rPr>
            </w:pPr>
            <w:r w:rsidRPr="009354F0">
              <w:rPr>
                <w:rFonts w:ascii="仿宋_GB2312" w:eastAsia="仿宋_GB2312" w:hAnsi="仿宋_GB2312" w:cs="仿宋_GB2312"/>
                <w:kern w:val="0"/>
                <w:szCs w:val="21"/>
              </w:rPr>
              <w:t>Z7002020000009</w:t>
            </w:r>
          </w:p>
        </w:tc>
        <w:tc>
          <w:tcPr>
            <w:tcW w:w="1630" w:type="dxa"/>
            <w:tcBorders>
              <w:top w:val="single" w:sz="4" w:space="0" w:color="auto"/>
              <w:left w:val="nil"/>
              <w:bottom w:val="single" w:sz="4" w:space="0" w:color="auto"/>
              <w:right w:val="single" w:sz="4" w:space="0" w:color="auto"/>
            </w:tcBorders>
            <w:shd w:val="clear" w:color="auto" w:fill="auto"/>
            <w:vAlign w:val="center"/>
          </w:tcPr>
          <w:p w:rsidR="00DF3BD2" w:rsidRDefault="009354F0">
            <w:pPr>
              <w:widowControl/>
              <w:spacing w:line="360" w:lineRule="auto"/>
              <w:rPr>
                <w:rFonts w:ascii="仿宋_GB2312" w:eastAsia="仿宋_GB2312" w:hAnsi="仿宋_GB2312" w:cs="仿宋_GB2312"/>
                <w:kern w:val="0"/>
                <w:szCs w:val="21"/>
              </w:rPr>
            </w:pPr>
            <w:r>
              <w:rPr>
                <w:rFonts w:ascii="AdobeSongStd-Light" w:eastAsia="AdobeSongStd-Light" w:cs="AdobeSongStd-Light"/>
                <w:kern w:val="0"/>
                <w:sz w:val="20"/>
                <w:szCs w:val="20"/>
              </w:rPr>
              <w:t>9K218015</w:t>
            </w:r>
          </w:p>
        </w:tc>
      </w:tr>
    </w:tbl>
    <w:p w:rsidR="00DF3BD2" w:rsidRDefault="00DF3BD2">
      <w:pPr>
        <w:widowControl/>
        <w:shd w:val="clear" w:color="auto" w:fill="FFFFFF"/>
        <w:spacing w:before="150" w:line="360" w:lineRule="auto"/>
        <w:ind w:firstLine="480"/>
        <w:jc w:val="left"/>
        <w:rPr>
          <w:rFonts w:ascii="仿宋_GB2312" w:eastAsia="仿宋_GB2312" w:hAnsi="仿宋_GB2312" w:cs="仿宋_GB2312"/>
          <w:kern w:val="0"/>
          <w:szCs w:val="21"/>
        </w:rPr>
      </w:pPr>
    </w:p>
    <w:p w:rsidR="00DF3BD2" w:rsidRDefault="00DF3BD2">
      <w:pPr>
        <w:tabs>
          <w:tab w:val="left" w:pos="675"/>
        </w:tabs>
        <w:spacing w:line="360" w:lineRule="auto"/>
        <w:rPr>
          <w:rFonts w:ascii="仿宋_GB2312" w:eastAsia="仿宋_GB2312" w:hAnsi="仿宋_GB2312" w:cs="仿宋_GB2312"/>
          <w:szCs w:val="21"/>
        </w:rPr>
      </w:pPr>
    </w:p>
    <w:sectPr w:rsidR="00DF3B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A04" w:rsidRDefault="00B61A04" w:rsidP="008E10F7">
      <w:r>
        <w:separator/>
      </w:r>
    </w:p>
  </w:endnote>
  <w:endnote w:type="continuationSeparator" w:id="0">
    <w:p w:rsidR="00B61A04" w:rsidRDefault="00B61A04" w:rsidP="008E1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dobeSongStd-Light">
    <w:altName w:val="等线"/>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A04" w:rsidRDefault="00B61A04" w:rsidP="008E10F7">
      <w:r>
        <w:separator/>
      </w:r>
    </w:p>
  </w:footnote>
  <w:footnote w:type="continuationSeparator" w:id="0">
    <w:p w:rsidR="00B61A04" w:rsidRDefault="00B61A04" w:rsidP="008E10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D1476B"/>
    <w:rsid w:val="0000237E"/>
    <w:rsid w:val="00070351"/>
    <w:rsid w:val="000D10B9"/>
    <w:rsid w:val="00101B7C"/>
    <w:rsid w:val="0010633E"/>
    <w:rsid w:val="00136940"/>
    <w:rsid w:val="001622A0"/>
    <w:rsid w:val="00172C1B"/>
    <w:rsid w:val="001877EF"/>
    <w:rsid w:val="001E129E"/>
    <w:rsid w:val="00225AF5"/>
    <w:rsid w:val="00255D0F"/>
    <w:rsid w:val="00280F0C"/>
    <w:rsid w:val="002831AE"/>
    <w:rsid w:val="002C0200"/>
    <w:rsid w:val="002F6F13"/>
    <w:rsid w:val="003A001D"/>
    <w:rsid w:val="003C71F9"/>
    <w:rsid w:val="00425EEF"/>
    <w:rsid w:val="004B2E53"/>
    <w:rsid w:val="004C2660"/>
    <w:rsid w:val="004F54B2"/>
    <w:rsid w:val="00536FA8"/>
    <w:rsid w:val="005408AE"/>
    <w:rsid w:val="0056364B"/>
    <w:rsid w:val="005B0A89"/>
    <w:rsid w:val="00600044"/>
    <w:rsid w:val="00602818"/>
    <w:rsid w:val="006114DD"/>
    <w:rsid w:val="00630D84"/>
    <w:rsid w:val="0065357C"/>
    <w:rsid w:val="00682B9D"/>
    <w:rsid w:val="006C7A31"/>
    <w:rsid w:val="006F60A0"/>
    <w:rsid w:val="00752A1A"/>
    <w:rsid w:val="0077422D"/>
    <w:rsid w:val="007A4428"/>
    <w:rsid w:val="007A77B7"/>
    <w:rsid w:val="007F236B"/>
    <w:rsid w:val="0081516E"/>
    <w:rsid w:val="0083615B"/>
    <w:rsid w:val="008537FE"/>
    <w:rsid w:val="00857D51"/>
    <w:rsid w:val="008705EB"/>
    <w:rsid w:val="008946C8"/>
    <w:rsid w:val="008C6749"/>
    <w:rsid w:val="008E10F7"/>
    <w:rsid w:val="009354F0"/>
    <w:rsid w:val="009B7D05"/>
    <w:rsid w:val="009D21C7"/>
    <w:rsid w:val="00A65282"/>
    <w:rsid w:val="00A752D2"/>
    <w:rsid w:val="00A82163"/>
    <w:rsid w:val="00AB01C6"/>
    <w:rsid w:val="00B61A04"/>
    <w:rsid w:val="00C01CF8"/>
    <w:rsid w:val="00C2122D"/>
    <w:rsid w:val="00C32355"/>
    <w:rsid w:val="00C46103"/>
    <w:rsid w:val="00CB74DF"/>
    <w:rsid w:val="00CC6285"/>
    <w:rsid w:val="00D1476B"/>
    <w:rsid w:val="00D168DF"/>
    <w:rsid w:val="00D63490"/>
    <w:rsid w:val="00D63ACD"/>
    <w:rsid w:val="00DA791F"/>
    <w:rsid w:val="00DB50E4"/>
    <w:rsid w:val="00DD031F"/>
    <w:rsid w:val="00DF3BD2"/>
    <w:rsid w:val="00E37734"/>
    <w:rsid w:val="00E62B4F"/>
    <w:rsid w:val="00E62D70"/>
    <w:rsid w:val="00F72B8D"/>
    <w:rsid w:val="00F750E0"/>
    <w:rsid w:val="00FA28A8"/>
    <w:rsid w:val="00FC718A"/>
    <w:rsid w:val="05835963"/>
    <w:rsid w:val="08477B5D"/>
    <w:rsid w:val="21254C69"/>
    <w:rsid w:val="38310CA5"/>
    <w:rsid w:val="4F7D3978"/>
    <w:rsid w:val="55FE55B9"/>
    <w:rsid w:val="67FF9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BCABC864-D7A8-43B8-9042-AA0AD000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rPr>
      <w:kern w:val="2"/>
      <w:sz w:val="21"/>
      <w:szCs w:val="22"/>
    </w:rPr>
  </w:style>
  <w:style w:type="character" w:customStyle="1" w:styleId="Char3">
    <w:name w:val="批注主题 Char"/>
    <w:basedOn w:val="Char"/>
    <w:link w:val="a8"/>
    <w:uiPriority w:val="99"/>
    <w:semiHidden/>
    <w:qFormat/>
    <w:rPr>
      <w:b/>
      <w:bCs/>
      <w:kern w:val="2"/>
      <w:sz w:val="21"/>
      <w:szCs w:val="22"/>
    </w:rPr>
  </w:style>
  <w:style w:type="paragraph" w:styleId="aa">
    <w:name w:val="List Paragraph"/>
    <w:basedOn w:val="a"/>
    <w:uiPriority w:val="99"/>
    <w:qFormat/>
    <w:pPr>
      <w:ind w:firstLineChars="200" w:firstLine="420"/>
    </w:p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214</Words>
  <Characters>1221</Characters>
  <Application>Microsoft Office Word</Application>
  <DocSecurity>0</DocSecurity>
  <Lines>10</Lines>
  <Paragraphs>2</Paragraphs>
  <ScaleCrop>false</ScaleCrop>
  <Company>神州网信技术有限公司</Company>
  <LinksUpToDate>false</LinksUpToDate>
  <CharactersWithSpaces>1433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朱乐</dc:creator>
  <cp:lastModifiedBy>罗钦</cp:lastModifiedBy>
  <cp:revision>9</cp:revision>
  <cp:lastPrinted>2023-04-12T09:20:00Z</cp:lastPrinted>
  <dcterms:created xsi:type="dcterms:W3CDTF">2023-05-08T02:34:00Z</dcterms:created>
  <dcterms:modified xsi:type="dcterms:W3CDTF">2023-08-03T02:53:00Z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245D8492B4A14C52993A1EEEF0A30E1B_13</vt:lpwstr>
  </property>
</Properties>
</file>