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pStyle w:val="1"/>
        <w:widowControl/>
        <w:spacing w:beforeAutospacing="0" w:afterAutospacing="0"/>
        <w:jc w:val="center"/>
        <w:rPr>
          <w:rFonts w:ascii="方正小标宋简体" w:eastAsia="方正小标宋简体" w:cs="方正小标宋简体" w:hAnsi="方正小标宋简体"/>
          <w:b w:val="0"/>
          <w:bCs w:val="0"/>
          <w:sz w:val="44"/>
          <w:szCs w:val="44"/>
        </w:rPr>
      </w:pPr>
      <w:r>
        <w:rPr>
          <w:rFonts w:ascii="方正小标宋简体" w:eastAsia="方正小标宋简体" w:cs="方正小标宋简体" w:hAnsi="方正小标宋简体"/>
          <w:b w:val="0"/>
          <w:bCs w:val="0"/>
          <w:sz w:val="44"/>
          <w:szCs w:val="44"/>
        </w:rPr>
        <w:t>江苏太仓农村商业银行股份有限公司</w:t>
      </w:r>
    </w:p>
    <w:p>
      <w:pPr>
        <w:pStyle w:val="1"/>
        <w:widowControl/>
        <w:spacing w:beforeAutospacing="0" w:afterAutospacing="0"/>
        <w:jc w:val="center"/>
        <w:rPr>
          <w:rFonts w:ascii="方正小标宋简体" w:eastAsia="方正小标宋简体" w:cs="方正小标宋简体" w:hAnsi="方正小标宋简体"/>
          <w:b w:val="0"/>
          <w:bCs w:val="0"/>
          <w:sz w:val="44"/>
          <w:szCs w:val="44"/>
        </w:rPr>
      </w:pPr>
      <w:r>
        <w:rPr>
          <w:rFonts w:ascii="方正小标宋简体" w:eastAsia="方正小标宋简体" w:cs="方正小标宋简体" w:hAnsi="方正小标宋简体"/>
          <w:b w:val="0"/>
          <w:bCs w:val="0"/>
          <w:sz w:val="44"/>
          <w:szCs w:val="44"/>
        </w:rPr>
        <w:t>智慧停车项目供应商征集公告</w:t>
      </w:r>
    </w:p>
    <w:p>
      <w:pPr>
        <w:pStyle w:val="15"/>
        <w:widowControl/>
        <w:spacing w:beforeAutospacing="0" w:afterAutospacing="0"/>
        <w:rPr>
          <w:rFonts w:ascii="仿宋_GB2312" w:eastAsia="仿宋_GB2312" w:cs="仿宋_GB2312" w:hAnsi="仿宋_GB2312"/>
          <w:sz w:val="32"/>
          <w:szCs w:val="32"/>
        </w:rPr>
      </w:pPr>
      <w:r>
        <w:rPr>
          <w:rFonts w:ascii="仿宋_GB2312" w:eastAsia="仿宋_GB2312" w:cs="仿宋_GB2312" w:hAnsi="仿宋_GB2312" w:hint="eastAsia"/>
          <w:sz w:val="32"/>
          <w:szCs w:val="32"/>
        </w:rPr>
        <w:t xml:space="preserve">    公告说明：江苏太仓农村商业银行股份有限公司（以下简称：“太仓农商行”）就“智慧停车项目”面向社会公开征集遴选，诚邀符合资格条件的潜在供应商参与本次报名。现将有关事项公告如下：</w:t>
      </w:r>
    </w:p>
    <w:p>
      <w:pPr>
        <w:pStyle w:val="2"/>
        <w:widowControl/>
        <w:spacing w:beforeAutospacing="0" w:afterAutospacing="0"/>
        <w:ind w:firstLineChars="200" w:firstLine="640"/>
        <w:rPr>
          <w:rFonts w:ascii="仿宋_GB2312" w:eastAsia="仿宋_GB2312" w:cs="仿宋_GB2312" w:hAnsi="仿宋_GB2312"/>
          <w:sz w:val="32"/>
          <w:szCs w:val="32"/>
        </w:rPr>
      </w:pPr>
      <w:r>
        <w:rPr>
          <w:rFonts w:ascii="仿宋_GB2312" w:eastAsia="仿宋_GB2312" w:cs="仿宋_GB2312" w:hAnsi="仿宋_GB2312"/>
          <w:sz w:val="32"/>
          <w:szCs w:val="32"/>
        </w:rPr>
        <w:t>一、项目基本情况</w:t>
      </w:r>
    </w:p>
    <w:p>
      <w:pPr>
        <w:pStyle w:val="15"/>
        <w:widowControl/>
        <w:spacing w:beforeAutospacing="0" w:afterAutospacing="0"/>
        <w:ind w:firstLineChars="200" w:firstLine="640"/>
        <w:rPr>
          <w:rFonts w:ascii="仿宋_GB2312" w:eastAsia="仿宋_GB2312" w:cs="仿宋_GB2312" w:hAnsi="仿宋_GB2312"/>
          <w:sz w:val="32"/>
          <w:szCs w:val="32"/>
        </w:rPr>
      </w:pPr>
      <w:r>
        <w:rPr>
          <w:rFonts w:ascii="仿宋_GB2312" w:eastAsia="仿宋_GB2312" w:cs="仿宋_GB2312" w:hAnsi="仿宋_GB2312" w:hint="eastAsia"/>
          <w:sz w:val="32"/>
          <w:szCs w:val="32"/>
        </w:rPr>
        <w:t xml:space="preserve">1、项目名称：智慧停车项目 </w:t>
      </w:r>
    </w:p>
    <w:p>
      <w:pPr>
        <w:pStyle w:val="15"/>
        <w:widowControl/>
        <w:spacing w:beforeAutospacing="0" w:afterAutospacing="0"/>
        <w:ind w:firstLineChars="200" w:firstLine="640"/>
        <w:rPr>
          <w:rFonts w:ascii="仿宋_GB2312" w:eastAsia="仿宋_GB2312" w:cs="仿宋_GB2312" w:hAnsi="仿宋_GB2312"/>
          <w:sz w:val="32"/>
          <w:szCs w:val="32"/>
        </w:rPr>
      </w:pPr>
      <w:r>
        <w:rPr>
          <w:rFonts w:ascii="仿宋_GB2312" w:eastAsia="仿宋_GB2312" w:cs="仿宋_GB2312" w:hAnsi="仿宋_GB2312" w:hint="eastAsia"/>
          <w:sz w:val="32"/>
          <w:szCs w:val="32"/>
        </w:rPr>
        <w:t>2、项目概况：本项目服务对象为我行合作收单商户停车场，商户范围包括但不限于小区、园区、商业综合体、写字楼、校园等，本项目采用</w:t>
      </w:r>
      <w:r>
        <w:rPr>
          <w:rFonts w:ascii="仿宋_GB2312" w:eastAsia="仿宋_GB2312" w:cs="仿宋_GB2312" w:hAnsi="仿宋_GB2312" w:hint="eastAsia"/>
          <w:b/>
          <w:bCs/>
          <w:sz w:val="32"/>
          <w:szCs w:val="32"/>
        </w:rPr>
        <w:t>年费模式结算</w:t>
      </w:r>
      <w:r>
        <w:rPr>
          <w:rFonts w:ascii="仿宋_GB2312" w:eastAsia="仿宋_GB2312" w:cs="仿宋_GB2312" w:hAnsi="仿宋_GB2312" w:hint="eastAsia"/>
          <w:sz w:val="32"/>
          <w:szCs w:val="32"/>
        </w:rPr>
        <w:t>，按单个项目逐年支付服务费，供应商收取年费后须提供行业</w:t>
      </w:r>
      <w:r>
        <w:rPr>
          <w:rFonts w:ascii="仿宋_GB2312" w:eastAsia="仿宋_GB2312" w:cs="仿宋_GB2312" w:hAnsi="仿宋_GB2312" w:hint="eastAsia"/>
          <w:b/>
          <w:bCs/>
          <w:sz w:val="32"/>
          <w:szCs w:val="32"/>
        </w:rPr>
        <w:t>中高端品牌全新</w:t>
      </w:r>
      <w:r>
        <w:rPr>
          <w:rFonts w:ascii="仿宋_GB2312" w:eastAsia="仿宋_GB2312" w:cs="仿宋_GB2312" w:hAnsi="仿宋_GB2312" w:hint="eastAsia"/>
          <w:sz w:val="32"/>
          <w:szCs w:val="32"/>
        </w:rPr>
        <w:t>停车道闸硬件、停车管理平台、系统实施及全周期运维服务。</w:t>
      </w:r>
      <w:r>
        <w:rPr>
          <w:rStyle w:val="16"/>
          <w:rFonts w:ascii="仿宋_GB2312" w:eastAsia="仿宋_GB2312" w:cs="仿宋_GB2312" w:hAnsi="仿宋_GB2312" w:hint="eastAsia"/>
          <w:b w:val="0"/>
          <w:bCs/>
          <w:sz w:val="32"/>
          <w:szCs w:val="32"/>
        </w:rPr>
        <w:t>停车系统须</w:t>
      </w:r>
      <w:r>
        <w:rPr>
          <w:rStyle w:val="16"/>
          <w:rFonts w:ascii="仿宋_GB2312" w:eastAsia="仿宋_GB2312" w:cs="仿宋_GB2312" w:hAnsi="仿宋_GB2312" w:hint="eastAsia"/>
          <w:sz w:val="32"/>
          <w:szCs w:val="32"/>
        </w:rPr>
        <w:t>对接我行支付接口，停车费通过我行渠道结算。合作场景</w:t>
      </w:r>
      <w:r>
        <w:rPr>
          <w:rFonts w:ascii="仿宋_GB2312" w:eastAsia="仿宋_GB2312" w:cs="仿宋_GB2312" w:hAnsi="仿宋_GB2312" w:hint="eastAsia"/>
          <w:sz w:val="32"/>
          <w:szCs w:val="32"/>
        </w:rPr>
        <w:t>包含</w:t>
      </w:r>
      <w:r>
        <w:rPr>
          <w:rStyle w:val="16"/>
          <w:rFonts w:ascii="仿宋_GB2312" w:eastAsia="仿宋_GB2312" w:cs="仿宋_GB2312" w:hAnsi="仿宋_GB2312" w:hint="eastAsia"/>
          <w:sz w:val="32"/>
          <w:szCs w:val="32"/>
        </w:rPr>
        <w:t>存量道闸设备利旧改造、全新道闸系统新增建设两类</w:t>
      </w:r>
      <w:r>
        <w:rPr>
          <w:rFonts w:ascii="仿宋_GB2312" w:eastAsia="仿宋_GB2312" w:cs="仿宋_GB2312" w:hAnsi="仿宋_GB2312" w:hint="eastAsia"/>
          <w:sz w:val="32"/>
          <w:szCs w:val="32"/>
        </w:rPr>
        <w:t>，满足合作商户日常停车需求。</w:t>
      </w:r>
    </w:p>
    <w:p>
      <w:pPr>
        <w:pStyle w:val="15"/>
        <w:widowControl/>
        <w:spacing w:beforeAutospacing="0" w:afterAutospacing="0"/>
        <w:ind w:firstLineChars="200" w:firstLine="640"/>
        <w:rPr>
          <w:rFonts w:ascii="仿宋_GB2312" w:eastAsia="仿宋_GB2312" w:cs="仿宋_GB2312" w:hAnsi="仿宋_GB2312"/>
          <w:sz w:val="32"/>
          <w:szCs w:val="32"/>
        </w:rPr>
      </w:pPr>
      <w:r>
        <w:rPr>
          <w:rFonts w:ascii="仿宋_GB2312" w:eastAsia="仿宋_GB2312" w:cs="仿宋_GB2312" w:hAnsi="仿宋_GB2312" w:hint="eastAsia"/>
          <w:sz w:val="32"/>
          <w:szCs w:val="32"/>
        </w:rPr>
        <w:t>3、维保服务要求：合作期内，道闸设备、停车系统发生</w:t>
      </w:r>
      <w:r>
        <w:rPr>
          <w:rStyle w:val="16"/>
          <w:rFonts w:ascii="仿宋_GB2312" w:eastAsia="仿宋_GB2312" w:cs="仿宋_GB2312" w:hAnsi="仿宋_GB2312" w:hint="eastAsia"/>
          <w:sz w:val="32"/>
          <w:szCs w:val="32"/>
        </w:rPr>
        <w:t>非人为损坏故障，由供应商免费维修、免费更换配件（含人工）</w:t>
      </w:r>
      <w:r>
        <w:rPr>
          <w:rFonts w:ascii="仿宋_GB2312" w:eastAsia="仿宋_GB2312" w:cs="仿宋_GB2312" w:hAnsi="仿宋_GB2312" w:hint="eastAsia"/>
          <w:sz w:val="32"/>
          <w:szCs w:val="32"/>
        </w:rPr>
        <w:t>；人为损坏维修费用另行协商。</w:t>
      </w:r>
    </w:p>
    <w:p>
      <w:pPr>
        <w:pStyle w:val="15"/>
        <w:widowControl/>
        <w:spacing w:beforeAutospacing="0" w:afterAutospacing="0"/>
        <w:ind w:firstLineChars="200" w:firstLine="640"/>
        <w:rPr>
          <w:rFonts w:ascii="仿宋_GB2312" w:eastAsia="仿宋_GB2312" w:cs="仿宋_GB2312" w:hAnsi="仿宋_GB2312"/>
          <w:sz w:val="32"/>
          <w:szCs w:val="32"/>
        </w:rPr>
      </w:pPr>
      <w:r>
        <w:rPr>
          <w:rStyle w:val="16"/>
          <w:rFonts w:ascii="仿宋_GB2312" w:eastAsia="仿宋_GB2312" w:cs="仿宋_GB2312" w:hAnsi="仿宋_GB2312" w:hint="eastAsia"/>
          <w:b w:val="0"/>
          <w:bCs/>
          <w:sz w:val="32"/>
          <w:szCs w:val="32"/>
        </w:rPr>
        <w:t>4、运维响应要求：供应商须在太仓</w:t>
      </w:r>
      <w:r>
        <w:rPr>
          <w:rStyle w:val="16"/>
          <w:rFonts w:ascii="仿宋_GB2312" w:eastAsia="仿宋_GB2312" w:cs="仿宋_GB2312" w:hAnsi="仿宋_GB2312" w:hint="eastAsia"/>
          <w:sz w:val="32"/>
          <w:szCs w:val="32"/>
        </w:rPr>
        <w:t>本地派驻专职运维人员，承诺故障2小时内响应，4小时内到达项目现场处置</w:t>
      </w:r>
      <w:r>
        <w:rPr>
          <w:rFonts w:ascii="仿宋_GB2312" w:eastAsia="仿宋_GB2312" w:cs="仿宋_GB2312" w:hAnsi="仿宋_GB2312" w:hint="eastAsia"/>
          <w:sz w:val="32"/>
          <w:szCs w:val="32"/>
        </w:rPr>
        <w:t>，提供 7×24 小时故障响应、定期巡检、系统运维、后台管理、商户操作培训等一体化服务，满足数据安全、保密管理相关要求。</w:t>
      </w:r>
    </w:p>
    <w:p>
      <w:pPr>
        <w:pStyle w:val="15"/>
        <w:widowControl/>
        <w:spacing w:beforeAutospacing="0" w:afterAutospacing="0"/>
        <w:ind w:firstLineChars="200" w:firstLine="640"/>
        <w:rPr>
          <w:rFonts w:ascii="仿宋_GB2312" w:eastAsia="仿宋_GB2312" w:cs="仿宋_GB2312" w:hAnsi="仿宋_GB2312"/>
          <w:sz w:val="32"/>
          <w:szCs w:val="32"/>
        </w:rPr>
      </w:pPr>
      <w:r>
        <w:rPr>
          <w:rFonts w:ascii="仿宋_GB2312" w:eastAsia="仿宋_GB2312" w:cs="仿宋_GB2312" w:hAnsi="仿宋_GB2312" w:hint="eastAsia"/>
          <w:sz w:val="32"/>
          <w:szCs w:val="32"/>
        </w:rPr>
        <w:t>5、服务期限：本项目合作期限</w:t>
      </w:r>
      <w:r>
        <w:rPr>
          <w:rStyle w:val="16"/>
          <w:rFonts w:ascii="仿宋_GB2312" w:eastAsia="仿宋_GB2312" w:cs="仿宋_GB2312" w:hAnsi="仿宋_GB2312" w:hint="eastAsia"/>
          <w:sz w:val="32"/>
          <w:szCs w:val="32"/>
        </w:rPr>
        <w:t>叁年</w:t>
      </w:r>
      <w:r>
        <w:rPr>
          <w:rFonts w:ascii="仿宋_GB2312" w:eastAsia="仿宋_GB2312" w:cs="仿宋_GB2312" w:hAnsi="仿宋_GB2312" w:hint="eastAsia"/>
          <w:sz w:val="32"/>
          <w:szCs w:val="32"/>
        </w:rPr>
        <w:t>。合作期满前，我行将依据系统稳定性、运维响应时效、本地驻场保障、商户服务质量、履约考核等综合因素评估，经我行内部审批通过后，可与供应商协商续期。若评估结果不满足续期要求，本合作到期自动终止，后期不予再次合作。</w:t>
      </w:r>
    </w:p>
    <w:p>
      <w:pPr>
        <w:pStyle w:val="2"/>
        <w:widowControl/>
        <w:spacing w:beforeAutospacing="0" w:afterAutospacing="0"/>
        <w:rPr>
          <w:rFonts w:ascii="仿宋_GB2312" w:eastAsia="仿宋_GB2312" w:cs="仿宋_GB2312" w:hAnsi="仿宋_GB2312"/>
          <w:sz w:val="32"/>
          <w:szCs w:val="32"/>
        </w:rPr>
      </w:pPr>
      <w:r>
        <w:rPr>
          <w:rFonts w:ascii="仿宋_GB2312" w:eastAsia="仿宋_GB2312" w:cs="仿宋_GB2312" w:hAnsi="仿宋_GB2312"/>
          <w:sz w:val="32"/>
          <w:szCs w:val="32"/>
        </w:rPr>
        <w:t xml:space="preserve">    二、供应商资格要求</w:t>
      </w:r>
    </w:p>
    <w:p>
      <w:pPr>
        <w:pStyle w:val="15"/>
        <w:widowControl/>
        <w:spacing w:beforeAutospacing="0" w:afterAutospacing="0"/>
        <w:ind w:leftChars="304" w:left="638"/>
        <w:rPr>
          <w:rFonts w:ascii="仿宋_GB2312" w:eastAsia="仿宋_GB2312" w:cs="仿宋_GB2312" w:hAnsi="仿宋_GB2312"/>
          <w:sz w:val="32"/>
          <w:szCs w:val="32"/>
        </w:rPr>
      </w:pPr>
      <w:r>
        <w:rPr>
          <w:rFonts w:ascii="仿宋_GB2312" w:eastAsia="仿宋_GB2312" w:cs="仿宋_GB2312" w:hAnsi="仿宋_GB2312" w:hint="eastAsia"/>
          <w:sz w:val="32"/>
          <w:szCs w:val="32"/>
        </w:rPr>
        <w:t>参与本次征集的供应商须同时满足下列全部资格条件</w:t>
      </w:r>
    </w:p>
    <w:p>
      <w:pPr>
        <w:pStyle w:val="15"/>
        <w:widowControl/>
        <w:numPr>
          <w:ilvl w:val="0"/>
          <w:numId w:val="1"/>
        </w:numPr>
        <w:spacing w:beforeAutospacing="0" w:afterAutospacing="0"/>
        <w:ind w:left="0" w:firstLineChars="200" w:firstLine="640"/>
        <w:rPr>
          <w:rFonts w:ascii="仿宋_GB2312" w:eastAsia="仿宋_GB2312" w:cs="仿宋_GB2312" w:hAnsi="仿宋_GB2312"/>
          <w:sz w:val="32"/>
          <w:szCs w:val="32"/>
        </w:rPr>
      </w:pPr>
      <w:r>
        <w:rPr>
          <w:rFonts w:ascii="仿宋_GB2312" w:eastAsia="仿宋_GB2312" w:cs="仿宋_GB2312" w:hAnsi="仿宋_GB2312" w:hint="eastAsia"/>
          <w:sz w:val="32"/>
          <w:szCs w:val="32"/>
        </w:rPr>
        <w:t>具有独立企业法人资格，拥有合法企业名称、健全组织机构；</w:t>
      </w:r>
      <w:r>
        <w:rPr>
          <w:rStyle w:val="16"/>
          <w:rFonts w:ascii="仿宋_GB2312" w:eastAsia="仿宋_GB2312" w:cs="仿宋_GB2312" w:hAnsi="仿宋_GB2312" w:hint="eastAsia"/>
          <w:sz w:val="32"/>
          <w:szCs w:val="32"/>
        </w:rPr>
        <w:t>须在太仓本地设有服务网点，可派驻专职运维人员</w:t>
      </w:r>
      <w:r>
        <w:rPr>
          <w:rFonts w:ascii="仿宋_GB2312" w:eastAsia="仿宋_GB2312" w:cs="仿宋_GB2312" w:hAnsi="仿宋_GB2312" w:hint="eastAsia"/>
          <w:sz w:val="32"/>
          <w:szCs w:val="32"/>
        </w:rPr>
        <w:t>；企业注册时间不少于3年，具备道闸设备供应、停车平台开发、现场改造实施能力，完善的服务体系与良好商业信誉；产品支持太仓市“</w:t>
      </w:r>
      <w:r>
        <w:rPr>
          <w:rFonts w:ascii="仿宋_GB2312" w:eastAsia="仿宋_GB2312" w:cs="仿宋_GB2312" w:hAnsi="仿宋_GB2312" w:hint="eastAsia"/>
          <w:b/>
          <w:bCs/>
          <w:sz w:val="32"/>
          <w:szCs w:val="32"/>
        </w:rPr>
        <w:t>太e停</w:t>
      </w:r>
      <w:r>
        <w:rPr>
          <w:rFonts w:ascii="仿宋_GB2312" w:eastAsia="仿宋_GB2312" w:cs="仿宋_GB2312" w:hAnsi="仿宋_GB2312" w:hint="eastAsia"/>
          <w:sz w:val="32"/>
          <w:szCs w:val="32"/>
        </w:rPr>
        <w:t>”智慧停车平台接入规范，可自行完成平台对接、联调及并网验收，实现通行、收费数据双向互通，满足平台业务及验收要求。</w:t>
      </w:r>
    </w:p>
    <w:p>
      <w:pPr>
        <w:pStyle w:val="15"/>
        <w:widowControl/>
        <w:numPr>
          <w:ilvl w:val="0"/>
          <w:numId w:val="1"/>
        </w:numPr>
        <w:spacing w:beforeAutospacing="0" w:afterAutospacing="0"/>
        <w:ind w:left="0" w:firstLineChars="200" w:firstLine="640"/>
        <w:rPr>
          <w:rFonts w:ascii="仿宋_GB2312" w:eastAsia="仿宋_GB2312" w:cs="仿宋_GB2312" w:hAnsi="仿宋_GB2312"/>
          <w:sz w:val="32"/>
          <w:szCs w:val="32"/>
        </w:rPr>
      </w:pPr>
      <w:r>
        <w:rPr>
          <w:rFonts w:ascii="仿宋_GB2312" w:eastAsia="仿宋_GB2312" w:cs="仿宋_GB2312" w:hAnsi="仿宋_GB2312" w:hint="eastAsia"/>
          <w:sz w:val="32"/>
          <w:szCs w:val="32"/>
        </w:rPr>
        <w:t xml:space="preserve">停车系统项目经验丰富，自2023年1月1日起，具备3个及以上、单项合同金额在五万元以上的小区、园区、商业综合体、写字楼、校园等智慧停车道闸项目业绩（须提供合同复印件、付款发票等佐证材料）。 </w:t>
      </w:r>
    </w:p>
    <w:p>
      <w:pPr>
        <w:pStyle w:val="15"/>
        <w:widowControl/>
        <w:numPr>
          <w:ilvl w:val="0"/>
          <w:numId w:val="2"/>
        </w:numPr>
        <w:spacing w:beforeAutospacing="0" w:afterAutospacing="0"/>
        <w:ind w:left="0" w:firstLineChars="200" w:firstLine="640"/>
        <w:rPr>
          <w:rFonts w:ascii="仿宋_GB2312" w:eastAsia="仿宋_GB2312" w:cs="仿宋_GB2312" w:hAnsi="仿宋_GB2312"/>
          <w:sz w:val="32"/>
          <w:szCs w:val="32"/>
        </w:rPr>
      </w:pPr>
      <w:r>
        <w:rPr>
          <w:rFonts w:ascii="仿宋_GB2312" w:eastAsia="仿宋_GB2312" w:cs="仿宋_GB2312" w:hAnsi="仿宋_GB2312" w:hint="eastAsia"/>
          <w:sz w:val="32"/>
          <w:szCs w:val="32"/>
        </w:rPr>
        <w:t xml:space="preserve">具备充足技术开发能力，可完成停车管理系统与我行支付接口对接开发、联调测试，支持多商户统一管理，保障交易稳定、数据安全，满足银行数据保密、日志留存、交易对账等要求，能够满足本行设备技术指标。 </w:t>
      </w:r>
    </w:p>
    <w:p>
      <w:pPr>
        <w:pStyle w:val="15"/>
        <w:widowControl/>
        <w:numPr>
          <w:ilvl w:val="0"/>
          <w:numId w:val="2"/>
        </w:numPr>
        <w:spacing w:beforeAutospacing="0" w:afterAutospacing="0"/>
        <w:ind w:left="0" w:firstLineChars="200" w:firstLine="640"/>
        <w:rPr>
          <w:rFonts w:ascii="仿宋_GB2312" w:eastAsia="仿宋_GB2312" w:cs="仿宋_GB2312" w:hAnsi="仿宋_GB2312"/>
          <w:sz w:val="32"/>
          <w:szCs w:val="32"/>
        </w:rPr>
      </w:pPr>
      <w:r>
        <w:rPr>
          <w:rFonts w:ascii="仿宋_GB2312" w:eastAsia="仿宋_GB2312" w:cs="仿宋_GB2312" w:hAnsi="仿宋_GB2312" w:hint="eastAsia"/>
          <w:sz w:val="32"/>
          <w:szCs w:val="32"/>
        </w:rPr>
        <w:t>资信状况良好，无违法、违约记录；未处于责令停业、财产接管、冻结、破产等非正常经营状态。</w:t>
      </w:r>
    </w:p>
    <w:p>
      <w:pPr>
        <w:pStyle w:val="15"/>
        <w:widowControl/>
        <w:numPr>
          <w:ilvl w:val="0"/>
          <w:numId w:val="2"/>
        </w:numPr>
        <w:spacing w:beforeAutospacing="0" w:afterAutospacing="0"/>
        <w:ind w:left="0" w:firstLineChars="200" w:firstLine="640"/>
        <w:rPr>
          <w:rFonts w:ascii="仿宋_GB2312" w:eastAsia="仿宋_GB2312" w:cs="仿宋_GB2312" w:hAnsi="仿宋_GB2312"/>
          <w:sz w:val="32"/>
          <w:szCs w:val="32"/>
        </w:rPr>
      </w:pPr>
      <w:r>
        <w:rPr>
          <w:rFonts w:ascii="仿宋_GB2312" w:eastAsia="仿宋_GB2312" w:cs="仿宋_GB2312" w:hAnsi="仿宋_GB2312" w:hint="eastAsia"/>
          <w:sz w:val="32"/>
          <w:szCs w:val="32"/>
        </w:rPr>
        <w:t>供应商须出具加盖公章的保密承诺书，承诺严格遵守我行保密管理制度，对系统交易数据、接口参数、商户信息等敏感信息承担保密义务，愿意按要求签订专项保密协议。</w:t>
      </w:r>
    </w:p>
    <w:p>
      <w:pPr>
        <w:pStyle w:val="15"/>
        <w:widowControl/>
        <w:numPr>
          <w:ilvl w:val="0"/>
          <w:numId w:val="2"/>
        </w:numPr>
        <w:spacing w:beforeAutospacing="0" w:afterAutospacing="0"/>
        <w:ind w:left="0" w:firstLineChars="200" w:firstLine="640"/>
        <w:rPr>
          <w:rFonts w:ascii="仿宋_GB2312" w:eastAsia="仿宋_GB2312" w:cs="仿宋_GB2312" w:hAnsi="仿宋_GB2312"/>
          <w:sz w:val="32"/>
          <w:szCs w:val="32"/>
        </w:rPr>
      </w:pPr>
      <w:r>
        <w:rPr>
          <w:rFonts w:ascii="仿宋_GB2312" w:eastAsia="仿宋_GB2312" w:cs="仿宋_GB2312" w:hAnsi="仿宋_GB2312" w:hint="eastAsia"/>
          <w:sz w:val="32"/>
          <w:szCs w:val="32"/>
        </w:rPr>
        <w:t>供应商及其法定代表人近3年内无失信被执行人记录、重大税收违法失信主体记录、政府采购严重违法失信记录（评审阶段由我行统一在信用中国、中国政府采购网查询核验）。</w:t>
      </w:r>
    </w:p>
    <w:p>
      <w:pPr>
        <w:pStyle w:val="15"/>
        <w:widowControl/>
        <w:numPr>
          <w:ilvl w:val="0"/>
          <w:numId w:val="2"/>
        </w:numPr>
        <w:spacing w:beforeAutospacing="0" w:afterAutospacing="0"/>
        <w:ind w:left="0" w:firstLineChars="200" w:firstLine="640"/>
        <w:rPr>
          <w:rFonts w:ascii="仿宋_GB2312" w:eastAsia="仿宋_GB2312" w:cs="仿宋_GB2312" w:hAnsi="仿宋_GB2312"/>
          <w:sz w:val="32"/>
          <w:szCs w:val="32"/>
        </w:rPr>
      </w:pPr>
      <w:r>
        <w:rPr>
          <w:rFonts w:ascii="仿宋_GB2312" w:eastAsia="仿宋_GB2312" w:cs="仿宋_GB2312" w:hAnsi="仿宋_GB2312" w:hint="eastAsia"/>
          <w:sz w:val="32"/>
          <w:szCs w:val="32"/>
        </w:rPr>
        <w:t>法定代表人为同一个人的两个及两个以上法人，母公司、全资子公司及其控股公司，不得在本项目中同时报名。</w:t>
      </w:r>
    </w:p>
    <w:p>
      <w:pPr>
        <w:pStyle w:val="15"/>
        <w:widowControl/>
        <w:numPr>
          <w:ilvl w:val="0"/>
          <w:numId w:val="2"/>
        </w:numPr>
        <w:spacing w:beforeAutospacing="0" w:afterAutospacing="0"/>
        <w:ind w:left="0" w:firstLineChars="200" w:firstLine="640"/>
        <w:rPr>
          <w:rFonts w:ascii="仿宋_GB2312" w:eastAsia="仿宋_GB2312" w:cs="仿宋_GB2312" w:hAnsi="仿宋_GB2312"/>
          <w:sz w:val="32"/>
          <w:szCs w:val="32"/>
        </w:rPr>
      </w:pPr>
      <w:r>
        <w:rPr>
          <w:rFonts w:ascii="仿宋_GB2312" w:eastAsia="仿宋_GB2312" w:cs="仿宋_GB2312" w:hAnsi="仿宋_GB2312" w:hint="eastAsia"/>
          <w:sz w:val="32"/>
          <w:szCs w:val="32"/>
        </w:rPr>
        <w:t>能够开具增值税专用发票或增值税免税发票（提供免税备案依据）。</w:t>
      </w:r>
    </w:p>
    <w:p>
      <w:pPr>
        <w:pStyle w:val="15"/>
        <w:widowControl/>
        <w:numPr>
          <w:ilvl w:val="0"/>
          <w:numId w:val="2"/>
        </w:numPr>
        <w:spacing w:beforeAutospacing="0" w:afterAutospacing="0"/>
        <w:ind w:left="0" w:firstLineChars="200" w:firstLine="640"/>
        <w:rPr>
          <w:rFonts w:ascii="仿宋_GB2312" w:eastAsia="仿宋_GB2312" w:cs="仿宋_GB2312" w:hAnsi="仿宋_GB2312"/>
          <w:sz w:val="32"/>
          <w:szCs w:val="32"/>
        </w:rPr>
      </w:pPr>
      <w:r>
        <w:rPr>
          <w:rFonts w:ascii="仿宋_GB2312" w:eastAsia="仿宋_GB2312" w:cs="仿宋_GB2312" w:hAnsi="仿宋_GB2312" w:hint="eastAsia"/>
          <w:sz w:val="32"/>
          <w:szCs w:val="32"/>
        </w:rPr>
        <w:t>本项目不接受联合体报名，不得以任何形式进行分包、转包。</w:t>
      </w:r>
    </w:p>
    <w:p>
      <w:pPr>
        <w:pStyle w:val="15"/>
        <w:widowControl/>
        <w:numPr>
          <w:ilvl w:val="0"/>
          <w:numId w:val="2"/>
        </w:numPr>
        <w:spacing w:beforeAutospacing="0" w:afterAutospacing="0"/>
        <w:ind w:left="0" w:firstLineChars="200" w:firstLine="640"/>
        <w:rPr>
          <w:rFonts w:ascii="仿宋_GB2312" w:eastAsia="仿宋_GB2312" w:cs="仿宋_GB2312" w:hAnsi="仿宋_GB2312"/>
          <w:sz w:val="32"/>
          <w:szCs w:val="32"/>
        </w:rPr>
      </w:pPr>
      <w:r>
        <w:rPr>
          <w:rFonts w:ascii="仿宋_GB2312" w:eastAsia="仿宋_GB2312" w:cs="仿宋_GB2312" w:hAnsi="仿宋_GB2312" w:hint="eastAsia"/>
          <w:sz w:val="32"/>
          <w:szCs w:val="32"/>
        </w:rPr>
        <w:t>本项目其他资质要求：投标人须是拟投产品的原厂商或原厂商的授权代理商（但原厂商和其授权代理商不得同时参与本项目）。</w:t>
      </w:r>
    </w:p>
    <w:p>
      <w:pPr>
        <w:pStyle w:val="2"/>
        <w:widowControl/>
        <w:spacing w:beforeAutospacing="0" w:afterAutospacing="0"/>
        <w:rPr>
          <w:rFonts w:ascii="仿宋_GB2312" w:eastAsia="仿宋_GB2312" w:cs="仿宋_GB2312" w:hAnsi="仿宋_GB2312"/>
          <w:sz w:val="32"/>
          <w:szCs w:val="32"/>
        </w:rPr>
      </w:pPr>
      <w:r>
        <w:rPr>
          <w:rFonts w:ascii="仿宋_GB2312" w:eastAsia="仿宋_GB2312" w:cs="仿宋_GB2312" w:hAnsi="仿宋_GB2312"/>
          <w:sz w:val="32"/>
          <w:szCs w:val="32"/>
        </w:rPr>
        <w:t>三、报名事项</w:t>
      </w:r>
    </w:p>
    <w:p>
      <w:pPr>
        <w:pStyle w:val="15"/>
        <w:widowControl/>
        <w:spacing w:beforeAutospacing="0" w:afterAutospacing="0"/>
        <w:ind w:firstLineChars="200" w:firstLine="640"/>
        <w:rPr>
          <w:rFonts w:ascii="仿宋_GB2312" w:eastAsia="仿宋_GB2312" w:cs="仿宋_GB2312" w:hAnsi="仿宋_GB2312"/>
          <w:sz w:val="32"/>
          <w:szCs w:val="32"/>
        </w:rPr>
      </w:pPr>
      <w:r>
        <w:rPr>
          <w:rFonts w:ascii="仿宋_GB2312" w:eastAsia="仿宋_GB2312" w:cs="仿宋_GB2312" w:hAnsi="仿宋_GB2312" w:hint="eastAsia"/>
          <w:sz w:val="32"/>
          <w:szCs w:val="32"/>
        </w:rPr>
        <w:t>1、报名时间：2026年10月23日—2026年11月2日</w:t>
      </w:r>
    </w:p>
    <w:p>
      <w:pPr>
        <w:pStyle w:val="15"/>
        <w:widowControl/>
        <w:spacing w:beforeAutospacing="0" w:afterAutospacing="0"/>
        <w:ind w:firstLineChars="200" w:firstLine="640"/>
        <w:rPr>
          <w:rFonts w:ascii="仿宋_GB2312" w:eastAsia="仿宋_GB2312" w:cs="仿宋_GB2312" w:hAnsi="仿宋_GB2312"/>
          <w:sz w:val="32"/>
          <w:szCs w:val="32"/>
        </w:rPr>
      </w:pPr>
      <w:r>
        <w:rPr>
          <w:rFonts w:ascii="仿宋_GB2312" w:eastAsia="仿宋_GB2312" w:cs="仿宋_GB2312" w:hAnsi="仿宋_GB2312" w:hint="eastAsia"/>
          <w:sz w:val="32"/>
          <w:szCs w:val="32"/>
        </w:rPr>
        <w:t>2、报名方式：纸质报名材料于2026年11月2日上午11：00前送达或寄达至太仓农商行，地址：江苏太仓农村商业银行股份有限公司（太仓市上海东路198号金融大厦）行政保卫部丁峰；电子版报名材料于2026年11月2日上午11：00前发送并到达电子邮箱caigou@tcrcb.com，邮件名称：太仓农商行智慧停车采购项目+供应商名称。</w:t>
      </w:r>
    </w:p>
    <w:p>
      <w:pPr>
        <w:pStyle w:val="15"/>
        <w:widowControl/>
        <w:spacing w:beforeAutospacing="0" w:afterAutospacing="0"/>
        <w:ind w:firstLineChars="200" w:firstLine="640"/>
        <w:rPr>
          <w:rFonts w:ascii="仿宋_GB2312" w:eastAsia="仿宋_GB2312" w:cs="仿宋_GB2312" w:hAnsi="仿宋_GB2312"/>
          <w:sz w:val="32"/>
          <w:szCs w:val="32"/>
        </w:rPr>
      </w:pPr>
      <w:r>
        <w:rPr>
          <w:rFonts w:ascii="仿宋_GB2312" w:eastAsia="仿宋_GB2312" w:cs="仿宋_GB2312" w:hAnsi="仿宋_GB2312" w:hint="eastAsia"/>
          <w:sz w:val="32"/>
          <w:szCs w:val="32"/>
        </w:rPr>
        <w:t xml:space="preserve">3、报名材料清单 </w:t>
      </w:r>
    </w:p>
    <w:p>
      <w:pPr>
        <w:pStyle w:val="15"/>
        <w:widowControl/>
        <w:spacing w:beforeAutospacing="0" w:afterAutospacing="0"/>
        <w:ind w:firstLineChars="200" w:firstLine="640"/>
        <w:rPr>
          <w:rFonts w:ascii="仿宋_GB2312" w:eastAsia="仿宋_GB2312" w:cs="仿宋_GB2312" w:hAnsi="仿宋_GB2312"/>
          <w:sz w:val="32"/>
          <w:szCs w:val="32"/>
        </w:rPr>
      </w:pPr>
      <w:r>
        <w:rPr>
          <w:rFonts w:ascii="仿宋_GB2312" w:eastAsia="仿宋_GB2312" w:cs="仿宋_GB2312" w:hAnsi="仿宋_GB2312" w:hint="eastAsia"/>
          <w:sz w:val="32"/>
          <w:szCs w:val="32"/>
        </w:rPr>
        <w:t xml:space="preserve">（1）企业法人营业执照（副本）、税务登记证、组织机构代码证或“三证合一”营业执照（副本）； </w:t>
      </w:r>
    </w:p>
    <w:p>
      <w:pPr>
        <w:pStyle w:val="15"/>
        <w:widowControl/>
        <w:spacing w:beforeAutospacing="0" w:afterAutospacing="0"/>
        <w:ind w:firstLineChars="200" w:firstLine="640"/>
        <w:rPr>
          <w:rFonts w:ascii="仿宋_GB2312" w:eastAsia="仿宋_GB2312" w:cs="仿宋_GB2312" w:hAnsi="仿宋_GB2312"/>
          <w:sz w:val="32"/>
          <w:szCs w:val="32"/>
        </w:rPr>
      </w:pPr>
      <w:r>
        <w:rPr>
          <w:rFonts w:ascii="仿宋_GB2312" w:eastAsia="仿宋_GB2312" w:cs="仿宋_GB2312" w:hAnsi="仿宋_GB2312" w:hint="eastAsia"/>
          <w:sz w:val="32"/>
          <w:szCs w:val="32"/>
        </w:rPr>
        <w:t xml:space="preserve">（2）法定代表人身份证复印件；若委托办理，须提供法定代表人授权委托书原件、授权委托人身份证复印件及授权委托人近三个月社保缴纳证明； </w:t>
      </w:r>
    </w:p>
    <w:p>
      <w:pPr>
        <w:pStyle w:val="15"/>
        <w:widowControl/>
        <w:spacing w:beforeAutospacing="0" w:afterAutospacing="0"/>
        <w:ind w:firstLineChars="200" w:firstLine="640"/>
        <w:rPr>
          <w:rFonts w:ascii="仿宋_GB2312" w:eastAsia="仿宋_GB2312" w:cs="仿宋_GB2312" w:hAnsi="仿宋_GB2312"/>
          <w:sz w:val="32"/>
          <w:szCs w:val="32"/>
        </w:rPr>
      </w:pPr>
      <w:r>
        <w:rPr>
          <w:rFonts w:ascii="仿宋_GB2312" w:eastAsia="仿宋_GB2312" w:cs="仿宋_GB2312" w:hAnsi="仿宋_GB2312" w:hint="eastAsia"/>
          <w:sz w:val="32"/>
          <w:szCs w:val="32"/>
        </w:rPr>
        <w:t>（3）公司简介（包括经营范围、规模、组织结构、员工人数、主要业务等相关情况），经营的主要产品目录；代理商须提供原产商授权证明。</w:t>
      </w:r>
    </w:p>
    <w:p>
      <w:pPr>
        <w:pStyle w:val="15"/>
        <w:widowControl/>
        <w:spacing w:beforeAutospacing="0" w:afterAutospacing="0"/>
        <w:ind w:firstLineChars="200" w:firstLine="640"/>
        <w:rPr>
          <w:rFonts w:ascii="仿宋_GB2312" w:eastAsia="仿宋_GB2312" w:cs="仿宋_GB2312" w:hAnsi="仿宋_GB2312"/>
          <w:sz w:val="32"/>
          <w:szCs w:val="32"/>
        </w:rPr>
      </w:pPr>
      <w:r>
        <w:rPr>
          <w:rFonts w:ascii="仿宋_GB2312" w:eastAsia="仿宋_GB2312" w:cs="仿宋_GB2312" w:hAnsi="仿宋_GB2312" w:hint="eastAsia"/>
          <w:sz w:val="32"/>
          <w:szCs w:val="32"/>
        </w:rPr>
        <w:t>（4）企业资质证明及拟投项目负责人资质证书等。</w:t>
      </w:r>
    </w:p>
    <w:p>
      <w:pPr>
        <w:pStyle w:val="15"/>
        <w:widowControl/>
        <w:spacing w:beforeAutospacing="0" w:afterAutospacing="0"/>
        <w:ind w:firstLineChars="200" w:firstLine="640"/>
        <w:rPr>
          <w:rFonts w:ascii="仿宋_GB2312" w:eastAsia="仿宋_GB2312" w:cs="仿宋_GB2312" w:hAnsi="仿宋_GB2312"/>
          <w:sz w:val="32"/>
          <w:szCs w:val="32"/>
        </w:rPr>
      </w:pPr>
      <w:r>
        <w:rPr>
          <w:rFonts w:ascii="仿宋_GB2312" w:eastAsia="仿宋_GB2312" w:cs="仿宋_GB2312" w:hAnsi="仿宋_GB2312" w:hint="eastAsia"/>
          <w:sz w:val="32"/>
          <w:szCs w:val="32"/>
        </w:rPr>
        <w:t>（5）近两年年度财务审计报告。</w:t>
      </w:r>
    </w:p>
    <w:p>
      <w:pPr>
        <w:pStyle w:val="15"/>
        <w:widowControl/>
        <w:spacing w:beforeAutospacing="0" w:afterAutospacing="0"/>
        <w:ind w:firstLineChars="200" w:firstLine="640"/>
      </w:pPr>
      <w:r>
        <w:rPr>
          <w:rFonts w:ascii="仿宋_GB2312" w:eastAsia="仿宋_GB2312" w:cs="仿宋_GB2312" w:hAnsi="仿宋_GB2312" w:hint="eastAsia"/>
          <w:sz w:val="32"/>
          <w:szCs w:val="32"/>
        </w:rPr>
        <w:t>（6）近三个月完税凭证和缴纳社会保障资金凭证；</w:t>
      </w:r>
    </w:p>
    <w:p>
      <w:pPr>
        <w:pStyle w:val="15"/>
        <w:widowControl/>
        <w:spacing w:beforeAutospacing="0" w:afterAutospacing="0"/>
        <w:ind w:firstLineChars="200" w:firstLine="640"/>
        <w:rPr>
          <w:rFonts w:ascii="仿宋_GB2312" w:eastAsia="仿宋_GB2312" w:cs="仿宋_GB2312" w:hAnsi="仿宋_GB2312"/>
          <w:sz w:val="32"/>
          <w:szCs w:val="32"/>
        </w:rPr>
      </w:pPr>
      <w:r>
        <w:rPr>
          <w:rFonts w:ascii="仿宋_GB2312" w:eastAsia="仿宋_GB2312" w:cs="仿宋_GB2312" w:hAnsi="仿宋_GB2312" w:hint="eastAsia"/>
          <w:sz w:val="32"/>
          <w:szCs w:val="32"/>
        </w:rPr>
        <w:t>（7）实施案例（须提供合同复印件，要求合同或协议的甲方名称、采购内容、签约日期、双方签章等要素清晰、齐全）。</w:t>
      </w:r>
    </w:p>
    <w:p>
      <w:pPr>
        <w:pStyle w:val="15"/>
        <w:widowControl/>
        <w:spacing w:beforeAutospacing="0" w:afterAutospacing="0"/>
        <w:ind w:firstLineChars="200" w:firstLine="640"/>
        <w:rPr>
          <w:rFonts w:ascii="仿宋_GB2312" w:eastAsia="仿宋_GB2312" w:cs="仿宋_GB2312" w:hAnsi="仿宋_GB2312"/>
          <w:sz w:val="32"/>
          <w:szCs w:val="32"/>
        </w:rPr>
      </w:pPr>
      <w:r>
        <w:rPr>
          <w:rFonts w:ascii="仿宋_GB2312" w:eastAsia="仿宋_GB2312" w:cs="仿宋_GB2312" w:hAnsi="仿宋_GB2312" w:hint="eastAsia"/>
          <w:sz w:val="32"/>
          <w:szCs w:val="32"/>
        </w:rPr>
        <w:t>材料要求：上述资料均需提供纸质资料并加盖公章，装订成册，同步电子版扫描件做成PDF格式。如有缺漏，采购人将拒绝接受其报名。采购人仅对供应商报名资料进行审查，符合要求的合格供应商将有机会参与本项目的采购。</w:t>
      </w:r>
    </w:p>
    <w:p>
      <w:pPr>
        <w:pStyle w:val="2"/>
        <w:widowControl/>
        <w:spacing w:beforeAutospacing="0" w:afterAutospacing="0"/>
        <w:rPr>
          <w:rFonts w:ascii="仿宋_GB2312" w:eastAsia="仿宋_GB2312" w:cs="仿宋_GB2312" w:hAnsi="仿宋_GB2312"/>
          <w:sz w:val="32"/>
          <w:szCs w:val="32"/>
        </w:rPr>
      </w:pPr>
      <w:r>
        <w:rPr>
          <w:rFonts w:ascii="仿宋_GB2312" w:eastAsia="仿宋_GB2312" w:cs="仿宋_GB2312" w:hAnsi="仿宋_GB2312"/>
          <w:sz w:val="32"/>
          <w:szCs w:val="32"/>
        </w:rPr>
        <w:t>四、征集评审安排</w:t>
      </w:r>
    </w:p>
    <w:p>
      <w:pPr>
        <w:pStyle w:val="15"/>
        <w:widowControl/>
        <w:spacing w:beforeAutospacing="0" w:afterAutospacing="0"/>
        <w:ind w:firstLineChars="200" w:firstLine="640"/>
        <w:rPr>
          <w:rFonts w:ascii="仿宋_GB2312" w:eastAsia="仿宋_GB2312" w:cs="仿宋_GB2312" w:hAnsi="仿宋_GB2312"/>
          <w:sz w:val="32"/>
          <w:szCs w:val="32"/>
        </w:rPr>
      </w:pPr>
      <w:r>
        <w:rPr>
          <w:rFonts w:ascii="仿宋_GB2312" w:eastAsia="仿宋_GB2312" w:cs="仿宋_GB2312" w:hAnsi="仿宋_GB2312" w:hint="eastAsia"/>
          <w:sz w:val="32"/>
          <w:szCs w:val="32"/>
        </w:rPr>
        <w:t xml:space="preserve">1、评审时段：2026年10月29日—2026年11月5日 </w:t>
      </w:r>
    </w:p>
    <w:p>
      <w:pPr>
        <w:pStyle w:val="15"/>
        <w:widowControl/>
        <w:spacing w:beforeAutospacing="0" w:afterAutospacing="0"/>
        <w:ind w:firstLineChars="200" w:firstLine="640"/>
        <w:rPr>
          <w:rFonts w:ascii="仿宋_GB2312" w:eastAsia="仿宋_GB2312" w:cs="仿宋_GB2312" w:hAnsi="仿宋_GB2312"/>
          <w:sz w:val="32"/>
          <w:szCs w:val="32"/>
        </w:rPr>
      </w:pPr>
      <w:r>
        <w:rPr>
          <w:rFonts w:ascii="仿宋_GB2312" w:eastAsia="仿宋_GB2312" w:cs="仿宋_GB2312" w:hAnsi="仿宋_GB2312" w:hint="eastAsia"/>
          <w:sz w:val="32"/>
          <w:szCs w:val="32"/>
        </w:rPr>
        <w:t xml:space="preserve">2、征集流程：公告发布→供应商报名→申报材料递交→技术方案交流→结果公示→发布入围入库通知书 </w:t>
      </w:r>
    </w:p>
    <w:p>
      <w:pPr>
        <w:pStyle w:val="15"/>
        <w:widowControl/>
        <w:spacing w:beforeAutospacing="0" w:afterAutospacing="0"/>
        <w:ind w:firstLineChars="200" w:firstLine="640"/>
        <w:rPr>
          <w:rFonts w:ascii="仿宋_GB2312" w:eastAsia="仿宋_GB2312" w:cs="仿宋_GB2312" w:hAnsi="仿宋_GB2312"/>
          <w:sz w:val="32"/>
          <w:szCs w:val="32"/>
        </w:rPr>
      </w:pPr>
      <w:r>
        <w:rPr>
          <w:rFonts w:ascii="仿宋_GB2312" w:eastAsia="仿宋_GB2312" w:cs="仿宋_GB2312" w:hAnsi="仿宋_GB2312" w:hint="eastAsia"/>
          <w:sz w:val="32"/>
          <w:szCs w:val="32"/>
        </w:rPr>
        <w:t>3、评审方式：本次征集采取资格审查、技术方案谈判相结合方式，重点评估</w:t>
      </w:r>
      <w:r>
        <w:rPr>
          <w:rStyle w:val="16"/>
          <w:rFonts w:ascii="仿宋_GB2312" w:eastAsia="仿宋_GB2312" w:cs="仿宋_GB2312" w:hAnsi="仿宋_GB2312" w:hint="eastAsia"/>
          <w:sz w:val="32"/>
          <w:szCs w:val="32"/>
        </w:rPr>
        <w:t>道闸利旧改造能力、支付接口对接能力、设备技术指标符合性、太仓本地驻场运维保障、多商户平台管理方案</w:t>
      </w:r>
      <w:r>
        <w:rPr>
          <w:rFonts w:ascii="仿宋_GB2312" w:eastAsia="仿宋_GB2312" w:cs="仿宋_GB2312" w:hAnsi="仿宋_GB2312" w:hint="eastAsia"/>
          <w:sz w:val="32"/>
          <w:szCs w:val="32"/>
        </w:rPr>
        <w:t xml:space="preserve">，择优确定入围入库供应商。 </w:t>
      </w:r>
    </w:p>
    <w:p>
      <w:pPr>
        <w:pStyle w:val="15"/>
        <w:widowControl/>
        <w:spacing w:beforeAutospacing="0" w:afterAutospacing="0"/>
        <w:ind w:firstLineChars="200" w:firstLine="640"/>
        <w:rPr>
          <w:rFonts w:ascii="仿宋_GB2312" w:eastAsia="仿宋_GB2312" w:cs="仿宋_GB2312" w:hAnsi="仿宋_GB2312"/>
          <w:sz w:val="32"/>
          <w:szCs w:val="32"/>
        </w:rPr>
      </w:pPr>
      <w:r>
        <w:rPr>
          <w:rFonts w:ascii="仿宋_GB2312" w:eastAsia="仿宋_GB2312" w:cs="仿宋_GB2312" w:hAnsi="仿宋_GB2312" w:hint="eastAsia"/>
          <w:sz w:val="32"/>
          <w:szCs w:val="32"/>
        </w:rPr>
        <w:t>4、公告发布媒介：江苏太仓农村商业银行股份有限公司官方网站。</w:t>
      </w:r>
    </w:p>
    <w:p>
      <w:pPr>
        <w:pStyle w:val="2"/>
        <w:widowControl/>
        <w:spacing w:beforeAutospacing="0" w:afterAutospacing="0"/>
        <w:rPr>
          <w:rFonts w:ascii="仿宋_GB2312" w:eastAsia="仿宋_GB2312" w:cs="仿宋_GB2312" w:hAnsi="仿宋_GB2312"/>
          <w:sz w:val="32"/>
          <w:szCs w:val="32"/>
        </w:rPr>
      </w:pPr>
      <w:r>
        <w:rPr>
          <w:rFonts w:ascii="仿宋_GB2312" w:eastAsia="仿宋_GB2312" w:cs="仿宋_GB2312" w:hAnsi="仿宋_GB2312"/>
          <w:sz w:val="32"/>
          <w:szCs w:val="32"/>
        </w:rPr>
        <w:t>五、其他事项</w:t>
      </w:r>
    </w:p>
    <w:p>
      <w:pPr>
        <w:pStyle w:val="15"/>
        <w:widowControl/>
        <w:spacing w:beforeAutospacing="0" w:afterAutospacing="0"/>
        <w:ind w:firstLineChars="200" w:firstLine="640"/>
        <w:rPr>
          <w:rFonts w:ascii="仿宋_GB2312" w:eastAsia="仿宋_GB2312" w:cs="仿宋_GB2312" w:hAnsi="仿宋_GB2312"/>
          <w:sz w:val="32"/>
          <w:szCs w:val="32"/>
        </w:rPr>
      </w:pPr>
      <w:r>
        <w:rPr>
          <w:rFonts w:ascii="仿宋_GB2312" w:eastAsia="仿宋_GB2312" w:cs="仿宋_GB2312" w:hAnsi="仿宋_GB2312" w:hint="eastAsia"/>
          <w:sz w:val="32"/>
          <w:szCs w:val="32"/>
        </w:rPr>
        <w:t>1.本次征集报名不收取供应商任何费用。</w:t>
      </w:r>
    </w:p>
    <w:p>
      <w:pPr>
        <w:pStyle w:val="15"/>
        <w:widowControl/>
        <w:spacing w:beforeAutospacing="0" w:afterAutospacing="0"/>
        <w:ind w:firstLineChars="200" w:firstLine="640"/>
        <w:rPr>
          <w:rFonts w:ascii="仿宋_GB2312" w:eastAsia="仿宋_GB2312" w:cs="仿宋_GB2312" w:hAnsi="仿宋_GB2312"/>
          <w:sz w:val="32"/>
          <w:szCs w:val="32"/>
        </w:rPr>
      </w:pPr>
      <w:r>
        <w:rPr>
          <w:rFonts w:ascii="仿宋_GB2312" w:eastAsia="仿宋_GB2312" w:cs="仿宋_GB2312" w:hAnsi="仿宋_GB2312" w:hint="eastAsia"/>
          <w:sz w:val="32"/>
          <w:szCs w:val="32"/>
        </w:rPr>
        <w:t>2.供应商对报名信息和资料的真实性负责。如提供虚假材料，自动丧失本项目的参与资格，且将被列入我行供应商黑名单。</w:t>
      </w:r>
    </w:p>
    <w:p>
      <w:pPr>
        <w:pStyle w:val="15"/>
        <w:widowControl/>
        <w:spacing w:beforeAutospacing="0" w:afterAutospacing="0"/>
        <w:ind w:firstLineChars="200" w:firstLine="640"/>
        <w:rPr>
          <w:rFonts w:ascii="仿宋_GB2312" w:eastAsia="仿宋_GB2312" w:cs="仿宋_GB2312" w:hAnsi="仿宋_GB2312"/>
          <w:sz w:val="32"/>
          <w:szCs w:val="32"/>
        </w:rPr>
      </w:pPr>
      <w:r>
        <w:rPr>
          <w:rFonts w:ascii="仿宋_GB2312" w:eastAsia="仿宋_GB2312" w:cs="仿宋_GB2312" w:hAnsi="仿宋_GB2312" w:hint="eastAsia"/>
          <w:sz w:val="32"/>
          <w:szCs w:val="32"/>
        </w:rPr>
        <w:t>3.符合本公告报名条件的供应商，按时提交合格报名资料后，并不必然获得正式采购邀请。采购人将从符合报名条件的供应商中择优选取不少于3家供应商发出正式采购邀请。采购人保留要求报名供应商补充提交资料的权利。</w:t>
      </w:r>
    </w:p>
    <w:p>
      <w:pPr>
        <w:pStyle w:val="15"/>
        <w:widowControl/>
        <w:spacing w:beforeAutospacing="0" w:afterAutospacing="0"/>
        <w:ind w:firstLineChars="200" w:firstLine="640"/>
        <w:rPr>
          <w:rFonts w:ascii="仿宋_GB2312" w:eastAsia="仿宋_GB2312" w:cs="仿宋_GB2312" w:hAnsi="仿宋_GB2312"/>
          <w:sz w:val="32"/>
          <w:szCs w:val="32"/>
        </w:rPr>
      </w:pPr>
      <w:r>
        <w:rPr>
          <w:rFonts w:ascii="仿宋_GB2312" w:eastAsia="仿宋_GB2312" w:cs="仿宋_GB2312" w:hAnsi="仿宋_GB2312" w:hint="eastAsia"/>
          <w:sz w:val="32"/>
          <w:szCs w:val="32"/>
        </w:rPr>
        <w:t>4.采购人对递交资格审核文件的供应商还将进行考察（非必需），考察内容和结果也为资格审核内容的一部分。如申请资格预审的单位较多，采购人将通过投标申请人的综合实力、信誉等条件优选潜在的投标人参加投标，采购人无义务公布和解释资格预审的结果。</w:t>
      </w:r>
    </w:p>
    <w:p>
      <w:pPr>
        <w:pStyle w:val="15"/>
        <w:widowControl/>
        <w:spacing w:beforeAutospacing="0" w:afterAutospacing="0"/>
        <w:ind w:firstLineChars="200" w:firstLine="640"/>
        <w:rPr>
          <w:rFonts w:ascii="仿宋_GB2312" w:eastAsia="仿宋_GB2312" w:cs="仿宋_GB2312" w:hAnsi="仿宋_GB2312"/>
          <w:sz w:val="32"/>
          <w:szCs w:val="32"/>
        </w:rPr>
      </w:pPr>
      <w:r>
        <w:rPr>
          <w:rFonts w:ascii="仿宋_GB2312" w:eastAsia="仿宋_GB2312" w:cs="仿宋_GB2312" w:hAnsi="仿宋_GB2312" w:hint="eastAsia"/>
          <w:sz w:val="32"/>
          <w:szCs w:val="32"/>
        </w:rPr>
        <w:t>5.有关单位或个人如对本项目征集供应商的资质要求等信息有异议的，可以自本公告发出之日起五个工作日内，以书面或邮件形式向太仓农商行相关部门提出。</w:t>
      </w:r>
    </w:p>
    <w:p>
      <w:pPr>
        <w:pStyle w:val="15"/>
        <w:widowControl/>
        <w:spacing w:beforeAutospacing="0" w:afterAutospacing="0"/>
        <w:ind w:left="640"/>
        <w:rPr>
          <w:rFonts w:ascii="仿宋_GB2312" w:eastAsia="仿宋_GB2312" w:cs="仿宋_GB2312" w:hAnsi="仿宋_GB2312"/>
          <w:sz w:val="32"/>
          <w:szCs w:val="32"/>
        </w:rPr>
      </w:pPr>
      <w:r>
        <w:rPr>
          <w:rFonts w:ascii="仿宋_GB2312" w:eastAsia="仿宋_GB2312" w:cs="仿宋_GB2312" w:hAnsi="仿宋_GB2312" w:hint="eastAsia"/>
          <w:sz w:val="32"/>
          <w:szCs w:val="32"/>
        </w:rPr>
        <w:t xml:space="preserve">征集单位：江苏太仓农村商业银行股份有限公司 </w:t>
      </w:r>
    </w:p>
    <w:p>
      <w:pPr>
        <w:pStyle w:val="15"/>
        <w:widowControl/>
        <w:spacing w:beforeAutospacing="0" w:afterAutospacing="0"/>
        <w:ind w:left="640"/>
        <w:rPr>
          <w:rFonts w:ascii="仿宋_GB2312" w:eastAsia="仿宋_GB2312" w:cs="仿宋_GB2312" w:hAnsi="仿宋_GB2312"/>
          <w:sz w:val="32"/>
          <w:szCs w:val="32"/>
        </w:rPr>
      </w:pPr>
      <w:r>
        <w:rPr>
          <w:rFonts w:ascii="仿宋_GB2312" w:eastAsia="仿宋_GB2312" w:cs="仿宋_GB2312" w:hAnsi="仿宋_GB2312" w:hint="eastAsia"/>
          <w:sz w:val="32"/>
          <w:szCs w:val="32"/>
        </w:rPr>
        <w:t xml:space="preserve">地址：太仓市上海东路198号金融大厦 </w:t>
      </w:r>
    </w:p>
    <w:p>
      <w:pPr>
        <w:pStyle w:val="15"/>
        <w:widowControl/>
        <w:spacing w:beforeAutospacing="0" w:afterAutospacing="0"/>
        <w:ind w:left="640"/>
        <w:rPr>
          <w:rFonts w:ascii="仿宋_GB2312" w:eastAsia="仿宋_GB2312" w:cs="仿宋_GB2312" w:hAnsi="仿宋_GB2312"/>
          <w:sz w:val="32"/>
          <w:szCs w:val="32"/>
        </w:rPr>
      </w:pPr>
      <w:r>
        <w:rPr>
          <w:rFonts w:ascii="仿宋_GB2312" w:eastAsia="仿宋_GB2312" w:cs="仿宋_GB2312" w:hAnsi="仿宋_GB2312" w:hint="eastAsia"/>
          <w:sz w:val="32"/>
          <w:szCs w:val="32"/>
        </w:rPr>
        <w:t>商务及技术联系方式：顾信沂 18913790582</w:t>
      </w:r>
    </w:p>
    <w:p>
      <w:pPr>
        <w:pStyle w:val="15"/>
        <w:widowControl/>
        <w:spacing w:beforeAutospacing="0" w:afterAutospacing="0"/>
        <w:ind w:left="640"/>
        <w:rPr>
          <w:rFonts w:ascii="仿宋_GB2312" w:eastAsia="仿宋_GB2312" w:cs="仿宋_GB2312" w:hAnsi="仿宋_GB2312"/>
          <w:sz w:val="32"/>
          <w:szCs w:val="32"/>
        </w:rPr>
      </w:pPr>
      <w:r>
        <w:rPr>
          <w:rFonts w:ascii="仿宋_GB2312" w:eastAsia="仿宋_GB2312" w:cs="仿宋_GB2312" w:hAnsi="仿宋_GB2312" w:hint="eastAsia"/>
          <w:sz w:val="32"/>
          <w:szCs w:val="32"/>
        </w:rPr>
        <w:t>采购联系方式：丁峰 13962626004</w:t>
      </w:r>
    </w:p>
    <w:p>
      <w:pPr>
        <w:rPr>
          <w:rFonts w:ascii="仿宋_GB2312" w:eastAsia="仿宋_GB2312" w:cs="仿宋_GB2312" w:hAnsi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_GB2312">
    <w:altName w:val="Arial Unicode MS"/>
    <w:panose1 w:val="00000000000000000000"/>
    <w:charset w:val="86"/>
    <w:family w:val="auto"/>
    <w:pitch w:val="variable"/>
    <w:sig w:usb0="00000000" w:usb1="080E0000" w:usb2="0000000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auto"/>
    <w:pitch w:val="variable"/>
    <w:sig w:usb0="00000003" w:usb1="00000000" w:usb2="00000000" w:usb3="00000000" w:csb0="2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mc="http://schemas.openxmlformats.org/markup-compatibility/2006" xmlns:w14="http://schemas.microsoft.com/office/word/2010/wordml">
  <w:abstractNum w:abstractNumId="0">
    <w:nsid w:val="D5690109"/>
    <w:multiLevelType w:val="singleLevel"/>
    <w:tmpl w:val="D5690109"/>
    <w:lvl w:ilvl="0">
      <w:start w:val="1"/>
      <w:numFmt w:val="decimal"/>
      <w:lvlRestart w:val="0"/>
      <w:suff w:val="nothing"/>
      <w:lvlText w:val="%1、"/>
      <w:lvlJc w:val="left"/>
      <w:pPr/>
    </w:lvl>
  </w:abstractNum>
  <w:abstractNum w:abstractNumId="1">
    <w:nsid w:val="37B542A8"/>
    <w:multiLevelType w:val="singleLevel"/>
    <w:tmpl w:val="37B542A8"/>
    <w:lvl w:ilvl="0">
      <w:start w:val="3"/>
      <w:numFmt w:val="decimal"/>
      <w:lvlRestart w:val="0"/>
      <w:suff w:val="nothing"/>
      <w:lvlText w:val="%1、"/>
      <w:lvlJc w:val="left"/>
      <w:pPr/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8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1"/>
  <w:noPunctuationKerning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2"/>
  </w:compat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doNotIncludeSubdocsInStat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Lucida Sans"/>
        <w:lang w:val="en-US" w:eastAsia="zh-CN" w:bidi="ar-SA"/>
      </w:rPr>
    </w:rPrDefault>
    <w:pPrDefault/>
  </w:docDefaults>
  <w:style w:type="paragraph" w:default="1" w:styleId="0">
    <w:name w:val="Normal"/>
    <w:qFormat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styleId="1">
    <w:name w:val="heading 1"/>
    <w:qFormat/>
    <w:basedOn w:val="0"/>
    <w:next w:val="0"/>
    <w:link w:val="1Char"/>
    <w:pPr>
      <w:spacing w:beforeAutospacing="1" w:afterAutospacing="1"/>
      <w:jc w:val="left"/>
      <w:outlineLvl w:val="0"/>
    </w:pPr>
    <w:rPr>
      <w:rFonts w:ascii="宋体" w:eastAsia="宋体" w:cs="Times New Roman" w:hAnsi="宋体"/>
      <w:b/>
      <w:bCs/>
      <w:kern w:val="44"/>
      <w:sz w:val="48"/>
      <w:szCs w:val="48"/>
    </w:rPr>
  </w:style>
  <w:style w:type="character" w:customStyle="1" w:styleId="1Char">
    <w:name w:val="heading 1 Char"/>
    <w:basedOn w:val="10"/>
    <w:link w:val="1"/>
    <w:rPr>
      <w:rFonts w:ascii="宋体" w:eastAsia="宋体" w:cs="Times New Roman" w:hAnsi="宋体"/>
      <w:b/>
      <w:bCs/>
      <w:kern w:val="44"/>
      <w:sz w:val="48"/>
      <w:szCs w:val="48"/>
      <w:lang w:val="en-US" w:eastAsia="zh-CN" w:bidi="ar-SA"/>
    </w:rPr>
  </w:style>
  <w:style w:type="paragraph" w:styleId="2">
    <w:name w:val="heading 2"/>
    <w:qFormat/>
    <w:basedOn w:val="0"/>
    <w:next w:val="0"/>
    <w:link w:val="2Char"/>
    <w:pPr>
      <w:spacing w:beforeAutospacing="1" w:afterAutospacing="1"/>
      <w:jc w:val="left"/>
      <w:outlineLvl w:val="1"/>
    </w:pPr>
    <w:rPr>
      <w:rFonts w:ascii="宋体" w:eastAsia="宋体" w:cs="Times New Roman" w:hAnsi="宋体"/>
      <w:b/>
      <w:bCs/>
      <w:kern w:val="0"/>
      <w:sz w:val="36"/>
      <w:szCs w:val="36"/>
    </w:rPr>
  </w:style>
  <w:style w:type="character" w:customStyle="1" w:styleId="2Char">
    <w:name w:val="heading 2 Char"/>
    <w:basedOn w:val="10"/>
    <w:link w:val="2"/>
    <w:rPr>
      <w:rFonts w:ascii="宋体" w:eastAsia="宋体" w:cs="Times New Roman" w:hAnsi="宋体"/>
      <w:b/>
      <w:bCs/>
      <w:kern w:val="0"/>
      <w:sz w:val="36"/>
      <w:szCs w:val="36"/>
      <w:lang w:val="en-US" w:eastAsia="zh-CN" w:bidi="ar-SA"/>
    </w:rPr>
  </w:style>
  <w:style w:type="paragraph" w:styleId="3">
    <w:name w:val="heading 3"/>
    <w:qFormat/>
    <w:basedOn w:val="0"/>
    <w:next w:val="0"/>
    <w:link w:val="3Char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customStyle="1" w:styleId="3Char">
    <w:name w:val="heading 3 Char"/>
    <w:basedOn w:val="10"/>
    <w:link w:val="3"/>
    <w:rPr>
      <w:rFonts w:ascii="Calibri" w:eastAsia="宋体" w:cs="Arial" w:hAnsi="Calibri"/>
      <w:b/>
      <w:bCs/>
      <w:kern w:val="2"/>
      <w:sz w:val="32"/>
      <w:szCs w:val="32"/>
      <w:lang w:val="en-US" w:eastAsia="zh-CN" w:bidi="ar-SA"/>
    </w:rPr>
  </w:style>
  <w:style w:type="character" w:default="1" w:styleId="10">
    <w:name w:val="Default Paragraph Font"/>
    <w:qFormat/>
  </w:style>
  <w:style w:type="paragraph" w:styleId="15">
    <w:name w:val="Normal (Web)"/>
    <w:qFormat/>
    <w:basedOn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6">
    <w:name w:val="Strong"/>
    <w:qFormat/>
    <w:basedOn w:val="10"/>
    <w:rPr>
      <w:b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customXml" Target="../customXml/item1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WPS">
      <a:fillStyleLst>
        <a:solidFill>
          <a:schemeClr val="phClr"/>
        </a:solidFill>
        <a:gradFill rotWithShape="1"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1"/>
        </a:gradFill>
        <a:gradFill rotWithShape="1"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1"/>
        </a:gradFill>
      </a:fillStyleLst>
      <a:lnStyleLst>
        <a:ln w="12700" cmpd="sng" cap="flat">
          <a:solidFill>
            <a:schemeClr val="phClr"/>
          </a:solidFill>
          <a:prstDash val="solid"/>
          <a:miter/>
        </a:ln>
        <a:ln w="12700" cmpd="sng" cap="flat">
          <a:solidFill>
            <a:schemeClr val="phClr"/>
          </a:solidFill>
          <a:prstDash val="solid"/>
          <a:miter/>
        </a:ln>
        <a:ln w="12700" cmpd="sng" cap="flat">
          <a:gradFill rotWithShape="1"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/>
        </a:ln>
      </a:lnStyleLst>
      <a:effectStyleLst>
        <a:effectStyle>
          <a:effectLst>
            <a:outerShdw sx="100000" sy="100000" algn="ctr" rotWithShape="0" blurRad="101600" dist="50800" dir="540000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sx="100000" sy="100000" algn="ctr" rotWithShape="0" blurRad="57150" dist="19050" dir="5400000">
              <a:srgbClr val="000000">
                <a:alpha val="62745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1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26650 1 1 1 1 1"/>
    <sectPr/>
  </customProps>
</customData>
</file>

<file path=customXml/itemProps1.xml><?xml version="1.0" encoding="utf-8"?>
<ds:datastoreItem xmlns:ds="http://schemas.openxmlformats.org/officeDocument/2006/customXml" ds:itemID="{BD15E66C-DF63-490C-ACCA-4379046E75D4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99</TotalTime>
  <Application>Yozo_OfficeDCS3.0.1.0923.101ZH</Application>
  <Pages>6</Pages>
  <Words>0</Words>
  <Characters>2028</Characters>
  <Lines>0</Lines>
  <Paragraphs>49</Paragraphs>
  <CharactersWithSpaces>2705</CharactersWithSpaces>
  <Company>Lenovo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๑ 顾</dc:creator>
  <cp:lastModifiedBy>yozo</cp:lastModifiedBy>
  <cp:revision>6</cp:revision>
  <dcterms:created xsi:type="dcterms:W3CDTF">2026-10-19T01:18:00Z</dcterms:created>
  <dcterms:modified xsi:type="dcterms:W3CDTF">2026-10-26T02:48:49Z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2052-12.1.0.29161</vt:lpwstr>
  </property>
  <property fmtid="{D5CDD505-2E9C-101B-9397-08002B2CF9AE}" pid="3" name="ICV">
    <vt:lpwstr>B7D36E051EB549DABF8D1EF608440733_11</vt:lpwstr>
  </property>
  <property fmtid="{D5CDD505-2E9C-101B-9397-08002B2CF9AE}" pid="4" name="KSOTemplateDocerSaveRecord">
    <vt:lpwstr>eyJoZGlkIjoiYThiM2E4OTRiM2JiMWUyM2Y2M2VjOTZlZWFkYWJiMmEiLCJ1c2VySWQiOiI2MTE0MTM2NjgifQ==</vt:lpwstr>
  </property>
</Properties>
</file>