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480" w:lineRule="exact"/>
        <w:ind w:firstLine="0" w:firstLineChars="0"/>
        <w:jc w:val="center"/>
        <w:textAlignment w:val="auto"/>
        <w:rPr>
          <w:rFonts w:ascii="黑体" w:hAnsi="黑体" w:eastAsia="黑体" w:cs="黑体"/>
          <w:bCs/>
          <w:color w:val="000000" w:themeColor="text1"/>
          <w:sz w:val="36"/>
          <w:szCs w:val="36"/>
          <w:lang w:eastAsia="zh-CN"/>
          <w14:textFill>
            <w14:solidFill>
              <w14:schemeClr w14:val="tx1"/>
            </w14:solidFill>
          </w14:textFill>
        </w:rPr>
      </w:pPr>
      <w:r>
        <w:rPr>
          <w:rFonts w:hint="eastAsia" w:ascii="黑体" w:hAnsi="黑体" w:eastAsia="黑体" w:cs="黑体"/>
          <w:bCs/>
          <w:color w:val="000000" w:themeColor="text1"/>
          <w:sz w:val="36"/>
          <w:szCs w:val="36"/>
          <w:lang w:eastAsia="zh-CN"/>
          <w14:textFill>
            <w14:solidFill>
              <w14:schemeClr w14:val="tx1"/>
            </w14:solidFill>
          </w14:textFill>
        </w:rPr>
        <w:t>江苏太仓农村商业银行股份有限公司</w:t>
      </w:r>
    </w:p>
    <w:p>
      <w:pPr>
        <w:keepNext w:val="0"/>
        <w:keepLines w:val="0"/>
        <w:pageBreakBefore w:val="0"/>
        <w:widowControl/>
        <w:kinsoku/>
        <w:wordWrap/>
        <w:overflowPunct/>
        <w:topLinePunct w:val="0"/>
        <w:autoSpaceDE/>
        <w:autoSpaceDN/>
        <w:bidi w:val="0"/>
        <w:adjustRightInd/>
        <w:snapToGrid w:val="0"/>
        <w:spacing w:line="480" w:lineRule="exact"/>
        <w:ind w:firstLine="0" w:firstLineChars="0"/>
        <w:jc w:val="center"/>
        <w:textAlignment w:val="auto"/>
        <w:rPr>
          <w:rFonts w:cs="仿宋_GB2312" w:asciiTheme="minorEastAsia" w:hAnsiTheme="minorEastAsia" w:eastAsiaTheme="minorEastAsia"/>
          <w:bCs/>
          <w:color w:val="000000" w:themeColor="text1"/>
          <w:sz w:val="36"/>
          <w:szCs w:val="36"/>
          <w:lang w:eastAsia="zh-CN"/>
          <w14:textFill>
            <w14:solidFill>
              <w14:schemeClr w14:val="tx1"/>
            </w14:solidFill>
          </w14:textFill>
        </w:rPr>
      </w:pPr>
      <w:r>
        <w:rPr>
          <w:rFonts w:hint="eastAsia" w:ascii="黑体" w:hAnsi="黑体" w:eastAsia="黑体" w:cs="黑体"/>
          <w:bCs/>
          <w:color w:val="000000" w:themeColor="text1"/>
          <w:sz w:val="36"/>
          <w:szCs w:val="36"/>
          <w:lang w:eastAsia="zh-CN"/>
          <w14:textFill>
            <w14:solidFill>
              <w14:schemeClr w14:val="tx1"/>
            </w14:solidFill>
          </w14:textFill>
        </w:rPr>
        <w:t>2026年第二季度第三支柱信息披露报告</w:t>
      </w:r>
      <w:bookmarkStart w:id="0" w:name="_GoBack"/>
      <w:bookmarkEnd w:id="0"/>
    </w:p>
    <w:p>
      <w:pPr>
        <w:snapToGrid w:val="0"/>
        <w:spacing w:line="360" w:lineRule="auto"/>
        <w:ind w:firstLine="600" w:firstLineChars="200"/>
        <w:rPr>
          <w:rFonts w:ascii="仿宋_GB2312" w:hAnsi="仿宋_GB2312" w:eastAsia="仿宋_GB2312" w:cs="仿宋_GB2312"/>
          <w:color w:val="000000" w:themeColor="text1"/>
          <w:sz w:val="30"/>
          <w:szCs w:val="30"/>
          <w:lang w:eastAsia="zh-CN"/>
          <w14:textFill>
            <w14:solidFill>
              <w14:schemeClr w14:val="tx1"/>
            </w14:solidFill>
          </w14:textFill>
        </w:rPr>
      </w:pPr>
    </w:p>
    <w:p>
      <w:pPr>
        <w:snapToGrid w:val="0"/>
        <w:spacing w:line="360" w:lineRule="auto"/>
        <w:ind w:firstLine="600" w:firstLineChars="200"/>
        <w:rPr>
          <w:rFonts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本报告根据国家金融监督管理总局2023年11月1日发布的《商业银行资本管理办法》（以下简称“办法”）附件22《商业银行信息披露内容和要求》的相关规定编制并披露。</w:t>
      </w:r>
    </w:p>
    <w:p>
      <w:pPr>
        <w:numPr>
          <w:ilvl w:val="0"/>
          <w:numId w:val="1"/>
        </w:numPr>
        <w:snapToGrid w:val="0"/>
        <w:spacing w:line="360" w:lineRule="auto"/>
        <w:ind w:firstLine="602" w:firstLineChars="200"/>
        <w:rPr>
          <w:rFonts w:ascii="仿宋_GB2312" w:hAnsi="仿宋_GB2312" w:eastAsia="仿宋_GB2312" w:cs="仿宋_GB2312"/>
          <w:b/>
          <w:bCs/>
          <w:color w:val="000000" w:themeColor="text1"/>
          <w:sz w:val="30"/>
          <w:szCs w:val="30"/>
          <w:lang w:eastAsia="zh-CN"/>
          <w14:textFill>
            <w14:solidFill>
              <w14:schemeClr w14:val="tx1"/>
            </w14:solidFill>
          </w14:textFill>
        </w:rPr>
      </w:pPr>
      <w:r>
        <w:rPr>
          <w:rFonts w:hint="eastAsia" w:ascii="仿宋_GB2312" w:hAnsi="仿宋_GB2312" w:eastAsia="仿宋_GB2312" w:cs="仿宋_GB2312"/>
          <w:b/>
          <w:bCs/>
          <w:color w:val="000000" w:themeColor="text1"/>
          <w:sz w:val="30"/>
          <w:szCs w:val="30"/>
          <w:lang w:eastAsia="zh-CN"/>
          <w14:textFill>
            <w14:solidFill>
              <w14:schemeClr w14:val="tx1"/>
            </w14:solidFill>
          </w14:textFill>
        </w:rPr>
        <w:t>披露说明</w:t>
      </w:r>
    </w:p>
    <w:p>
      <w:pPr>
        <w:snapToGrid w:val="0"/>
        <w:spacing w:line="360" w:lineRule="auto"/>
        <w:ind w:firstLine="600" w:firstLineChars="200"/>
        <w:rPr>
          <w:rFonts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根据办法，我行属于非国内系统重要性银行，应在并表范围披露相关信息。同时，本报告是按照办法正文第九章信息披露及附件22商业银行信息披露内容和要求编制，而非财务会计准则，因此本报告中部分资料不能与同期财务报告的信息直接进行比较。</w:t>
      </w:r>
    </w:p>
    <w:p>
      <w:pPr>
        <w:snapToGrid w:val="0"/>
        <w:spacing w:line="360" w:lineRule="auto"/>
        <w:ind w:firstLine="600" w:firstLineChars="200"/>
        <w:rPr>
          <w:rFonts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根据办法，本期报告应披露KMI监管并表关键审慎监管指标及CC1资本构成。</w:t>
      </w:r>
    </w:p>
    <w:p>
      <w:pPr>
        <w:numPr>
          <w:ilvl w:val="0"/>
          <w:numId w:val="2"/>
        </w:numPr>
        <w:snapToGrid w:val="0"/>
        <w:spacing w:line="360" w:lineRule="auto"/>
        <w:ind w:firstLine="602" w:firstLineChars="200"/>
        <w:rPr>
          <w:rFonts w:ascii="仿宋_GB2312" w:hAnsi="仿宋_GB2312" w:eastAsia="仿宋_GB2312" w:cs="仿宋_GB2312"/>
          <w:b/>
          <w:color w:val="000000" w:themeColor="text1"/>
          <w:sz w:val="30"/>
          <w:szCs w:val="30"/>
          <w:lang w:eastAsia="zh-CN"/>
          <w14:textFill>
            <w14:solidFill>
              <w14:schemeClr w14:val="tx1"/>
            </w14:solidFill>
          </w14:textFill>
        </w:rPr>
      </w:pPr>
      <w:r>
        <w:rPr>
          <w:rFonts w:hint="eastAsia" w:ascii="仿宋_GB2312" w:hAnsi="仿宋_GB2312" w:eastAsia="仿宋_GB2312" w:cs="仿宋_GB2312"/>
          <w:b/>
          <w:color w:val="000000" w:themeColor="text1"/>
          <w:sz w:val="30"/>
          <w:szCs w:val="30"/>
          <w:lang w:eastAsia="zh-CN"/>
          <w14:textFill>
            <w14:solidFill>
              <w14:schemeClr w14:val="tx1"/>
            </w14:solidFill>
          </w14:textFill>
        </w:rPr>
        <w:t>监管并表关键审慎监管指标</w:t>
      </w:r>
    </w:p>
    <w:p>
      <w:pPr>
        <w:snapToGrid w:val="0"/>
        <w:spacing w:line="360" w:lineRule="auto"/>
        <w:ind w:firstLine="600" w:firstLineChars="200"/>
        <w:rPr>
          <w:rFonts w:ascii="仿宋_GB2312" w:hAnsi="仿宋_GB2312" w:eastAsia="仿宋_GB2312" w:cs="仿宋_GB2312"/>
          <w:sz w:val="30"/>
          <w:szCs w:val="30"/>
          <w:lang w:eastAsia="zh-CN"/>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监管并表关键审慎监管指标包括资本充足率、杠杆率及流动性风险相关指</w:t>
      </w:r>
      <w:r>
        <w:rPr>
          <w:rFonts w:hint="eastAsia" w:ascii="仿宋_GB2312" w:hAnsi="仿宋_GB2312" w:eastAsia="仿宋_GB2312" w:cs="仿宋_GB2312"/>
          <w:sz w:val="30"/>
          <w:szCs w:val="30"/>
          <w:lang w:eastAsia="zh-CN"/>
        </w:rPr>
        <w:t>标，信息披露如下：</w:t>
      </w:r>
    </w:p>
    <w:p>
      <w:pPr>
        <w:snapToGrid w:val="0"/>
        <w:spacing w:line="360" w:lineRule="auto"/>
        <w:ind w:firstLine="602" w:firstLineChars="200"/>
        <w:jc w:val="center"/>
        <w:rPr>
          <w:rFonts w:ascii="仿宋_GB2312" w:hAnsi="仿宋_GB2312" w:eastAsia="仿宋_GB2312" w:cs="仿宋_GB2312"/>
          <w:b/>
          <w:sz w:val="30"/>
          <w:szCs w:val="30"/>
          <w:lang w:eastAsia="zh-CN"/>
        </w:rPr>
      </w:pPr>
      <w:r>
        <w:rPr>
          <w:rFonts w:hint="eastAsia" w:ascii="仿宋_GB2312" w:hAnsi="仿宋_GB2312" w:eastAsia="仿宋_GB2312" w:cs="仿宋_GB2312"/>
          <w:b/>
          <w:sz w:val="30"/>
          <w:szCs w:val="30"/>
          <w:lang w:eastAsia="zh-CN"/>
        </w:rPr>
        <w:t>表格KMI：监管并表关键审慎监管指标</w:t>
      </w:r>
    </w:p>
    <w:p>
      <w:pPr>
        <w:snapToGrid w:val="0"/>
        <w:spacing w:line="480" w:lineRule="exact"/>
        <w:ind w:firstLine="480" w:firstLineChars="200"/>
        <w:jc w:val="right"/>
        <w:rPr>
          <w:rFonts w:ascii="仿宋_GB2312" w:hAnsi="仿宋_GB2312" w:eastAsia="仿宋_GB2312" w:cs="仿宋_GB2312"/>
          <w:lang w:eastAsia="zh-CN"/>
        </w:rPr>
      </w:pPr>
      <w:r>
        <w:rPr>
          <w:rFonts w:hint="eastAsia" w:ascii="仿宋_GB2312" w:hAnsi="仿宋_GB2312" w:eastAsia="仿宋_GB2312" w:cs="仿宋_GB2312"/>
          <w:lang w:eastAsia="zh-CN"/>
        </w:rPr>
        <w:t>单位：亿元，保留两位小数</w:t>
      </w:r>
    </w:p>
    <w:p>
      <w:pPr>
        <w:rPr>
          <w:vanish/>
          <w:color w:val="FF0000"/>
          <w:lang w:eastAsia="zh-CN"/>
        </w:rPr>
      </w:pP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381"/>
        <w:gridCol w:w="1316"/>
        <w:gridCol w:w="1316"/>
        <w:gridCol w:w="1316"/>
        <w:gridCol w:w="1316"/>
        <w:gridCol w:w="131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942" w:type="dxa"/>
            <w:gridSpan w:val="2"/>
          </w:tcPr>
          <w:p>
            <w:pPr>
              <w:snapToGrid w:val="0"/>
              <w:spacing w:line="480" w:lineRule="exact"/>
              <w:rPr>
                <w:rFonts w:ascii="仿宋_GB2312" w:hAnsi="仿宋" w:eastAsia="仿宋_GB2312" w:cs="Arial Unicode MS"/>
                <w:color w:val="FF0000"/>
                <w:sz w:val="22"/>
                <w:szCs w:val="22"/>
                <w:lang w:eastAsia="zh-CN"/>
              </w:rPr>
            </w:pPr>
            <w:r>
              <w:rPr>
                <w:rFonts w:hint="eastAsia" w:ascii="仿宋_GB2312" w:hAnsi="仿宋" w:eastAsia="仿宋_GB2312" w:cs="Arial Unicode MS"/>
                <w:color w:val="FF0000"/>
                <w:sz w:val="22"/>
                <w:szCs w:val="22"/>
                <w:lang w:eastAsia="zh-CN"/>
              </w:rPr>
              <w:t>　</w:t>
            </w:r>
          </w:p>
          <w:p>
            <w:pPr>
              <w:snapToGrid w:val="0"/>
              <w:spacing w:line="480" w:lineRule="exact"/>
              <w:rPr>
                <w:rFonts w:ascii="仿宋_GB2312" w:hAnsi="仿宋" w:eastAsia="仿宋_GB2312" w:cs="Arial Unicode MS"/>
                <w:color w:val="FF0000"/>
                <w:sz w:val="22"/>
                <w:szCs w:val="22"/>
                <w:lang w:eastAsia="zh-CN"/>
              </w:rPr>
            </w:pPr>
            <w:r>
              <w:rPr>
                <w:rFonts w:hint="eastAsia" w:ascii="仿宋_GB2312" w:hAnsi="仿宋" w:eastAsia="仿宋_GB2312" w:cs="Arial Unicode MS"/>
                <w:color w:val="FF0000"/>
                <w:sz w:val="22"/>
                <w:szCs w:val="22"/>
                <w:lang w:eastAsia="zh-CN"/>
              </w:rPr>
              <w:t>　</w:t>
            </w:r>
          </w:p>
        </w:tc>
        <w:tc>
          <w:tcPr>
            <w:tcW w:w="1316" w:type="dxa"/>
            <w:vAlign w:val="center"/>
          </w:tcPr>
          <w:p>
            <w:pPr>
              <w:snapToGrid w:val="0"/>
              <w:spacing w:line="480" w:lineRule="exact"/>
              <w:jc w:val="center"/>
              <w:rPr>
                <w:rFonts w:ascii="仿宋_GB2312" w:hAnsi="仿宋" w:eastAsia="仿宋_GB2312" w:cs="Arial Unicode MS"/>
                <w:color w:val="FF0000"/>
                <w:sz w:val="22"/>
                <w:szCs w:val="22"/>
                <w:lang w:eastAsia="zh-CN"/>
              </w:rPr>
            </w:pPr>
            <w:r>
              <w:rPr>
                <w:rFonts w:hint="eastAsia" w:ascii="仿宋_GB2312" w:hAnsi="仿宋" w:eastAsia="仿宋_GB2312" w:cs="Arial Unicode MS"/>
                <w:color w:val="000000" w:themeColor="text1"/>
                <w:sz w:val="22"/>
                <w:szCs w:val="22"/>
                <w:lang w:eastAsia="zh-CN"/>
                <w14:textFill>
                  <w14:solidFill>
                    <w14:schemeClr w14:val="tx1"/>
                  </w14:solidFill>
                </w14:textFill>
              </w:rPr>
              <w:t>2026/6/30</w:t>
            </w:r>
          </w:p>
        </w:tc>
        <w:tc>
          <w:tcPr>
            <w:tcW w:w="1316" w:type="dxa"/>
            <w:vAlign w:val="center"/>
          </w:tcPr>
          <w:p>
            <w:pPr>
              <w:snapToGrid w:val="0"/>
              <w:spacing w:line="480" w:lineRule="exact"/>
              <w:jc w:val="center"/>
              <w:rPr>
                <w:rFonts w:ascii="仿宋_GB2312" w:hAnsi="仿宋" w:eastAsia="仿宋_GB2312" w:cs="Arial Unicode MS"/>
                <w:color w:val="000000" w:themeColor="text1"/>
                <w:sz w:val="22"/>
                <w:szCs w:val="22"/>
                <w:lang w:eastAsia="zh-CN"/>
                <w14:textFill>
                  <w14:solidFill>
                    <w14:schemeClr w14:val="tx1"/>
                  </w14:solidFill>
                </w14:textFill>
              </w:rPr>
            </w:pPr>
            <w:r>
              <w:rPr>
                <w:rFonts w:hint="eastAsia" w:ascii="仿宋_GB2312" w:hAnsi="仿宋" w:eastAsia="仿宋_GB2312" w:cs="Arial Unicode MS"/>
                <w:color w:val="000000" w:themeColor="text1"/>
                <w:sz w:val="22"/>
                <w:szCs w:val="22"/>
                <w:lang w:eastAsia="zh-CN"/>
                <w14:textFill>
                  <w14:solidFill>
                    <w14:schemeClr w14:val="tx1"/>
                  </w14:solidFill>
                </w14:textFill>
              </w:rPr>
              <w:t>2026/3/31</w:t>
            </w:r>
          </w:p>
        </w:tc>
        <w:tc>
          <w:tcPr>
            <w:tcW w:w="1316" w:type="dxa"/>
            <w:vAlign w:val="center"/>
          </w:tcPr>
          <w:p>
            <w:pPr>
              <w:snapToGrid w:val="0"/>
              <w:spacing w:line="480" w:lineRule="exact"/>
              <w:jc w:val="center"/>
              <w:rPr>
                <w:rFonts w:ascii="仿宋_GB2312" w:hAnsi="仿宋" w:eastAsia="仿宋_GB2312" w:cs="Arial Unicode MS"/>
                <w:color w:val="000000" w:themeColor="text1"/>
                <w:sz w:val="22"/>
                <w:szCs w:val="22"/>
                <w:lang w:eastAsia="zh-CN"/>
                <w14:textFill>
                  <w14:solidFill>
                    <w14:schemeClr w14:val="tx1"/>
                  </w14:solidFill>
                </w14:textFill>
              </w:rPr>
            </w:pPr>
            <w:r>
              <w:rPr>
                <w:rFonts w:hint="eastAsia" w:ascii="仿宋_GB2312" w:hAnsi="仿宋" w:eastAsia="仿宋_GB2312" w:cs="Arial Unicode MS"/>
                <w:color w:val="000000" w:themeColor="text1"/>
                <w:sz w:val="22"/>
                <w:szCs w:val="22"/>
                <w:lang w:eastAsia="zh-CN"/>
                <w14:textFill>
                  <w14:solidFill>
                    <w14:schemeClr w14:val="tx1"/>
                  </w14:solidFill>
                </w14:textFill>
              </w:rPr>
              <w:t>2025/12/31</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2025/09/30</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2025/06/30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61" w:type="dxa"/>
            <w:shd w:val="clear" w:color="000000" w:fill="D9D9D9"/>
          </w:tcPr>
          <w:p>
            <w:pPr>
              <w:snapToGrid w:val="0"/>
              <w:spacing w:line="480" w:lineRule="exact"/>
              <w:rPr>
                <w:rFonts w:ascii="仿宋_GB2312" w:hAnsi="仿宋" w:eastAsia="仿宋_GB2312" w:cs="Arial Unicode MS"/>
                <w:b/>
                <w:bCs/>
                <w:sz w:val="22"/>
                <w:szCs w:val="22"/>
              </w:rPr>
            </w:pPr>
          </w:p>
        </w:tc>
        <w:tc>
          <w:tcPr>
            <w:tcW w:w="7961" w:type="dxa"/>
            <w:gridSpan w:val="6"/>
            <w:shd w:val="clear" w:color="000000" w:fill="D9D9D9"/>
          </w:tcPr>
          <w:p>
            <w:pPr>
              <w:snapToGrid w:val="0"/>
              <w:spacing w:line="480" w:lineRule="exact"/>
              <w:rPr>
                <w:rFonts w:ascii="仿宋_GB2312" w:hAnsi="仿宋" w:eastAsia="仿宋_GB2312" w:cs="Arial Unicode MS"/>
                <w:b/>
                <w:bCs/>
                <w:sz w:val="22"/>
                <w:szCs w:val="22"/>
              </w:rPr>
            </w:pPr>
            <w:r>
              <w:rPr>
                <w:rFonts w:hint="eastAsia" w:ascii="仿宋_GB2312" w:hAnsi="仿宋" w:eastAsia="仿宋_GB2312" w:cs="Arial Unicode MS"/>
                <w:b/>
                <w:bCs/>
                <w:sz w:val="22"/>
                <w:szCs w:val="22"/>
              </w:rPr>
              <w:t>可用资本（</w:t>
            </w:r>
            <w:r>
              <w:rPr>
                <w:rFonts w:hint="eastAsia" w:ascii="仿宋_GB2312" w:hAnsi="仿宋" w:eastAsia="仿宋_GB2312" w:cs="Arial Unicode MS"/>
                <w:b/>
                <w:bCs/>
                <w:sz w:val="22"/>
                <w:szCs w:val="22"/>
                <w:lang w:eastAsia="zh-CN"/>
              </w:rPr>
              <w:t>数</w:t>
            </w:r>
            <w:r>
              <w:rPr>
                <w:rFonts w:hint="eastAsia" w:ascii="仿宋_GB2312" w:hAnsi="仿宋" w:eastAsia="仿宋_GB2312" w:cs="Arial Unicode MS"/>
                <w:b/>
                <w:bCs/>
                <w:sz w:val="22"/>
                <w:szCs w:val="22"/>
              </w:rPr>
              <w:t>额）</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核心一级资本净额</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67.34</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66.3</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64.3</w:t>
            </w:r>
          </w:p>
        </w:tc>
        <w:tc>
          <w:tcPr>
            <w:tcW w:w="1316" w:type="dxa"/>
            <w:vAlign w:val="center"/>
          </w:tcPr>
          <w:p>
            <w:pPr>
              <w:jc w:val="center"/>
              <w:rPr>
                <w:rFonts w:ascii="仿宋" w:hAnsi="仿宋" w:eastAsia="仿宋"/>
                <w:sz w:val="22"/>
                <w:szCs w:val="22"/>
              </w:rPr>
            </w:pPr>
            <w:r>
              <w:rPr>
                <w:rFonts w:ascii="仿宋" w:hAnsi="仿宋" w:eastAsia="仿宋"/>
                <w:sz w:val="22"/>
                <w:szCs w:val="22"/>
              </w:rPr>
              <w:t>63.48</w:t>
            </w:r>
          </w:p>
        </w:tc>
        <w:tc>
          <w:tcPr>
            <w:tcW w:w="1316" w:type="dxa"/>
            <w:vAlign w:val="center"/>
          </w:tcPr>
          <w:p>
            <w:pPr>
              <w:jc w:val="center"/>
              <w:rPr>
                <w:rFonts w:ascii="仿宋" w:hAnsi="仿宋" w:eastAsia="仿宋"/>
                <w:sz w:val="22"/>
                <w:szCs w:val="22"/>
              </w:rPr>
            </w:pPr>
            <w:r>
              <w:rPr>
                <w:rFonts w:ascii="仿宋" w:hAnsi="仿宋" w:eastAsia="仿宋"/>
                <w:sz w:val="22"/>
                <w:szCs w:val="22"/>
              </w:rPr>
              <w:t>62.42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2</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一级资本</w:t>
            </w:r>
            <w:r>
              <w:rPr>
                <w:rFonts w:hint="eastAsia" w:ascii="仿宋_GB2312" w:hAnsi="仿宋" w:eastAsia="仿宋_GB2312" w:cs="Arial Unicode MS"/>
                <w:sz w:val="21"/>
                <w:szCs w:val="22"/>
                <w:lang w:eastAsia="zh-CN"/>
              </w:rPr>
              <w:t>净额</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75.47</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74.42</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72.43</w:t>
            </w:r>
          </w:p>
        </w:tc>
        <w:tc>
          <w:tcPr>
            <w:tcW w:w="1316" w:type="dxa"/>
            <w:vAlign w:val="center"/>
          </w:tcPr>
          <w:p>
            <w:pPr>
              <w:jc w:val="center"/>
              <w:rPr>
                <w:rFonts w:ascii="仿宋" w:hAnsi="仿宋" w:eastAsia="仿宋"/>
                <w:sz w:val="22"/>
                <w:szCs w:val="22"/>
              </w:rPr>
            </w:pPr>
            <w:r>
              <w:rPr>
                <w:rFonts w:ascii="仿宋" w:hAnsi="仿宋" w:eastAsia="仿宋"/>
                <w:sz w:val="22"/>
                <w:szCs w:val="22"/>
              </w:rPr>
              <w:t>71.61</w:t>
            </w:r>
          </w:p>
        </w:tc>
        <w:tc>
          <w:tcPr>
            <w:tcW w:w="1316" w:type="dxa"/>
            <w:vAlign w:val="center"/>
          </w:tcPr>
          <w:p>
            <w:pPr>
              <w:jc w:val="center"/>
              <w:rPr>
                <w:rFonts w:ascii="仿宋" w:hAnsi="仿宋" w:eastAsia="仿宋"/>
                <w:sz w:val="22"/>
                <w:szCs w:val="22"/>
              </w:rPr>
            </w:pPr>
            <w:r>
              <w:rPr>
                <w:rFonts w:ascii="仿宋" w:hAnsi="仿宋" w:eastAsia="仿宋"/>
                <w:sz w:val="22"/>
                <w:szCs w:val="22"/>
              </w:rPr>
              <w:t>70.55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3</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资本</w:t>
            </w:r>
            <w:r>
              <w:rPr>
                <w:rFonts w:hint="eastAsia" w:ascii="仿宋_GB2312" w:hAnsi="仿宋" w:eastAsia="仿宋_GB2312" w:cs="Arial Unicode MS"/>
                <w:sz w:val="21"/>
                <w:szCs w:val="22"/>
                <w:lang w:eastAsia="zh-CN"/>
              </w:rPr>
              <w:t>净额</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82.56</w:t>
            </w:r>
          </w:p>
        </w:tc>
        <w:tc>
          <w:tcPr>
            <w:tcW w:w="1316" w:type="dxa"/>
            <w:vAlign w:val="center"/>
          </w:tcPr>
          <w:p>
            <w:pPr>
              <w:snapToGrid w:val="0"/>
              <w:spacing w:line="480" w:lineRule="exact"/>
              <w:jc w:val="center"/>
              <w:rPr>
                <w:rFonts w:ascii="仿宋_GB2312" w:hAnsi="宋体" w:eastAsia="仿宋_GB2312" w:cs="宋体"/>
                <w:sz w:val="28"/>
                <w:szCs w:val="28"/>
              </w:rPr>
            </w:pPr>
            <w:r>
              <w:rPr>
                <w:rFonts w:hint="eastAsia" w:ascii="仿宋_GB2312" w:hAnsi="仿宋" w:eastAsia="仿宋_GB2312" w:cs="Arial Unicode MS"/>
                <w:sz w:val="22"/>
                <w:szCs w:val="22"/>
                <w:lang w:eastAsia="zh-CN"/>
              </w:rPr>
              <w:t>81.16</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78.98</w:t>
            </w:r>
          </w:p>
        </w:tc>
        <w:tc>
          <w:tcPr>
            <w:tcW w:w="1316" w:type="dxa"/>
            <w:vAlign w:val="center"/>
          </w:tcPr>
          <w:p>
            <w:pPr>
              <w:jc w:val="center"/>
              <w:rPr>
                <w:rFonts w:ascii="仿宋" w:hAnsi="仿宋" w:eastAsia="仿宋"/>
                <w:sz w:val="22"/>
                <w:szCs w:val="22"/>
              </w:rPr>
            </w:pPr>
            <w:r>
              <w:rPr>
                <w:rFonts w:ascii="仿宋" w:hAnsi="仿宋" w:eastAsia="仿宋"/>
                <w:sz w:val="22"/>
                <w:szCs w:val="22"/>
              </w:rPr>
              <w:t>77.91</w:t>
            </w:r>
          </w:p>
        </w:tc>
        <w:tc>
          <w:tcPr>
            <w:tcW w:w="1316" w:type="dxa"/>
            <w:vAlign w:val="center"/>
          </w:tcPr>
          <w:p>
            <w:pPr>
              <w:jc w:val="center"/>
              <w:rPr>
                <w:rFonts w:ascii="仿宋" w:hAnsi="仿宋" w:eastAsia="仿宋"/>
                <w:sz w:val="22"/>
                <w:szCs w:val="22"/>
              </w:rPr>
            </w:pPr>
            <w:r>
              <w:rPr>
                <w:rFonts w:ascii="仿宋" w:hAnsi="仿宋" w:eastAsia="仿宋"/>
                <w:sz w:val="22"/>
                <w:szCs w:val="22"/>
              </w:rPr>
              <w:t>76.87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185"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000000" w:fill="D9D9D9"/>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风险加权资产（数额）</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4</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风险加权资产</w:t>
            </w:r>
          </w:p>
        </w:tc>
        <w:tc>
          <w:tcPr>
            <w:tcW w:w="1316" w:type="dxa"/>
            <w:vAlign w:val="center"/>
          </w:tcPr>
          <w:p>
            <w:pPr>
              <w:jc w:val="center"/>
              <w:rPr>
                <w:rFonts w:hint="eastAsia" w:ascii="仿宋_GB2312" w:hAnsi="宋体" w:eastAsia="仿宋_GB2312" w:cs="宋体"/>
                <w:sz w:val="22"/>
                <w:szCs w:val="22"/>
                <w:lang w:eastAsia="zh-CN"/>
              </w:rPr>
            </w:pPr>
            <w:r>
              <w:rPr>
                <w:rFonts w:hint="eastAsia" w:ascii="仿宋_GB2312" w:eastAsia="仿宋_GB2312"/>
                <w:sz w:val="22"/>
                <w:szCs w:val="22"/>
              </w:rPr>
              <w:t>621.48</w:t>
            </w:r>
          </w:p>
        </w:tc>
        <w:tc>
          <w:tcPr>
            <w:tcW w:w="1316" w:type="dxa"/>
            <w:vAlign w:val="center"/>
          </w:tcPr>
          <w:p>
            <w:pPr>
              <w:snapToGrid w:val="0"/>
              <w:spacing w:line="480" w:lineRule="exact"/>
              <w:jc w:val="center"/>
              <w:rPr>
                <w:rFonts w:ascii="仿宋_GB2312" w:hAnsi="宋体" w:eastAsia="仿宋_GB2312" w:cs="宋体"/>
                <w:sz w:val="28"/>
                <w:szCs w:val="28"/>
                <w:lang w:eastAsia="zh-CN"/>
              </w:rPr>
            </w:pPr>
            <w:r>
              <w:rPr>
                <w:rFonts w:hint="eastAsia" w:ascii="仿宋_GB2312" w:hAnsi="仿宋" w:eastAsia="仿宋_GB2312" w:cs="Arial Unicode MS"/>
                <w:sz w:val="22"/>
                <w:szCs w:val="22"/>
                <w:lang w:eastAsia="zh-CN"/>
              </w:rPr>
              <w:t>597.77</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553.03</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540.51</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540.5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5329" w:type="dxa"/>
            <w:gridSpan w:val="4"/>
            <w:shd w:val="clear" w:color="000000" w:fill="D9D9D9"/>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b/>
                <w:bCs/>
                <w:sz w:val="21"/>
                <w:szCs w:val="22"/>
                <w:lang w:eastAsia="zh-CN"/>
              </w:rPr>
              <w:t>资本充足率</w:t>
            </w:r>
          </w:p>
        </w:tc>
        <w:tc>
          <w:tcPr>
            <w:tcW w:w="1316" w:type="dxa"/>
            <w:shd w:val="clear" w:color="000000" w:fill="D9D9D9"/>
            <w:vAlign w:val="center"/>
          </w:tcPr>
          <w:p>
            <w:pPr>
              <w:snapToGrid w:val="0"/>
              <w:spacing w:line="480" w:lineRule="exact"/>
              <w:jc w:val="center"/>
              <w:rPr>
                <w:rFonts w:ascii="仿宋_GB2312" w:hAnsi="仿宋" w:eastAsia="仿宋_GB2312" w:cs="Arial Unicode MS"/>
                <w:b/>
                <w:bCs/>
                <w:sz w:val="22"/>
                <w:szCs w:val="22"/>
                <w:lang w:eastAsia="zh-CN"/>
              </w:rPr>
            </w:pPr>
          </w:p>
        </w:tc>
        <w:tc>
          <w:tcPr>
            <w:tcW w:w="1316" w:type="dxa"/>
            <w:shd w:val="clear" w:color="000000" w:fill="D9D9D9"/>
            <w:vAlign w:val="center"/>
          </w:tcPr>
          <w:p>
            <w:pPr>
              <w:snapToGrid w:val="0"/>
              <w:spacing w:line="480" w:lineRule="exact"/>
              <w:jc w:val="center"/>
              <w:rPr>
                <w:rFonts w:ascii="仿宋_GB2312" w:hAnsi="仿宋" w:eastAsia="仿宋_GB2312" w:cs="Arial Unicode MS"/>
                <w:b/>
                <w:bCs/>
                <w:sz w:val="22"/>
                <w:szCs w:val="22"/>
                <w:lang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5</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核心一级资本充足率（</w:t>
            </w:r>
            <w:r>
              <w:rPr>
                <w:rFonts w:ascii="仿宋_GB2312" w:hAnsi="仿宋" w:eastAsia="仿宋_GB2312" w:cs="Arial Unicode MS"/>
                <w:sz w:val="21"/>
                <w:szCs w:val="22"/>
                <w:lang w:eastAsia="zh-CN"/>
              </w:rPr>
              <w:t>%）</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10.84</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11.09</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11.63</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11.75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11.55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6</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一级资本充足率（</w:t>
            </w:r>
            <w:r>
              <w:rPr>
                <w:rFonts w:ascii="仿宋_GB2312" w:hAnsi="仿宋" w:eastAsia="仿宋_GB2312" w:cs="Arial Unicode MS"/>
                <w:sz w:val="21"/>
                <w:szCs w:val="22"/>
              </w:rPr>
              <w:t>%）</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12.14</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12.45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13.10</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13.25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13.05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7</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资本充足率（</w:t>
            </w:r>
            <w:r>
              <w:rPr>
                <w:rFonts w:ascii="仿宋_GB2312" w:hAnsi="仿宋" w:eastAsia="仿宋_GB2312" w:cs="Arial Unicode MS"/>
                <w:sz w:val="21"/>
                <w:szCs w:val="22"/>
              </w:rPr>
              <w:t>%）</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13.28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13.58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14.28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14.41</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14.22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000000" w:fill="D9D9D9"/>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附加的核心一级资本充足率缓冲要求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8</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储备资本要求</w:t>
            </w:r>
            <w:r>
              <w:rPr>
                <w:rFonts w:ascii="仿宋_GB2312" w:hAnsi="仿宋" w:eastAsia="仿宋_GB2312" w:cs="Arial Unicode MS"/>
                <w:sz w:val="21"/>
                <w:szCs w:val="22"/>
                <w:lang w:eastAsia="zh-CN"/>
              </w:rPr>
              <w:t>（%）</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9</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逆周期资本要求（</w:t>
            </w:r>
            <w:r>
              <w:rPr>
                <w:rFonts w:ascii="仿宋_GB2312" w:hAnsi="仿宋" w:eastAsia="仿宋_GB2312" w:cs="Arial Unicode MS"/>
                <w:sz w:val="21"/>
                <w:szCs w:val="22"/>
              </w:rPr>
              <w:t>%）</w:t>
            </w:r>
          </w:p>
        </w:tc>
        <w:tc>
          <w:tcPr>
            <w:tcW w:w="1316" w:type="dxa"/>
            <w:tcBorders>
              <w:bottom w:val="single" w:color="auto" w:sz="4" w:space="0"/>
            </w:tcBorders>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0</w:t>
            </w:r>
          </w:p>
        </w:tc>
        <w:tc>
          <w:tcPr>
            <w:tcW w:w="1316" w:type="dxa"/>
            <w:tcBorders>
              <w:bottom w:val="single" w:color="auto" w:sz="4" w:space="0"/>
            </w:tcBorders>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0</w:t>
            </w:r>
          </w:p>
        </w:tc>
        <w:tc>
          <w:tcPr>
            <w:tcW w:w="1316" w:type="dxa"/>
            <w:tcBorders>
              <w:bottom w:val="single" w:color="auto" w:sz="4" w:space="0"/>
            </w:tcBorders>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0</w:t>
            </w:r>
          </w:p>
        </w:tc>
        <w:tc>
          <w:tcPr>
            <w:tcW w:w="1316" w:type="dxa"/>
            <w:tcBorders>
              <w:bottom w:val="single" w:color="auto" w:sz="4" w:space="0"/>
            </w:tcBorders>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0</w:t>
            </w:r>
          </w:p>
        </w:tc>
        <w:tc>
          <w:tcPr>
            <w:tcW w:w="1316" w:type="dxa"/>
            <w:tcBorders>
              <w:bottom w:val="single" w:color="auto" w:sz="4" w:space="0"/>
            </w:tcBorders>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61" w:type="dxa"/>
            <w:shd w:val="clear" w:color="auto" w:fill="auto"/>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10</w:t>
            </w:r>
          </w:p>
        </w:tc>
        <w:tc>
          <w:tcPr>
            <w:tcW w:w="1381" w:type="dxa"/>
            <w:shd w:val="clear" w:color="auto" w:fill="auto"/>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全球系统重要性银行或国内系统重要性银行附加资本要求（</w:t>
            </w:r>
            <w:r>
              <w:rPr>
                <w:rFonts w:ascii="仿宋_GB2312" w:hAnsi="仿宋" w:eastAsia="仿宋_GB2312" w:cs="Arial Unicode MS"/>
                <w:sz w:val="21"/>
                <w:szCs w:val="22"/>
                <w:lang w:eastAsia="zh-CN"/>
              </w:rPr>
              <w:t>%）</w:t>
            </w:r>
          </w:p>
        </w:tc>
        <w:tc>
          <w:tcPr>
            <w:tcW w:w="1316" w:type="dxa"/>
            <w:shd w:val="clear" w:color="auto" w:fill="A5A5A5" w:themeFill="background1" w:themeFillShade="A6"/>
            <w:vAlign w:val="center"/>
          </w:tcPr>
          <w:p>
            <w:pPr>
              <w:snapToGrid w:val="0"/>
              <w:spacing w:line="480" w:lineRule="exact"/>
              <w:jc w:val="center"/>
              <w:rPr>
                <w:rFonts w:ascii="仿宋_GB2312" w:hAnsi="仿宋" w:eastAsia="仿宋_GB2312" w:cs="Arial Unicode MS"/>
                <w:sz w:val="22"/>
                <w:szCs w:val="22"/>
                <w:lang w:eastAsia="zh-CN"/>
              </w:rPr>
            </w:pPr>
          </w:p>
        </w:tc>
        <w:tc>
          <w:tcPr>
            <w:tcW w:w="1316" w:type="dxa"/>
            <w:shd w:val="clear" w:color="auto" w:fill="A5A5A5" w:themeFill="background1" w:themeFillShade="A6"/>
            <w:vAlign w:val="center"/>
          </w:tcPr>
          <w:p>
            <w:pPr>
              <w:snapToGrid w:val="0"/>
              <w:spacing w:line="480" w:lineRule="exact"/>
              <w:jc w:val="center"/>
              <w:rPr>
                <w:rFonts w:ascii="仿宋_GB2312" w:hAnsi="仿宋" w:eastAsia="仿宋_GB2312" w:cs="Arial Unicode MS"/>
                <w:sz w:val="22"/>
                <w:szCs w:val="22"/>
                <w:lang w:eastAsia="zh-CN"/>
              </w:rPr>
            </w:pPr>
          </w:p>
        </w:tc>
        <w:tc>
          <w:tcPr>
            <w:tcW w:w="1316" w:type="dxa"/>
            <w:shd w:val="clear" w:color="auto" w:fill="A5A5A5" w:themeFill="background1" w:themeFillShade="A6"/>
            <w:vAlign w:val="center"/>
          </w:tcPr>
          <w:p>
            <w:pPr>
              <w:snapToGrid w:val="0"/>
              <w:spacing w:line="480" w:lineRule="exact"/>
              <w:jc w:val="center"/>
              <w:rPr>
                <w:rFonts w:ascii="仿宋_GB2312" w:hAnsi="仿宋" w:eastAsia="仿宋_GB2312" w:cs="Arial Unicode MS"/>
                <w:sz w:val="22"/>
                <w:szCs w:val="22"/>
                <w:lang w:eastAsia="zh-CN"/>
              </w:rPr>
            </w:pPr>
          </w:p>
        </w:tc>
        <w:tc>
          <w:tcPr>
            <w:tcW w:w="1316" w:type="dxa"/>
            <w:shd w:val="clear" w:color="auto" w:fill="A5A5A5" w:themeFill="background1" w:themeFillShade="A6"/>
            <w:vAlign w:val="center"/>
          </w:tcPr>
          <w:p>
            <w:pPr>
              <w:snapToGrid w:val="0"/>
              <w:spacing w:line="480" w:lineRule="exact"/>
              <w:jc w:val="center"/>
              <w:rPr>
                <w:rFonts w:ascii="仿宋_GB2312" w:hAnsi="仿宋" w:eastAsia="仿宋_GB2312" w:cs="Arial Unicode MS"/>
                <w:sz w:val="22"/>
                <w:szCs w:val="22"/>
                <w:lang w:eastAsia="zh-CN"/>
              </w:rPr>
            </w:pPr>
          </w:p>
        </w:tc>
        <w:tc>
          <w:tcPr>
            <w:tcW w:w="1316" w:type="dxa"/>
            <w:shd w:val="clear" w:color="auto" w:fill="A5A5A5" w:themeFill="background1" w:themeFillShade="A6"/>
            <w:vAlign w:val="center"/>
          </w:tcPr>
          <w:p>
            <w:pPr>
              <w:snapToGrid w:val="0"/>
              <w:spacing w:line="480" w:lineRule="exact"/>
              <w:jc w:val="center"/>
              <w:rPr>
                <w:rFonts w:ascii="仿宋_GB2312" w:hAnsi="仿宋" w:eastAsia="仿宋_GB2312" w:cs="Arial Unicode MS"/>
                <w:sz w:val="22"/>
                <w:szCs w:val="22"/>
                <w:lang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11</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机构特定的资本要求（</w:t>
            </w:r>
            <w:r>
              <w:rPr>
                <w:rFonts w:ascii="仿宋_GB2312" w:hAnsi="仿宋" w:eastAsia="仿宋_GB2312" w:cs="Arial Unicode MS"/>
                <w:sz w:val="21"/>
                <w:szCs w:val="22"/>
                <w:lang w:eastAsia="zh-CN"/>
              </w:rPr>
              <w:t>%）（8+9+10）</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12</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满足最低资本要求后的可用核心一级资本占风险加权资产的比例（</w:t>
            </w:r>
            <w:r>
              <w:rPr>
                <w:rFonts w:ascii="仿宋_GB2312" w:hAnsi="仿宋" w:eastAsia="仿宋_GB2312" w:cs="Arial Unicode MS"/>
                <w:sz w:val="21"/>
                <w:szCs w:val="22"/>
                <w:lang w:eastAsia="zh-CN"/>
              </w:rPr>
              <w:t>%）</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5</w:t>
            </w:r>
            <w:r>
              <w:rPr>
                <w:rFonts w:ascii="仿宋_GB2312" w:hAnsi="仿宋" w:eastAsia="仿宋_GB2312" w:cs="Arial Unicode MS"/>
                <w:sz w:val="22"/>
                <w:szCs w:val="22"/>
                <w:lang w:eastAsia="zh-CN"/>
              </w:rPr>
              <w:t>.28</w:t>
            </w:r>
          </w:p>
        </w:tc>
        <w:tc>
          <w:tcPr>
            <w:tcW w:w="1316" w:type="dxa"/>
            <w:vAlign w:val="center"/>
          </w:tcPr>
          <w:p>
            <w:pPr>
              <w:snapToGrid w:val="0"/>
              <w:spacing w:line="480" w:lineRule="exact"/>
              <w:jc w:val="center"/>
              <w:rPr>
                <w:rFonts w:ascii="仿宋_GB2312" w:hAnsi="宋体" w:eastAsia="仿宋_GB2312" w:cs="宋体"/>
                <w:sz w:val="28"/>
                <w:szCs w:val="28"/>
                <w:lang w:eastAsia="zh-CN"/>
              </w:rPr>
            </w:pPr>
            <w:r>
              <w:rPr>
                <w:rFonts w:hint="eastAsia" w:ascii="仿宋_GB2312" w:hAnsi="仿宋" w:eastAsia="仿宋_GB2312" w:cs="Arial Unicode MS"/>
                <w:sz w:val="22"/>
                <w:szCs w:val="22"/>
                <w:lang w:eastAsia="zh-CN"/>
              </w:rPr>
              <w:t xml:space="preserve">5.58 </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6.28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6.41</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6.22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000000" w:fill="D9D9D9"/>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杠杆率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13</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调整后的表内外资产余额</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1025.85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987.98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933.39</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913.93</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925.17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14</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_GB2312" w:eastAsia="仿宋_GB2312" w:cs="仿宋_GB2312"/>
                <w:sz w:val="21"/>
                <w:szCs w:val="22"/>
                <w:lang w:eastAsia="zh-CN"/>
              </w:rPr>
              <w:t>杠杆率</w:t>
            </w:r>
            <w:r>
              <w:rPr>
                <w:rFonts w:hint="eastAsia" w:ascii="仿宋_GB2312" w:hAnsi="仿宋" w:eastAsia="仿宋_GB2312" w:cs="Arial Unicode MS"/>
                <w:sz w:val="21"/>
                <w:szCs w:val="22"/>
                <w:lang w:eastAsia="zh-CN"/>
              </w:rPr>
              <w:t>（</w:t>
            </w:r>
            <w:r>
              <w:rPr>
                <w:rFonts w:ascii="仿宋_GB2312" w:hAnsi="仿宋" w:eastAsia="仿宋_GB2312" w:cs="Arial Unicode MS"/>
                <w:sz w:val="21"/>
                <w:szCs w:val="22"/>
                <w:lang w:eastAsia="zh-CN"/>
              </w:rPr>
              <w:t>%）</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 xml:space="preserve">7.31 </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 xml:space="preserve">7.50 </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7.75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7.53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1</w:t>
            </w:r>
            <w:r>
              <w:rPr>
                <w:rFonts w:ascii="仿宋_GB2312" w:hAnsi="仿宋" w:eastAsia="仿宋_GB2312" w:cs="Arial Unicode MS"/>
                <w:sz w:val="22"/>
                <w:szCs w:val="22"/>
                <w:lang w:eastAsia="zh-CN"/>
              </w:rPr>
              <w:t>4</w:t>
            </w:r>
            <w:r>
              <w:rPr>
                <w:rFonts w:hint="eastAsia" w:ascii="仿宋_GB2312" w:hAnsi="仿宋" w:eastAsia="仿宋_GB2312" w:cs="Arial Unicode MS"/>
                <w:sz w:val="22"/>
                <w:szCs w:val="22"/>
                <w:lang w:eastAsia="zh-CN"/>
              </w:rPr>
              <w:t>a</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_GB2312" w:eastAsia="仿宋_GB2312" w:cs="仿宋_GB2312"/>
                <w:sz w:val="21"/>
                <w:szCs w:val="22"/>
                <w:lang w:eastAsia="zh-CN"/>
              </w:rPr>
              <w:t>杠杆率a</w:t>
            </w:r>
            <w:r>
              <w:rPr>
                <w:rFonts w:hint="eastAsia" w:ascii="仿宋_GB2312" w:hAnsi="仿宋" w:eastAsia="仿宋_GB2312" w:cs="Arial Unicode MS"/>
                <w:sz w:val="21"/>
                <w:szCs w:val="22"/>
                <w:lang w:eastAsia="zh-CN"/>
              </w:rPr>
              <w:t>（</w:t>
            </w:r>
            <w:r>
              <w:rPr>
                <w:rFonts w:ascii="仿宋_GB2312" w:hAnsi="仿宋" w:eastAsia="仿宋_GB2312" w:cs="Arial Unicode MS"/>
                <w:sz w:val="21"/>
                <w:szCs w:val="22"/>
                <w:lang w:eastAsia="zh-CN"/>
              </w:rPr>
              <w:t>%）</w:t>
            </w:r>
          </w:p>
        </w:tc>
        <w:tc>
          <w:tcPr>
            <w:tcW w:w="1316" w:type="dxa"/>
            <w:vAlign w:val="center"/>
          </w:tcPr>
          <w:p>
            <w:pPr>
              <w:jc w:val="center"/>
              <w:rPr>
                <w:rFonts w:ascii="仿宋_GB2312" w:hAnsi="宋体" w:eastAsia="仿宋_GB2312" w:cs="宋体"/>
                <w:sz w:val="22"/>
                <w:szCs w:val="22"/>
              </w:rPr>
            </w:pPr>
            <w:r>
              <w:rPr>
                <w:rFonts w:hint="eastAsia" w:ascii="仿宋_GB2312" w:eastAsia="仿宋_GB2312"/>
                <w:sz w:val="22"/>
                <w:szCs w:val="22"/>
              </w:rPr>
              <w:t xml:space="preserve">7.31 </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 xml:space="preserve">7.50 </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7.75</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7.8</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7.53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000000" w:fill="D9D9D9"/>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流动性覆盖率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15</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合格优质流动性资产</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16</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现金净流出</w:t>
            </w:r>
            <w:r>
              <w:rPr>
                <w:rFonts w:hint="eastAsia" w:ascii="仿宋_GB2312" w:hAnsi="仿宋" w:eastAsia="仿宋_GB2312" w:cs="Arial Unicode MS"/>
                <w:sz w:val="21"/>
                <w:szCs w:val="22"/>
                <w:lang w:eastAsia="zh-CN"/>
              </w:rPr>
              <w:t>量</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17</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流动性覆盖率（</w:t>
            </w:r>
            <w:r>
              <w:rPr>
                <w:rFonts w:ascii="仿宋_GB2312" w:hAnsi="仿宋" w:eastAsia="仿宋_GB2312" w:cs="Arial Unicode MS"/>
                <w:sz w:val="21"/>
                <w:szCs w:val="22"/>
                <w:lang w:eastAsia="zh-CN"/>
              </w:rPr>
              <w:t>%）</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shd w:val="clear" w:color="000000" w:fill="D9D9D9"/>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000000" w:fill="D9D9D9"/>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净稳定资金比例</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18</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rPr>
              <w:t>可用稳定资金</w:t>
            </w:r>
            <w:r>
              <w:rPr>
                <w:rFonts w:hint="eastAsia" w:ascii="仿宋_GB2312" w:hAnsi="仿宋" w:eastAsia="仿宋_GB2312" w:cs="Arial Unicode MS"/>
                <w:sz w:val="21"/>
                <w:szCs w:val="22"/>
                <w:lang w:eastAsia="zh-CN"/>
              </w:rPr>
              <w:t>合计</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19</w:t>
            </w:r>
          </w:p>
        </w:tc>
        <w:tc>
          <w:tcPr>
            <w:tcW w:w="1381" w:type="dxa"/>
            <w:vAlign w:val="center"/>
          </w:tcPr>
          <w:p>
            <w:pPr>
              <w:snapToGrid w:val="0"/>
              <w:spacing w:line="480" w:lineRule="exact"/>
              <w:rPr>
                <w:rFonts w:ascii="仿宋_GB2312" w:hAnsi="仿宋" w:eastAsia="仿宋_GB2312" w:cs="Arial Unicode MS"/>
                <w:sz w:val="21"/>
                <w:szCs w:val="22"/>
              </w:rPr>
            </w:pPr>
            <w:r>
              <w:rPr>
                <w:rFonts w:hint="eastAsia" w:ascii="仿宋_GB2312" w:hAnsi="仿宋" w:eastAsia="仿宋_GB2312" w:cs="Arial Unicode MS"/>
                <w:sz w:val="21"/>
                <w:szCs w:val="22"/>
                <w:lang w:eastAsia="zh-CN"/>
              </w:rPr>
              <w:t>所需</w:t>
            </w:r>
            <w:r>
              <w:rPr>
                <w:rFonts w:hint="eastAsia" w:ascii="仿宋_GB2312" w:hAnsi="仿宋" w:eastAsia="仿宋_GB2312" w:cs="Arial Unicode MS"/>
                <w:sz w:val="21"/>
                <w:szCs w:val="22"/>
              </w:rPr>
              <w:t>稳定资金</w:t>
            </w:r>
            <w:r>
              <w:rPr>
                <w:rFonts w:hint="eastAsia" w:ascii="仿宋_GB2312" w:hAnsi="仿宋" w:eastAsia="仿宋_GB2312" w:cs="Arial Unicode MS"/>
                <w:sz w:val="21"/>
                <w:szCs w:val="22"/>
                <w:lang w:eastAsia="zh-CN"/>
              </w:rPr>
              <w:t>合计</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30" w:hRule="atLeast"/>
        </w:trPr>
        <w:tc>
          <w:tcPr>
            <w:tcW w:w="561" w:type="dxa"/>
          </w:tcPr>
          <w:p>
            <w:pPr>
              <w:snapToGrid w:val="0"/>
              <w:spacing w:line="480" w:lineRule="exact"/>
              <w:rPr>
                <w:rFonts w:ascii="仿宋_GB2312" w:hAnsi="仿宋" w:eastAsia="仿宋_GB2312" w:cs="Arial Unicode MS"/>
                <w:sz w:val="22"/>
                <w:szCs w:val="22"/>
              </w:rPr>
            </w:pPr>
            <w:r>
              <w:rPr>
                <w:rFonts w:ascii="仿宋_GB2312" w:hAnsi="仿宋" w:eastAsia="仿宋_GB2312" w:cs="Arial Unicode MS"/>
                <w:sz w:val="22"/>
                <w:szCs w:val="22"/>
              </w:rPr>
              <w:t>20</w:t>
            </w:r>
          </w:p>
        </w:tc>
        <w:tc>
          <w:tcPr>
            <w:tcW w:w="1381" w:type="dxa"/>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净稳定资金比例（</w:t>
            </w:r>
            <w:r>
              <w:rPr>
                <w:rFonts w:ascii="仿宋_GB2312" w:hAnsi="仿宋" w:eastAsia="仿宋_GB2312" w:cs="Arial Unicode MS"/>
                <w:sz w:val="21"/>
                <w:szCs w:val="22"/>
                <w:lang w:eastAsia="zh-CN"/>
              </w:rPr>
              <w:t>%）</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c>
          <w:tcPr>
            <w:tcW w:w="1316" w:type="dxa"/>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shd w:val="clear" w:color="auto" w:fill="D8D8D8"/>
          </w:tcPr>
          <w:p>
            <w:pPr>
              <w:snapToGrid w:val="0"/>
              <w:spacing w:line="480" w:lineRule="exact"/>
              <w:rPr>
                <w:rFonts w:ascii="仿宋_GB2312" w:hAnsi="仿宋" w:eastAsia="仿宋_GB2312" w:cs="Arial Unicode MS"/>
                <w:b/>
                <w:bCs/>
                <w:sz w:val="22"/>
                <w:szCs w:val="22"/>
                <w:lang w:eastAsia="zh-CN"/>
              </w:rPr>
            </w:pPr>
          </w:p>
        </w:tc>
        <w:tc>
          <w:tcPr>
            <w:tcW w:w="7961" w:type="dxa"/>
            <w:gridSpan w:val="6"/>
            <w:shd w:val="clear" w:color="auto" w:fill="D8D8D8"/>
            <w:vAlign w:val="center"/>
          </w:tcPr>
          <w:p>
            <w:pPr>
              <w:snapToGrid w:val="0"/>
              <w:spacing w:line="480" w:lineRule="exact"/>
              <w:rPr>
                <w:rFonts w:ascii="仿宋_GB2312" w:hAnsi="仿宋" w:eastAsia="仿宋_GB2312" w:cs="Arial Unicode MS"/>
                <w:b/>
                <w:bCs/>
                <w:sz w:val="22"/>
                <w:szCs w:val="22"/>
                <w:lang w:eastAsia="zh-CN"/>
              </w:rPr>
            </w:pPr>
            <w:r>
              <w:rPr>
                <w:rFonts w:hint="eastAsia" w:ascii="仿宋_GB2312" w:hAnsi="仿宋" w:eastAsia="仿宋_GB2312" w:cs="Arial Unicode MS"/>
                <w:b/>
                <w:bCs/>
                <w:sz w:val="21"/>
                <w:szCs w:val="22"/>
                <w:lang w:eastAsia="zh-CN"/>
              </w:rPr>
              <w:t>流动性比例</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61" w:type="dxa"/>
            <w:shd w:val="clear" w:color="auto" w:fill="FFFFFF"/>
          </w:tcPr>
          <w:p>
            <w:pPr>
              <w:snapToGrid w:val="0"/>
              <w:spacing w:line="480" w:lineRule="exact"/>
              <w:rPr>
                <w:rFonts w:ascii="仿宋_GB2312" w:hAnsi="仿宋" w:eastAsia="仿宋_GB2312" w:cs="Arial Unicode MS"/>
                <w:sz w:val="22"/>
                <w:szCs w:val="22"/>
                <w:lang w:eastAsia="zh-CN"/>
              </w:rPr>
            </w:pPr>
            <w:r>
              <w:rPr>
                <w:rFonts w:ascii="仿宋_GB2312" w:hAnsi="仿宋" w:eastAsia="仿宋_GB2312" w:cs="Arial Unicode MS"/>
                <w:sz w:val="22"/>
                <w:szCs w:val="22"/>
                <w:lang w:eastAsia="zh-CN"/>
              </w:rPr>
              <w:t>21</w:t>
            </w:r>
          </w:p>
        </w:tc>
        <w:tc>
          <w:tcPr>
            <w:tcW w:w="1381" w:type="dxa"/>
            <w:shd w:val="clear" w:color="auto" w:fill="FFFFFF"/>
            <w:vAlign w:val="center"/>
          </w:tcPr>
          <w:p>
            <w:pPr>
              <w:snapToGrid w:val="0"/>
              <w:spacing w:line="480" w:lineRule="exact"/>
              <w:rPr>
                <w:rFonts w:ascii="仿宋_GB2312" w:hAnsi="仿宋" w:eastAsia="仿宋_GB2312" w:cs="Arial Unicode MS"/>
                <w:sz w:val="21"/>
                <w:szCs w:val="22"/>
                <w:lang w:eastAsia="zh-CN"/>
              </w:rPr>
            </w:pPr>
            <w:r>
              <w:rPr>
                <w:rFonts w:hint="eastAsia" w:ascii="仿宋_GB2312" w:hAnsi="仿宋" w:eastAsia="仿宋_GB2312" w:cs="Arial Unicode MS"/>
                <w:sz w:val="21"/>
                <w:szCs w:val="22"/>
                <w:lang w:eastAsia="zh-CN"/>
              </w:rPr>
              <w:t>流动性比例（</w:t>
            </w:r>
            <w:r>
              <w:rPr>
                <w:rFonts w:ascii="仿宋_GB2312" w:hAnsi="仿宋" w:eastAsia="仿宋_GB2312" w:cs="Arial Unicode MS"/>
                <w:sz w:val="21"/>
                <w:szCs w:val="22"/>
                <w:lang w:eastAsia="zh-CN"/>
              </w:rPr>
              <w:t>%）</w:t>
            </w:r>
          </w:p>
        </w:tc>
        <w:tc>
          <w:tcPr>
            <w:tcW w:w="1316" w:type="dxa"/>
            <w:shd w:val="clear" w:color="auto" w:fill="FFFFFF"/>
            <w:vAlign w:val="center"/>
          </w:tcPr>
          <w:p>
            <w:pPr>
              <w:jc w:val="center"/>
              <w:rPr>
                <w:rFonts w:hint="eastAsia" w:ascii="仿宋_GB2312" w:hAnsi="宋体" w:eastAsia="仿宋_GB2312" w:cs="宋体"/>
                <w:sz w:val="22"/>
                <w:szCs w:val="22"/>
                <w:lang w:eastAsia="zh-CN"/>
              </w:rPr>
            </w:pPr>
            <w:r>
              <w:rPr>
                <w:rFonts w:hint="eastAsia" w:ascii="仿宋_GB2312" w:eastAsia="仿宋_GB2312"/>
                <w:sz w:val="22"/>
                <w:szCs w:val="22"/>
              </w:rPr>
              <w:t>68.48</w:t>
            </w:r>
          </w:p>
        </w:tc>
        <w:tc>
          <w:tcPr>
            <w:tcW w:w="1316" w:type="dxa"/>
            <w:shd w:val="clear" w:color="auto" w:fill="FFFFFF"/>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77.95</w:t>
            </w:r>
          </w:p>
        </w:tc>
        <w:tc>
          <w:tcPr>
            <w:tcW w:w="1316" w:type="dxa"/>
            <w:shd w:val="clear" w:color="auto" w:fill="FFFFFF"/>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80.52</w:t>
            </w:r>
          </w:p>
        </w:tc>
        <w:tc>
          <w:tcPr>
            <w:tcW w:w="1316" w:type="dxa"/>
            <w:shd w:val="clear" w:color="auto" w:fill="FFFFFF"/>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66.31</w:t>
            </w:r>
          </w:p>
        </w:tc>
        <w:tc>
          <w:tcPr>
            <w:tcW w:w="1316" w:type="dxa"/>
            <w:shd w:val="clear" w:color="auto" w:fill="FFFFFF"/>
            <w:vAlign w:val="center"/>
          </w:tcPr>
          <w:p>
            <w:pPr>
              <w:snapToGrid w:val="0"/>
              <w:spacing w:line="480" w:lineRule="exact"/>
              <w:jc w:val="center"/>
              <w:rPr>
                <w:rFonts w:ascii="仿宋_GB2312" w:hAnsi="仿宋" w:eastAsia="仿宋_GB2312" w:cs="Arial Unicode MS"/>
                <w:sz w:val="22"/>
                <w:szCs w:val="22"/>
                <w:lang w:eastAsia="zh-CN"/>
              </w:rPr>
            </w:pPr>
            <w:r>
              <w:rPr>
                <w:rFonts w:hint="eastAsia" w:ascii="仿宋_GB2312" w:hAnsi="仿宋" w:eastAsia="仿宋_GB2312" w:cs="Arial Unicode MS"/>
                <w:sz w:val="22"/>
                <w:szCs w:val="22"/>
                <w:lang w:eastAsia="zh-CN"/>
              </w:rPr>
              <w:t>73.44</w:t>
            </w:r>
          </w:p>
        </w:tc>
      </w:tr>
    </w:tbl>
    <w:p>
      <w:pPr>
        <w:snapToGrid w:val="0"/>
        <w:spacing w:line="480" w:lineRule="exact"/>
        <w:ind w:firstLine="562" w:firstLineChars="200"/>
        <w:rPr>
          <w:rFonts w:ascii="仿宋_GB2312" w:hAnsi="仿宋_GB2312" w:eastAsia="仿宋_GB2312" w:cs="仿宋_GB2312"/>
          <w:b/>
          <w:sz w:val="28"/>
          <w:szCs w:val="28"/>
          <w:lang w:eastAsia="zh-CN"/>
        </w:rPr>
      </w:pPr>
    </w:p>
    <w:p>
      <w:pPr>
        <w:snapToGrid w:val="0"/>
        <w:spacing w:line="480" w:lineRule="exact"/>
        <w:ind w:firstLine="562" w:firstLineChars="200"/>
        <w:rPr>
          <w:rFonts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三、CC1资本构成</w:t>
      </w:r>
    </w:p>
    <w:p>
      <w:pPr>
        <w:snapToGrid w:val="0"/>
        <w:spacing w:line="480" w:lineRule="exact"/>
        <w:ind w:firstLine="482" w:firstLineChars="200"/>
        <w:jc w:val="right"/>
        <w:rPr>
          <w:rFonts w:ascii="仿宋_GB2312" w:hAnsi="仿宋_GB2312" w:eastAsia="仿宋_GB2312" w:cs="仿宋_GB2312"/>
          <w:b/>
          <w:szCs w:val="28"/>
          <w:lang w:eastAsia="zh-CN"/>
        </w:rPr>
      </w:pPr>
      <w:r>
        <w:rPr>
          <w:rFonts w:hint="eastAsia" w:ascii="仿宋_GB2312" w:hAnsi="仿宋_GB2312" w:eastAsia="仿宋_GB2312" w:cs="仿宋_GB2312"/>
          <w:b/>
          <w:szCs w:val="28"/>
          <w:lang w:eastAsia="zh-CN"/>
        </w:rPr>
        <w:t>单位：亿元，保留两位小数</w:t>
      </w:r>
    </w:p>
    <w:tbl>
      <w:tblPr>
        <w:tblStyle w:val="4"/>
        <w:tblW w:w="4810"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1"/>
        <w:gridCol w:w="3655"/>
        <w:gridCol w:w="1641"/>
        <w:gridCol w:w="217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2675" w:type="pct"/>
            <w:gridSpan w:val="2"/>
            <w:vMerge w:val="restart"/>
            <w:tcBorders>
              <w:top w:val="single" w:color="auto" w:sz="4" w:space="0"/>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c>
          <w:tcPr>
            <w:tcW w:w="1001" w:type="pct"/>
            <w:tcBorders>
              <w:top w:val="single" w:color="auto" w:sz="4" w:space="0"/>
              <w:left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a</w:t>
            </w:r>
          </w:p>
        </w:tc>
        <w:tc>
          <w:tcPr>
            <w:tcW w:w="1324" w:type="pct"/>
            <w:tcBorders>
              <w:top w:val="single" w:color="auto" w:sz="4" w:space="0"/>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b</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75" w:type="pct"/>
            <w:gridSpan w:val="2"/>
            <w:vMerge w:val="continue"/>
            <w:tcBorders>
              <w:top w:val="single" w:color="auto" w:sz="4" w:space="0"/>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p>
        </w:tc>
        <w:tc>
          <w:tcPr>
            <w:tcW w:w="1001" w:type="pct"/>
            <w:tcBorders>
              <w:top w:val="nil"/>
              <w:left w:val="nil"/>
              <w:bottom w:val="single" w:color="auto" w:sz="4" w:space="0"/>
              <w:right w:val="single" w:color="auto" w:sz="4" w:space="0"/>
            </w:tcBorders>
            <w:vAlign w:val="center"/>
          </w:tcPr>
          <w:p>
            <w:pPr>
              <w:spacing w:line="480" w:lineRule="exact"/>
              <w:jc w:val="center"/>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数额</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代码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核心一级资本</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实收资本和资本公积可计入部分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19.30</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e+g</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留存收益</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46.28</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2a</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盈余公积</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21.81</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h</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2b</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一般风险准备</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17.16</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i</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2c</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未分配利润</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7.31</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j</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累计其他综合收益</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1.25</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少数股东资本可计入部分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1.01</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监管调整前的核心一级资本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67.84</w:t>
            </w:r>
          </w:p>
        </w:tc>
        <w:tc>
          <w:tcPr>
            <w:tcW w:w="1324" w:type="pct"/>
            <w:tcBorders>
              <w:top w:val="nil"/>
              <w:left w:val="nil"/>
              <w:bottom w:val="single" w:color="auto" w:sz="4" w:space="0"/>
            </w:tcBorders>
            <w:vAlign w:val="center"/>
          </w:tcPr>
          <w:p>
            <w:pPr>
              <w:snapToGrid w:val="0"/>
              <w:spacing w:line="480" w:lineRule="exact"/>
              <w:jc w:val="center"/>
              <w:rPr>
                <w:rFonts w:ascii="仿宋" w:hAnsi="仿宋" w:eastAsia="仿宋" w:cs="Arial Unicode MS"/>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核心一级资本：监管调整</w:t>
            </w: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审慎估值调整</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7</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商誉（扣除递延税负债）</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a-c</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其他无形资产（土地使用权除外）（扣除递延税负债）</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0.5</w:t>
            </w:r>
          </w:p>
        </w:tc>
        <w:tc>
          <w:tcPr>
            <w:tcW w:w="1324" w:type="pct"/>
            <w:tcBorders>
              <w:top w:val="nil"/>
              <w:left w:val="nil"/>
              <w:bottom w:val="single" w:color="auto" w:sz="4" w:space="0"/>
            </w:tcBorders>
            <w:vAlign w:val="center"/>
          </w:tcPr>
          <w:p>
            <w:pPr>
              <w:spacing w:line="480" w:lineRule="exact"/>
              <w:jc w:val="center"/>
              <w:rPr>
                <w:rFonts w:ascii="仿宋_GB2312" w:hAnsi="宋体" w:eastAsia="仿宋_GB2312" w:cs="宋体"/>
                <w:sz w:val="22"/>
                <w:szCs w:val="22"/>
                <w:lang w:eastAsia="zh-CN"/>
              </w:rPr>
            </w:pPr>
            <w:r>
              <w:rPr>
                <w:rFonts w:ascii="仿宋_GB2312" w:hAnsi="宋体" w:eastAsia="仿宋_GB2312" w:cs="宋体"/>
                <w:sz w:val="22"/>
                <w:szCs w:val="22"/>
                <w:lang w:eastAsia="zh-CN"/>
              </w:rPr>
              <w:t>b-d</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9</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依赖未来盈利的由经营亏损引起的净递延税资产</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对未按公允价值计量的项目进行现金流套期形成的储备</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损失准备缺口</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资产证券化销售利得</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3</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自身信用风险变化导致其负债公允价值变化带来的未实现损益</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确定受益类的养老金资产净额（扣除递延税负债）</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直接或间接持有本银行的普通股</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银行间或银行与其他金融机构间通过协议相互持有的核心一级资本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对未并表金融机构小额资本投资中的核心一级资本中</w:t>
            </w:r>
            <w:r>
              <w:rPr>
                <w:rFonts w:hint="eastAsia" w:ascii="仿宋_GB2312" w:hAnsi="宋体" w:eastAsia="仿宋_GB2312" w:cs="宋体"/>
                <w:sz w:val="22"/>
                <w:szCs w:val="22"/>
                <w:lang w:eastAsia="zh-CN"/>
              </w:rPr>
              <w:t>应</w:t>
            </w:r>
            <w:r>
              <w:rPr>
                <w:rFonts w:hint="eastAsia" w:ascii="仿宋_GB2312" w:hAnsi="宋体" w:eastAsia="仿宋_GB2312" w:cs="宋体"/>
                <w:sz w:val="22"/>
                <w:szCs w:val="22"/>
                <w:lang w:eastAsia="zh-TW"/>
              </w:rPr>
              <w:t>扣除金额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1</w:t>
            </w:r>
            <w:r>
              <w:rPr>
                <w:rFonts w:hint="eastAsia" w:ascii="仿宋_GB2312" w:eastAsia="仿宋_GB2312"/>
                <w:sz w:val="22"/>
                <w:szCs w:val="22"/>
                <w:lang w:eastAsia="zh-CN"/>
              </w:rPr>
              <w:t>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对未并表金融机构大额资本投资中的核心一级资本</w:t>
            </w:r>
            <w:r>
              <w:rPr>
                <w:rFonts w:hint="eastAsia" w:ascii="仿宋_GB2312" w:hAnsi="宋体" w:eastAsia="仿宋_GB2312" w:cs="宋体"/>
                <w:sz w:val="22"/>
                <w:szCs w:val="22"/>
                <w:lang w:eastAsia="zh-CN"/>
              </w:rPr>
              <w:t>中应</w:t>
            </w:r>
            <w:r>
              <w:rPr>
                <w:rFonts w:hint="eastAsia" w:ascii="仿宋_GB2312" w:hAnsi="宋体" w:eastAsia="仿宋_GB2312" w:cs="宋体"/>
                <w:sz w:val="22"/>
                <w:szCs w:val="22"/>
                <w:lang w:eastAsia="zh-TW"/>
              </w:rPr>
              <w:t>扣除金额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shd w:val="clear" w:color="auto" w:fill="auto"/>
          </w:tcPr>
          <w:p>
            <w:pPr>
              <w:spacing w:line="480" w:lineRule="exact"/>
              <w:jc w:val="center"/>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19</w:t>
            </w:r>
          </w:p>
        </w:tc>
        <w:tc>
          <w:tcPr>
            <w:tcW w:w="2229" w:type="pct"/>
            <w:tcBorders>
              <w:top w:val="nil"/>
              <w:left w:val="nil"/>
              <w:bottom w:val="single" w:color="auto" w:sz="4" w:space="0"/>
              <w:right w:val="single" w:color="auto" w:sz="4" w:space="0"/>
            </w:tcBorders>
            <w:shd w:val="clear" w:color="auto" w:fill="auto"/>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抵押贷款服务权</w:t>
            </w:r>
          </w:p>
        </w:tc>
        <w:tc>
          <w:tcPr>
            <w:tcW w:w="1001" w:type="pct"/>
            <w:tcBorders>
              <w:top w:val="single" w:color="auto" w:sz="4" w:space="0"/>
              <w:left w:val="nil"/>
              <w:bottom w:val="single" w:color="auto" w:sz="4" w:space="0"/>
              <w:right w:val="single" w:color="auto" w:sz="4" w:space="0"/>
            </w:tcBorders>
            <w:shd w:val="clear" w:color="auto" w:fill="A5A5A5"/>
            <w:vAlign w:val="center"/>
          </w:tcPr>
          <w:p>
            <w:pPr>
              <w:jc w:val="center"/>
              <w:rPr>
                <w:rFonts w:ascii="仿宋_GB2312" w:hAnsi="宋体" w:eastAsia="仿宋_GB2312" w:cs="宋体"/>
                <w:sz w:val="22"/>
                <w:szCs w:val="22"/>
              </w:rPr>
            </w:pP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其他依赖于银行未来盈利的净递延税资产中应扣除金额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对未并表金融机构大额资本投资中的核心一级资本和其他依赖于银行未来盈利的净递延税资产的未扣除部分超过核心一级资本</w:t>
            </w:r>
            <w:r>
              <w:rPr>
                <w:rFonts w:ascii="仿宋_GB2312" w:hAnsi="Calibri" w:eastAsia="仿宋_GB2312" w:cs="Calibri"/>
                <w:sz w:val="22"/>
                <w:szCs w:val="22"/>
                <w:lang w:eastAsia="zh-TW"/>
              </w:rPr>
              <w:t>15%</w:t>
            </w:r>
            <w:r>
              <w:rPr>
                <w:rFonts w:hint="eastAsia" w:ascii="仿宋_GB2312" w:hAnsi="宋体" w:eastAsia="仿宋_GB2312" w:cs="宋体"/>
                <w:sz w:val="22"/>
                <w:szCs w:val="22"/>
                <w:lang w:eastAsia="zh-TW"/>
              </w:rPr>
              <w:t>的应扣除金额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其中：应在对金融机构大额资本投资中扣除的金额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shd w:val="clear" w:color="auto" w:fill="auto"/>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3</w:t>
            </w:r>
          </w:p>
        </w:tc>
        <w:tc>
          <w:tcPr>
            <w:tcW w:w="2229" w:type="pct"/>
            <w:tcBorders>
              <w:top w:val="nil"/>
              <w:left w:val="nil"/>
              <w:bottom w:val="single" w:color="auto" w:sz="4" w:space="0"/>
              <w:right w:val="single" w:color="auto" w:sz="4" w:space="0"/>
            </w:tcBorders>
            <w:shd w:val="clear" w:color="auto" w:fill="auto"/>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其中：抵押贷款服务权应扣除的金额</w:t>
            </w:r>
          </w:p>
        </w:tc>
        <w:tc>
          <w:tcPr>
            <w:tcW w:w="1001" w:type="pct"/>
            <w:tcBorders>
              <w:top w:val="nil"/>
              <w:left w:val="nil"/>
              <w:bottom w:val="single" w:color="auto" w:sz="4" w:space="0"/>
              <w:right w:val="single" w:color="auto" w:sz="4" w:space="0"/>
            </w:tcBorders>
            <w:shd w:val="clear" w:color="auto" w:fill="BFBFBF"/>
            <w:vAlign w:val="center"/>
          </w:tcPr>
          <w:p>
            <w:pPr>
              <w:jc w:val="center"/>
              <w:rPr>
                <w:rFonts w:ascii="仿宋_GB2312" w:hAnsi="宋体" w:eastAsia="仿宋_GB2312" w:cs="宋体"/>
                <w:sz w:val="22"/>
                <w:szCs w:val="22"/>
              </w:rPr>
            </w:pP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其中：应在其他依赖于银行未来盈利的净递延税资产中扣除的金额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TW"/>
              </w:rPr>
            </w:pPr>
            <w:r>
              <w:rPr>
                <w:rFonts w:hint="eastAsia" w:ascii="仿宋_GB2312" w:hAnsi="宋体" w:eastAsia="仿宋_GB2312" w:cs="宋体"/>
                <w:sz w:val="22"/>
                <w:szCs w:val="22"/>
                <w:lang w:eastAsia="zh-CN"/>
              </w:rPr>
              <w:t>其他应在核心一级资本中扣除的项目合计</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eastAsia="仿宋_GB2312"/>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应从其他一级资本和二级资本中扣除的未扣缺口</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eastAsia="仿宋_GB2312"/>
                <w:sz w:val="22"/>
                <w:szCs w:val="22"/>
                <w:lang w:eastAsia="zh-CN"/>
              </w:rPr>
            </w:pPr>
            <w:r>
              <w:rPr>
                <w:rFonts w:hint="eastAsia" w:ascii="仿宋_GB2312" w:eastAsia="仿宋_GB2312"/>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TW"/>
              </w:rPr>
              <w:t>核心一级资本监管调整总和</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0.5</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2</w:t>
            </w:r>
            <w:r>
              <w:rPr>
                <w:rFonts w:hint="eastAsia" w:ascii="仿宋_GB2312" w:eastAsia="仿宋_GB2312"/>
                <w:sz w:val="22"/>
                <w:szCs w:val="22"/>
                <w:lang w:eastAsia="zh-CN"/>
              </w:rPr>
              <w:t>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TW"/>
              </w:rPr>
              <w:t>核心一级资本</w:t>
            </w:r>
            <w:r>
              <w:rPr>
                <w:rFonts w:hint="eastAsia" w:ascii="仿宋_GB2312" w:hAnsi="宋体" w:eastAsia="仿宋_GB2312" w:cs="宋体"/>
                <w:b/>
                <w:sz w:val="22"/>
                <w:szCs w:val="22"/>
                <w:lang w:eastAsia="zh-CN"/>
              </w:rPr>
              <w:t>净额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67.34</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 w:hAnsi="仿宋" w:eastAsia="仿宋" w:cs="Arial Unicode MS"/>
                <w:sz w:val="22"/>
                <w:szCs w:val="22"/>
                <w:lang w:eastAsia="zh-CN"/>
              </w:rPr>
            </w:pPr>
            <w:r>
              <w:rPr>
                <w:rFonts w:hint="eastAsia" w:ascii="仿宋_GB2312" w:hAnsi="宋体" w:eastAsia="仿宋_GB2312" w:cs="宋体"/>
                <w:b/>
                <w:bCs/>
                <w:sz w:val="22"/>
                <w:szCs w:val="22"/>
                <w:lang w:eastAsia="zh-CN"/>
              </w:rPr>
              <w:t>其他一级资本</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29</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其他一级资本工具及其溢价</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7.99</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其中：权益部分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其中：负债部分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7.99</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少数股东资本可计入部分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0.14</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3</w:t>
            </w:r>
          </w:p>
        </w:tc>
        <w:tc>
          <w:tcPr>
            <w:tcW w:w="2229" w:type="pct"/>
            <w:tcBorders>
              <w:top w:val="single" w:color="auto" w:sz="4" w:space="0"/>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CN"/>
              </w:rPr>
              <w:t>监管调整前的其他一级资本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8.13</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 w:hAnsi="仿宋" w:eastAsia="仿宋" w:cs="Arial Unicode MS"/>
                <w:sz w:val="22"/>
                <w:szCs w:val="22"/>
                <w:lang w:eastAsia="zh-CN"/>
              </w:rPr>
            </w:pPr>
            <w:r>
              <w:rPr>
                <w:rFonts w:hint="eastAsia" w:ascii="仿宋_GB2312" w:hAnsi="宋体" w:eastAsia="仿宋_GB2312" w:cs="宋体"/>
                <w:b/>
                <w:bCs/>
                <w:sz w:val="22"/>
                <w:szCs w:val="22"/>
                <w:lang w:eastAsia="zh-CN"/>
              </w:rPr>
              <w:t>其他一级资本</w:t>
            </w:r>
            <w:r>
              <w:rPr>
                <w:rFonts w:ascii="仿宋_GB2312" w:hAnsi="宋体" w:eastAsia="仿宋_GB2312" w:cs="宋体"/>
                <w:b/>
                <w:bCs/>
                <w:sz w:val="22"/>
                <w:szCs w:val="22"/>
                <w:lang w:eastAsia="zh-CN"/>
              </w:rPr>
              <w:t>:</w:t>
            </w:r>
            <w:r>
              <w:rPr>
                <w:rFonts w:hint="eastAsia" w:ascii="仿宋_GB2312" w:hAnsi="宋体" w:eastAsia="仿宋_GB2312" w:cs="宋体"/>
                <w:b/>
                <w:bCs/>
                <w:sz w:val="22"/>
                <w:szCs w:val="22"/>
                <w:lang w:eastAsia="zh-CN"/>
              </w:rPr>
              <w:t>监管调整</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直接或间接持有的本银行其他一级资本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银行间或银行与其他金融机构间通过协议相互持有的其他一级资本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3</w:t>
            </w:r>
            <w:r>
              <w:rPr>
                <w:rFonts w:hint="eastAsia" w:ascii="仿宋_GB2312" w:eastAsia="仿宋_GB2312"/>
                <w:sz w:val="22"/>
                <w:szCs w:val="22"/>
                <w:lang w:eastAsia="zh-CN"/>
              </w:rPr>
              <w:t>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对未并表金融机构小额资本投资中的其他一级资本</w:t>
            </w:r>
            <w:r>
              <w:rPr>
                <w:rFonts w:hint="eastAsia" w:ascii="仿宋_GB2312" w:hAnsi="宋体" w:eastAsia="仿宋_GB2312" w:cs="宋体"/>
                <w:sz w:val="22"/>
                <w:szCs w:val="22"/>
                <w:lang w:eastAsia="zh-CN"/>
              </w:rPr>
              <w:t>中应</w:t>
            </w:r>
            <w:r>
              <w:rPr>
                <w:rFonts w:hint="eastAsia" w:ascii="仿宋_GB2312" w:hAnsi="宋体" w:eastAsia="仿宋_GB2312" w:cs="宋体"/>
                <w:sz w:val="22"/>
                <w:szCs w:val="22"/>
                <w:lang w:eastAsia="zh-TW"/>
              </w:rPr>
              <w:t>扣除</w:t>
            </w:r>
            <w:r>
              <w:rPr>
                <w:rFonts w:hint="eastAsia" w:ascii="仿宋_GB2312" w:hAnsi="宋体" w:eastAsia="仿宋_GB2312" w:cs="宋体"/>
                <w:sz w:val="22"/>
                <w:szCs w:val="22"/>
                <w:lang w:eastAsia="zh-CN"/>
              </w:rPr>
              <w:t>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37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对未并表金融机构大额资本投资中的其他一级资本</w:t>
            </w:r>
            <w:r>
              <w:rPr>
                <w:rFonts w:hint="eastAsia" w:ascii="仿宋_GB2312" w:hAnsi="宋体" w:eastAsia="仿宋_GB2312" w:cs="宋体"/>
                <w:sz w:val="22"/>
                <w:szCs w:val="22"/>
                <w:lang w:eastAsia="zh-CN"/>
              </w:rPr>
              <w:t>中应扣除金额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38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其他应在其他一级资本中扣除的项目合计</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39</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应从二级资本中扣除的未扣缺口</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4</w:t>
            </w:r>
            <w:r>
              <w:rPr>
                <w:rFonts w:hint="eastAsia" w:ascii="仿宋_GB2312" w:eastAsia="仿宋_GB2312"/>
                <w:sz w:val="22"/>
                <w:szCs w:val="22"/>
                <w:lang w:eastAsia="zh-CN"/>
              </w:rPr>
              <w:t>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其他一级资本监管调整总和</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4</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TW"/>
              </w:rPr>
              <w:t>其他一级资本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8.13</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4</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TW"/>
              </w:rPr>
              <w:t>一级资本</w:t>
            </w:r>
            <w:r>
              <w:rPr>
                <w:rFonts w:hint="eastAsia" w:ascii="仿宋_GB2312" w:hAnsi="宋体" w:eastAsia="仿宋_GB2312" w:cs="宋体"/>
                <w:b/>
                <w:bCs/>
                <w:sz w:val="22"/>
                <w:szCs w:val="22"/>
                <w:lang w:eastAsia="zh-CN"/>
              </w:rPr>
              <w:t>净额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75.47</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二级资本</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4</w:t>
            </w:r>
            <w:r>
              <w:rPr>
                <w:rFonts w:hint="eastAsia" w:ascii="仿宋_GB2312" w:eastAsia="仿宋_GB2312"/>
                <w:sz w:val="22"/>
                <w:szCs w:val="22"/>
                <w:lang w:eastAsia="zh-CN"/>
              </w:rPr>
              <w:t>3</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二级资本工具及其溢价</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4</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少数股东资本可计入部分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0.27</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45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超额损失准备可计入部分</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6.82</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46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监管调整前的二级资本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7.09</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二级资本：监管调整</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47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直接或间接持有的本银行的二级资本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446" w:type="pct"/>
            <w:tcBorders>
              <w:top w:val="nil"/>
              <w:bottom w:val="single" w:color="auto" w:sz="4" w:space="0"/>
              <w:right w:val="single" w:color="auto" w:sz="4" w:space="0"/>
            </w:tcBorders>
            <w:vAlign w:val="center"/>
          </w:tcPr>
          <w:p>
            <w:pPr>
              <w:spacing w:line="480" w:lineRule="exact"/>
              <w:jc w:val="center"/>
              <w:rPr>
                <w:rFonts w:ascii="仿宋_GB2312" w:eastAsia="仿宋_GB2312"/>
                <w:sz w:val="22"/>
                <w:szCs w:val="22"/>
              </w:rPr>
            </w:pPr>
            <w:r>
              <w:rPr>
                <w:rFonts w:hint="eastAsia" w:ascii="仿宋_GB2312" w:hAnsi="仿宋" w:eastAsia="仿宋_GB2312" w:cs="宋体"/>
                <w:sz w:val="22"/>
                <w:szCs w:val="22"/>
                <w:lang w:eastAsia="zh-CN"/>
              </w:rPr>
              <w:t>48</w:t>
            </w:r>
          </w:p>
        </w:tc>
        <w:tc>
          <w:tcPr>
            <w:tcW w:w="2229" w:type="pct"/>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sz w:val="22"/>
                <w:szCs w:val="22"/>
                <w:lang w:eastAsia="zh-TW"/>
              </w:rPr>
            </w:pPr>
            <w:r>
              <w:rPr>
                <w:rFonts w:hint="eastAsia" w:ascii="仿宋_GB2312" w:hAnsi="仿宋" w:eastAsia="仿宋_GB2312" w:cs="宋体"/>
                <w:sz w:val="22"/>
                <w:szCs w:val="22"/>
                <w:lang w:eastAsia="zh-TW"/>
              </w:rPr>
              <w:t>银行间或银行与其他金融机构间通过协议相互持有的其他一级资本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仿宋"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49</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对未并表金融机构小额资本投资中的二级资本</w:t>
            </w:r>
            <w:r>
              <w:rPr>
                <w:rFonts w:hint="eastAsia" w:ascii="仿宋_GB2312" w:hAnsi="宋体" w:eastAsia="仿宋_GB2312" w:cs="宋体"/>
                <w:sz w:val="22"/>
                <w:szCs w:val="22"/>
                <w:lang w:eastAsia="zh-CN"/>
              </w:rPr>
              <w:t>中应</w:t>
            </w:r>
            <w:r>
              <w:rPr>
                <w:rFonts w:hint="eastAsia" w:ascii="仿宋_GB2312" w:hAnsi="宋体" w:eastAsia="仿宋_GB2312" w:cs="宋体"/>
                <w:sz w:val="22"/>
                <w:szCs w:val="22"/>
                <w:lang w:eastAsia="zh-TW"/>
              </w:rPr>
              <w:t>扣除</w:t>
            </w:r>
            <w:r>
              <w:rPr>
                <w:rFonts w:hint="eastAsia" w:ascii="仿宋_GB2312" w:hAnsi="宋体" w:eastAsia="仿宋_GB2312" w:cs="宋体"/>
                <w:sz w:val="22"/>
                <w:szCs w:val="22"/>
                <w:lang w:eastAsia="zh-CN"/>
              </w:rPr>
              <w:t>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对未并表金融机构大额资本投资中的二级资本</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51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其他应在二级资本中扣除的项目合计</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TW"/>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5</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TW"/>
              </w:rPr>
              <w:t>二级资本</w:t>
            </w:r>
            <w:r>
              <w:rPr>
                <w:rFonts w:hint="eastAsia" w:ascii="仿宋_GB2312" w:hAnsi="宋体" w:eastAsia="仿宋_GB2312" w:cs="宋体"/>
                <w:b/>
                <w:bCs/>
                <w:sz w:val="22"/>
                <w:szCs w:val="22"/>
                <w:lang w:eastAsia="zh-CN"/>
              </w:rPr>
              <w:t>监管</w:t>
            </w:r>
            <w:r>
              <w:rPr>
                <w:rFonts w:hint="eastAsia" w:ascii="仿宋_GB2312" w:hAnsi="宋体" w:eastAsia="仿宋_GB2312" w:cs="宋体"/>
                <w:b/>
                <w:bCs/>
                <w:sz w:val="22"/>
                <w:szCs w:val="22"/>
                <w:lang w:eastAsia="zh-TW"/>
              </w:rPr>
              <w:t>调整总</w:t>
            </w:r>
            <w:r>
              <w:rPr>
                <w:rFonts w:hint="eastAsia" w:ascii="仿宋_GB2312" w:hAnsi="宋体" w:eastAsia="仿宋_GB2312" w:cs="宋体"/>
                <w:b/>
                <w:bCs/>
                <w:sz w:val="22"/>
                <w:szCs w:val="22"/>
                <w:lang w:eastAsia="zh-CN"/>
              </w:rPr>
              <w:t>和</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5</w:t>
            </w:r>
            <w:r>
              <w:rPr>
                <w:rFonts w:hint="eastAsia" w:ascii="仿宋_GB2312" w:eastAsia="仿宋_GB2312"/>
                <w:sz w:val="22"/>
                <w:szCs w:val="22"/>
                <w:lang w:eastAsia="zh-CN"/>
              </w:rPr>
              <w:t>3</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TW"/>
              </w:rPr>
              <w:t>二级资本</w:t>
            </w:r>
            <w:r>
              <w:rPr>
                <w:rFonts w:hint="eastAsia" w:ascii="仿宋_GB2312" w:hAnsi="宋体" w:eastAsia="仿宋_GB2312" w:cs="宋体"/>
                <w:b/>
                <w:bCs/>
                <w:sz w:val="22"/>
                <w:szCs w:val="22"/>
                <w:lang w:eastAsia="zh-CN"/>
              </w:rPr>
              <w:t>净额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7.09</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5</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CN"/>
              </w:rPr>
              <w:t>总资本净额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82.56</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bCs/>
                <w:sz w:val="22"/>
                <w:szCs w:val="22"/>
                <w:lang w:eastAsia="zh-CN"/>
              </w:rPr>
            </w:pPr>
            <w:r>
              <w:rPr>
                <w:rFonts w:hint="eastAsia" w:ascii="仿宋_GB2312" w:hAnsi="宋体" w:eastAsia="仿宋_GB2312" w:cs="宋体"/>
                <w:b/>
                <w:bCs/>
                <w:sz w:val="22"/>
                <w:szCs w:val="22"/>
                <w:lang w:eastAsia="zh-TW"/>
              </w:rPr>
              <w:t>风险加权资产</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621.48</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PMingLiU" w:cs="宋体"/>
                <w:sz w:val="22"/>
                <w:szCs w:val="22"/>
                <w:lang w:eastAsia="zh-CN"/>
              </w:rPr>
            </w:pPr>
            <w:r>
              <w:rPr>
                <w:rFonts w:hint="eastAsia" w:ascii="仿宋_GB2312" w:hAnsi="宋体" w:eastAsia="仿宋_GB2312" w:cs="宋体"/>
                <w:b/>
                <w:bCs/>
                <w:sz w:val="22"/>
                <w:szCs w:val="22"/>
                <w:lang w:eastAsia="zh-TW"/>
              </w:rPr>
              <w:t>资本充足率和储备资本要求</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TW"/>
              </w:rPr>
              <w:t>核心一级资本充足率</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10.84</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TW"/>
              </w:rPr>
              <w:t>一级资本充足率</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12.14</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TW"/>
              </w:rPr>
              <w:t>资本充足率</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13.28</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59</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宋体" w:eastAsia="仿宋_GB2312" w:cs="宋体"/>
                <w:b/>
                <w:sz w:val="22"/>
                <w:szCs w:val="22"/>
                <w:lang w:eastAsia="zh-CN"/>
              </w:rPr>
              <w:t>银行</w:t>
            </w:r>
            <w:r>
              <w:rPr>
                <w:rFonts w:hint="eastAsia" w:ascii="仿宋_GB2312" w:hAnsi="宋体" w:eastAsia="仿宋_GB2312" w:cs="宋体"/>
                <w:b/>
                <w:sz w:val="22"/>
                <w:szCs w:val="22"/>
                <w:lang w:eastAsia="zh-TW"/>
              </w:rPr>
              <w:t>特定的资本要求</w:t>
            </w:r>
            <w:r>
              <w:rPr>
                <w:rFonts w:hint="eastAsia" w:ascii="仿宋_GB2312" w:hAnsi="宋体" w:eastAsia="仿宋_GB2312" w:cs="宋体"/>
                <w:b/>
                <w:sz w:val="22"/>
                <w:szCs w:val="22"/>
                <w:lang w:eastAsia="zh-CN"/>
              </w:rPr>
              <w:t>（</w:t>
            </w:r>
            <w:r>
              <w:rPr>
                <w:rFonts w:ascii="仿宋_GB2312" w:hAnsi="宋体" w:eastAsia="仿宋_GB2312" w:cs="宋体"/>
                <w:b/>
                <w:sz w:val="22"/>
                <w:szCs w:val="22"/>
                <w:lang w:eastAsia="zh-CN"/>
              </w:rPr>
              <w:t>%）</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2.5</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其中：储备资本要求</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2.5</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6</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其中：逆周期资本要求</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6</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Calibri" w:eastAsia="仿宋_GB2312" w:cs="Calibri"/>
                <w:sz w:val="22"/>
                <w:szCs w:val="22"/>
                <w:lang w:eastAsia="zh-CN"/>
              </w:rPr>
            </w:pPr>
            <w:r>
              <w:rPr>
                <w:rFonts w:ascii="仿宋_GB2312" w:hAnsi="Calibri" w:eastAsia="仿宋_GB2312" w:cs="Calibri"/>
                <w:sz w:val="22"/>
                <w:szCs w:val="22"/>
                <w:lang w:eastAsia="zh-TW"/>
              </w:rPr>
              <w:t xml:space="preserve">    </w:t>
            </w:r>
            <w:r>
              <w:rPr>
                <w:rFonts w:hint="eastAsia" w:ascii="仿宋_GB2312" w:hAnsi="宋体" w:eastAsia="仿宋_GB2312" w:cs="Calibri"/>
                <w:sz w:val="22"/>
                <w:szCs w:val="22"/>
                <w:lang w:eastAsia="zh-TW"/>
              </w:rPr>
              <w:t>其中：全球系统重要性银行</w:t>
            </w:r>
            <w:r>
              <w:rPr>
                <w:rFonts w:hint="eastAsia" w:ascii="仿宋_GB2312" w:hAnsi="宋体" w:eastAsia="仿宋_GB2312" w:cs="Calibri"/>
                <w:sz w:val="22"/>
                <w:szCs w:val="22"/>
                <w:lang w:eastAsia="zh-CN"/>
              </w:rPr>
              <w:t>或国内系统重要性银行</w:t>
            </w:r>
            <w:r>
              <w:rPr>
                <w:rFonts w:hint="eastAsia" w:ascii="仿宋_GB2312" w:hAnsi="宋体" w:eastAsia="仿宋_GB2312" w:cs="Calibri"/>
                <w:sz w:val="22"/>
                <w:szCs w:val="22"/>
                <w:lang w:eastAsia="zh-TW"/>
              </w:rPr>
              <w:t>附加资本要求</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6</w:t>
            </w:r>
            <w:r>
              <w:rPr>
                <w:rFonts w:hint="eastAsia" w:ascii="仿宋_GB2312" w:eastAsia="仿宋_GB2312"/>
                <w:sz w:val="22"/>
                <w:szCs w:val="22"/>
                <w:lang w:eastAsia="zh-CN"/>
              </w:rPr>
              <w:t>3</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b/>
                <w:sz w:val="22"/>
                <w:szCs w:val="22"/>
                <w:lang w:eastAsia="zh-CN"/>
              </w:rPr>
            </w:pPr>
            <w:r>
              <w:rPr>
                <w:rFonts w:hint="eastAsia" w:ascii="仿宋_GB2312" w:hAnsi="仿宋_GB2312" w:eastAsia="仿宋_GB2312" w:cs="仿宋_GB2312"/>
                <w:b/>
                <w:bCs/>
                <w:sz w:val="22"/>
                <w:szCs w:val="22"/>
                <w:lang w:eastAsia="zh-CN"/>
              </w:rPr>
              <w:t>满足最低资本要求后的可用核心一级资本占风险加权资产的比例</w:t>
            </w:r>
            <w:r>
              <w:rPr>
                <w:rFonts w:hint="eastAsia" w:ascii="仿宋_GB2312" w:hAnsi="宋体" w:eastAsia="仿宋_GB2312" w:cs="宋体"/>
                <w:b/>
                <w:sz w:val="22"/>
                <w:szCs w:val="22"/>
                <w:lang w:eastAsia="zh-TW"/>
              </w:rPr>
              <w:t>（</w:t>
            </w:r>
            <w:r>
              <w:rPr>
                <w:rFonts w:ascii="仿宋_GB2312" w:hAnsi="宋体" w:eastAsia="仿宋_GB2312" w:cs="宋体"/>
                <w:b/>
                <w:sz w:val="22"/>
                <w:szCs w:val="22"/>
                <w:lang w:eastAsia="zh-CN"/>
              </w:rPr>
              <w:t>%</w:t>
            </w:r>
            <w:r>
              <w:rPr>
                <w:rFonts w:hint="eastAsia" w:ascii="仿宋_GB2312" w:hAnsi="宋体" w:eastAsia="仿宋_GB2312" w:cs="宋体"/>
                <w:b/>
                <w:sz w:val="22"/>
                <w:szCs w:val="22"/>
                <w:lang w:eastAsia="zh-TW"/>
              </w:rPr>
              <w:t>）</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5.28</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我国最低监管资本要求</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6</w:t>
            </w:r>
            <w:r>
              <w:rPr>
                <w:rFonts w:hint="eastAsia" w:ascii="仿宋_GB2312" w:eastAsia="仿宋_GB2312"/>
                <w:sz w:val="22"/>
                <w:szCs w:val="22"/>
                <w:lang w:eastAsia="zh-CN"/>
              </w:rPr>
              <w:t>4</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核心一级资本充足率</w:t>
            </w:r>
          </w:p>
        </w:tc>
        <w:tc>
          <w:tcPr>
            <w:tcW w:w="1001" w:type="pct"/>
            <w:tcBorders>
              <w:top w:val="nil"/>
              <w:left w:val="nil"/>
              <w:bottom w:val="single" w:color="auto" w:sz="4" w:space="0"/>
              <w:right w:val="single" w:color="auto" w:sz="4" w:space="0"/>
            </w:tcBorders>
          </w:tcPr>
          <w:p>
            <w:pPr>
              <w:snapToGrid w:val="0"/>
              <w:spacing w:line="480" w:lineRule="exact"/>
              <w:jc w:val="center"/>
              <w:rPr>
                <w:rFonts w:ascii="仿宋" w:hAnsi="仿宋" w:eastAsia="仿宋" w:cs="Arial Unicode MS"/>
                <w:sz w:val="22"/>
                <w:szCs w:val="22"/>
                <w:lang w:eastAsia="zh-CN"/>
              </w:rPr>
            </w:pPr>
            <w:r>
              <w:rPr>
                <w:rFonts w:ascii="仿宋" w:hAnsi="仿宋" w:eastAsia="仿宋" w:cs="Arial Unicode MS"/>
                <w:sz w:val="22"/>
                <w:szCs w:val="22"/>
                <w:lang w:eastAsia="zh-CN"/>
              </w:rPr>
              <w:t>5</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65</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一级资本充足率</w:t>
            </w:r>
          </w:p>
        </w:tc>
        <w:tc>
          <w:tcPr>
            <w:tcW w:w="1001" w:type="pct"/>
            <w:tcBorders>
              <w:top w:val="nil"/>
              <w:left w:val="nil"/>
              <w:bottom w:val="single" w:color="auto" w:sz="4" w:space="0"/>
              <w:right w:val="single" w:color="auto" w:sz="4" w:space="0"/>
            </w:tcBorders>
          </w:tcPr>
          <w:p>
            <w:pPr>
              <w:snapToGrid w:val="0"/>
              <w:spacing w:line="480" w:lineRule="exact"/>
              <w:jc w:val="center"/>
              <w:rPr>
                <w:rFonts w:ascii="仿宋" w:hAnsi="仿宋" w:eastAsia="仿宋" w:cs="Arial Unicode MS"/>
                <w:sz w:val="22"/>
                <w:szCs w:val="22"/>
                <w:lang w:eastAsia="zh-CN"/>
              </w:rPr>
            </w:pPr>
            <w:r>
              <w:rPr>
                <w:rFonts w:ascii="仿宋" w:hAnsi="仿宋" w:eastAsia="仿宋" w:cs="Arial Unicode MS"/>
                <w:sz w:val="22"/>
                <w:szCs w:val="22"/>
                <w:lang w:eastAsia="zh-CN"/>
              </w:rPr>
              <w:t>6</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66</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资本充足率</w:t>
            </w:r>
          </w:p>
        </w:tc>
        <w:tc>
          <w:tcPr>
            <w:tcW w:w="1001" w:type="pct"/>
            <w:tcBorders>
              <w:top w:val="nil"/>
              <w:left w:val="nil"/>
              <w:bottom w:val="single" w:color="auto" w:sz="4" w:space="0"/>
              <w:right w:val="single" w:color="auto" w:sz="4" w:space="0"/>
            </w:tcBorders>
          </w:tcPr>
          <w:p>
            <w:pPr>
              <w:snapToGrid w:val="0"/>
              <w:spacing w:line="480" w:lineRule="exact"/>
              <w:jc w:val="center"/>
              <w:rPr>
                <w:rFonts w:ascii="仿宋" w:hAnsi="仿宋" w:eastAsia="仿宋" w:cs="Arial Unicode MS"/>
                <w:sz w:val="22"/>
                <w:szCs w:val="22"/>
                <w:lang w:eastAsia="zh-CN"/>
              </w:rPr>
            </w:pPr>
            <w:r>
              <w:rPr>
                <w:rFonts w:ascii="仿宋" w:hAnsi="仿宋" w:eastAsia="仿宋" w:cs="Arial Unicode MS"/>
                <w:sz w:val="22"/>
                <w:szCs w:val="22"/>
                <w:lang w:eastAsia="zh-CN"/>
              </w:rPr>
              <w:t>8</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CN"/>
              </w:rPr>
              <w:t>门槛扣除项中未扣除部分</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67</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对未并表金融机构的小额资本</w:t>
            </w:r>
            <w:r>
              <w:rPr>
                <w:rFonts w:hint="eastAsia" w:ascii="仿宋_GB2312" w:hAnsi="宋体" w:eastAsia="仿宋_GB2312" w:cs="宋体"/>
                <w:sz w:val="22"/>
                <w:szCs w:val="22"/>
                <w:lang w:eastAsia="zh-CN"/>
              </w:rPr>
              <w:t>投资中</w:t>
            </w:r>
            <w:r>
              <w:rPr>
                <w:rFonts w:hint="eastAsia" w:ascii="仿宋_GB2312" w:hAnsi="宋体" w:eastAsia="仿宋_GB2312" w:cs="宋体"/>
                <w:sz w:val="22"/>
                <w:szCs w:val="22"/>
                <w:lang w:eastAsia="zh-TW"/>
              </w:rPr>
              <w:t>未扣除部分</w:t>
            </w:r>
          </w:p>
        </w:tc>
        <w:tc>
          <w:tcPr>
            <w:tcW w:w="1001" w:type="pct"/>
            <w:tcBorders>
              <w:top w:val="nil"/>
              <w:left w:val="nil"/>
              <w:bottom w:val="single" w:color="auto" w:sz="4" w:space="0"/>
              <w:right w:val="single" w:color="auto" w:sz="4" w:space="0"/>
            </w:tcBorders>
            <w:vAlign w:val="center"/>
          </w:tcPr>
          <w:p>
            <w:pPr>
              <w:jc w:val="center"/>
              <w:rPr>
                <w:rFonts w:ascii="仿宋" w:hAnsi="仿宋" w:eastAsia="仿宋"/>
                <w:sz w:val="22"/>
                <w:szCs w:val="22"/>
              </w:rPr>
            </w:pPr>
            <w:r>
              <w:rPr>
                <w:rFonts w:ascii="仿宋" w:hAnsi="仿宋" w:eastAsia="仿宋"/>
                <w:sz w:val="22"/>
                <w:szCs w:val="22"/>
              </w:rPr>
              <w:t>0.03</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68</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对未并表金融机构的大额资本投资</w:t>
            </w:r>
            <w:r>
              <w:rPr>
                <w:rFonts w:hint="eastAsia" w:ascii="仿宋_GB2312" w:hAnsi="宋体" w:eastAsia="仿宋_GB2312" w:cs="宋体"/>
                <w:sz w:val="22"/>
                <w:szCs w:val="22"/>
                <w:lang w:eastAsia="zh-CN"/>
              </w:rPr>
              <w:t>中</w:t>
            </w:r>
            <w:r>
              <w:rPr>
                <w:rFonts w:hint="eastAsia" w:ascii="仿宋_GB2312" w:hAnsi="宋体" w:eastAsia="仿宋_GB2312" w:cs="宋体"/>
                <w:sz w:val="22"/>
                <w:szCs w:val="22"/>
                <w:lang w:eastAsia="zh-TW"/>
              </w:rPr>
              <w:t>未扣除部分</w:t>
            </w:r>
          </w:p>
        </w:tc>
        <w:tc>
          <w:tcPr>
            <w:tcW w:w="1001" w:type="pct"/>
            <w:tcBorders>
              <w:top w:val="nil"/>
              <w:left w:val="nil"/>
              <w:bottom w:val="single" w:color="auto" w:sz="4" w:space="0"/>
              <w:right w:val="single" w:color="auto" w:sz="4" w:space="0"/>
            </w:tcBorders>
            <w:vAlign w:val="center"/>
          </w:tcPr>
          <w:p>
            <w:pPr>
              <w:jc w:val="center"/>
              <w:rPr>
                <w:rFonts w:ascii="仿宋" w:hAnsi="仿宋" w:eastAsia="仿宋"/>
                <w:sz w:val="22"/>
                <w:szCs w:val="22"/>
              </w:rPr>
            </w:pPr>
            <w:r>
              <w:rPr>
                <w:rFonts w:ascii="仿宋" w:hAnsi="仿宋" w:eastAsia="仿宋"/>
                <w:sz w:val="22"/>
                <w:szCs w:val="22"/>
              </w:rPr>
              <w:t>0</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shd w:val="clear" w:color="auto" w:fill="auto"/>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69</w:t>
            </w:r>
          </w:p>
        </w:tc>
        <w:tc>
          <w:tcPr>
            <w:tcW w:w="2229" w:type="pct"/>
            <w:tcBorders>
              <w:top w:val="nil"/>
              <w:left w:val="nil"/>
              <w:bottom w:val="single" w:color="auto" w:sz="4" w:space="0"/>
              <w:right w:val="single" w:color="auto" w:sz="4" w:space="0"/>
            </w:tcBorders>
            <w:shd w:val="clear" w:color="auto" w:fill="auto"/>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抵押贷款服务权（扣除递延税负债）</w:t>
            </w:r>
          </w:p>
        </w:tc>
        <w:tc>
          <w:tcPr>
            <w:tcW w:w="1001" w:type="pct"/>
            <w:tcBorders>
              <w:top w:val="nil"/>
              <w:left w:val="nil"/>
              <w:bottom w:val="single" w:color="auto" w:sz="4" w:space="0"/>
              <w:right w:val="single" w:color="auto" w:sz="4" w:space="0"/>
            </w:tcBorders>
            <w:shd w:val="clear" w:color="auto" w:fill="BEBEBE"/>
            <w:vAlign w:val="center"/>
          </w:tcPr>
          <w:p>
            <w:pPr>
              <w:jc w:val="center"/>
              <w:rPr>
                <w:rFonts w:ascii="仿宋" w:hAnsi="仿宋" w:eastAsia="仿宋"/>
                <w:sz w:val="22"/>
                <w:szCs w:val="22"/>
                <w:lang w:eastAsia="zh-CN"/>
              </w:rPr>
            </w:pP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hint="eastAsia" w:ascii="仿宋_GB2312" w:eastAsia="仿宋_GB2312"/>
                <w:sz w:val="22"/>
                <w:szCs w:val="22"/>
                <w:lang w:eastAsia="zh-CN"/>
              </w:rPr>
              <w:t>70</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其他依赖于银行未来盈利的净递延税资产（扣除递延税负债）</w:t>
            </w:r>
          </w:p>
        </w:tc>
        <w:tc>
          <w:tcPr>
            <w:tcW w:w="1001" w:type="pct"/>
            <w:tcBorders>
              <w:top w:val="nil"/>
              <w:left w:val="nil"/>
              <w:bottom w:val="single" w:color="auto" w:sz="4" w:space="0"/>
              <w:right w:val="single" w:color="auto" w:sz="4" w:space="0"/>
            </w:tcBorders>
            <w:vAlign w:val="center"/>
          </w:tcPr>
          <w:p>
            <w:pPr>
              <w:jc w:val="center"/>
              <w:rPr>
                <w:rFonts w:hint="eastAsia" w:ascii="仿宋_GB2312" w:hAnsi="宋体" w:eastAsia="仿宋_GB2312" w:cs="宋体"/>
                <w:sz w:val="22"/>
                <w:szCs w:val="22"/>
                <w:lang w:eastAsia="zh-CN"/>
              </w:rPr>
            </w:pPr>
            <w:r>
              <w:rPr>
                <w:rFonts w:hint="eastAsia" w:ascii="仿宋_GB2312" w:eastAsia="仿宋_GB2312"/>
                <w:sz w:val="22"/>
                <w:szCs w:val="22"/>
              </w:rPr>
              <w:t>4.94</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000" w:type="pct"/>
            <w:gridSpan w:val="4"/>
            <w:tcBorders>
              <w:top w:val="nil"/>
              <w:bottom w:val="single" w:color="auto" w:sz="4" w:space="0"/>
            </w:tcBorders>
            <w:shd w:val="clear" w:color="auto" w:fill="A5A5A5"/>
          </w:tcPr>
          <w:p>
            <w:pPr>
              <w:spacing w:line="480" w:lineRule="exact"/>
              <w:rPr>
                <w:rFonts w:ascii="仿宋_GB2312" w:hAnsi="宋体" w:eastAsia="仿宋_GB2312" w:cs="宋体"/>
                <w:sz w:val="22"/>
                <w:szCs w:val="22"/>
                <w:lang w:eastAsia="zh-CN"/>
              </w:rPr>
            </w:pPr>
            <w:r>
              <w:rPr>
                <w:rFonts w:hint="eastAsia" w:ascii="仿宋_GB2312" w:hAnsi="宋体" w:eastAsia="仿宋_GB2312" w:cs="宋体"/>
                <w:b/>
                <w:bCs/>
                <w:sz w:val="22"/>
                <w:szCs w:val="22"/>
                <w:lang w:eastAsia="zh-TW"/>
              </w:rPr>
              <w:t>可计入二级资本的超额损失准备的限额</w:t>
            </w: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7</w:t>
            </w:r>
            <w:r>
              <w:rPr>
                <w:rFonts w:hint="eastAsia" w:ascii="仿宋_GB2312" w:eastAsia="仿宋_GB2312"/>
                <w:sz w:val="22"/>
                <w:szCs w:val="22"/>
                <w:lang w:eastAsia="zh-CN"/>
              </w:rPr>
              <w:t>1</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权重法下，实际计提的损失准备金额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22.21</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446" w:type="pct"/>
            <w:tcBorders>
              <w:top w:val="nil"/>
              <w:bottom w:val="single" w:color="auto" w:sz="4" w:space="0"/>
              <w:right w:val="single" w:color="auto" w:sz="4" w:space="0"/>
            </w:tcBorders>
          </w:tcPr>
          <w:p>
            <w:pPr>
              <w:spacing w:line="480" w:lineRule="exact"/>
              <w:jc w:val="center"/>
              <w:rPr>
                <w:rFonts w:ascii="仿宋_GB2312" w:hAnsi="宋体" w:eastAsia="仿宋_GB2312" w:cs="宋体"/>
                <w:sz w:val="22"/>
                <w:szCs w:val="22"/>
                <w:lang w:eastAsia="zh-CN"/>
              </w:rPr>
            </w:pPr>
            <w:r>
              <w:rPr>
                <w:rFonts w:ascii="仿宋_GB2312" w:eastAsia="仿宋_GB2312"/>
                <w:sz w:val="22"/>
                <w:szCs w:val="22"/>
              </w:rPr>
              <w:t>7</w:t>
            </w:r>
            <w:r>
              <w:rPr>
                <w:rFonts w:hint="eastAsia" w:ascii="仿宋_GB2312" w:eastAsia="仿宋_GB2312"/>
                <w:sz w:val="22"/>
                <w:szCs w:val="22"/>
                <w:lang w:eastAsia="zh-CN"/>
              </w:rPr>
              <w:t>2</w:t>
            </w:r>
          </w:p>
        </w:tc>
        <w:tc>
          <w:tcPr>
            <w:tcW w:w="2229" w:type="pct"/>
            <w:tcBorders>
              <w:top w:val="nil"/>
              <w:left w:val="nil"/>
              <w:bottom w:val="single" w:color="auto" w:sz="4" w:space="0"/>
              <w:right w:val="single" w:color="auto" w:sz="4" w:space="0"/>
            </w:tcBorders>
            <w:vAlign w:val="center"/>
          </w:tcPr>
          <w:p>
            <w:pPr>
              <w:spacing w:line="480" w:lineRule="exact"/>
              <w:jc w:val="both"/>
              <w:rPr>
                <w:rFonts w:ascii="仿宋_GB2312" w:hAnsi="宋体" w:eastAsia="仿宋_GB2312" w:cs="宋体"/>
                <w:sz w:val="22"/>
                <w:szCs w:val="22"/>
                <w:lang w:eastAsia="zh-CN"/>
              </w:rPr>
            </w:pPr>
            <w:r>
              <w:rPr>
                <w:rFonts w:hint="eastAsia" w:ascii="仿宋_GB2312" w:hAnsi="宋体" w:eastAsia="仿宋_GB2312" w:cs="宋体"/>
                <w:sz w:val="22"/>
                <w:szCs w:val="22"/>
                <w:lang w:eastAsia="zh-TW"/>
              </w:rPr>
              <w:t>权重法下，可计入二级资本超额损失准备的数额</w:t>
            </w:r>
          </w:p>
        </w:tc>
        <w:tc>
          <w:tcPr>
            <w:tcW w:w="1001" w:type="pct"/>
            <w:tcBorders>
              <w:top w:val="nil"/>
              <w:left w:val="nil"/>
              <w:bottom w:val="single" w:color="auto" w:sz="4" w:space="0"/>
              <w:right w:val="single" w:color="auto" w:sz="4" w:space="0"/>
            </w:tcBorders>
            <w:vAlign w:val="center"/>
          </w:tcPr>
          <w:p>
            <w:pPr>
              <w:jc w:val="center"/>
              <w:rPr>
                <w:rFonts w:ascii="仿宋_GB2312" w:hAnsi="宋体" w:eastAsia="仿宋_GB2312" w:cs="宋体"/>
                <w:sz w:val="22"/>
                <w:szCs w:val="22"/>
              </w:rPr>
            </w:pPr>
            <w:r>
              <w:rPr>
                <w:rFonts w:hint="eastAsia" w:ascii="仿宋_GB2312" w:eastAsia="仿宋_GB2312"/>
                <w:sz w:val="22"/>
                <w:szCs w:val="22"/>
              </w:rPr>
              <w:t>6.82</w:t>
            </w:r>
          </w:p>
        </w:tc>
        <w:tc>
          <w:tcPr>
            <w:tcW w:w="1324" w:type="pct"/>
            <w:tcBorders>
              <w:top w:val="nil"/>
              <w:left w:val="nil"/>
              <w:bottom w:val="single" w:color="auto" w:sz="4" w:space="0"/>
            </w:tcBorders>
            <w:vAlign w:val="center"/>
          </w:tcPr>
          <w:p>
            <w:pPr>
              <w:spacing w:line="480" w:lineRule="exact"/>
              <w:rPr>
                <w:rFonts w:ascii="仿宋_GB2312" w:hAnsi="宋体" w:eastAsia="仿宋_GB2312" w:cs="宋体"/>
                <w:sz w:val="22"/>
                <w:szCs w:val="22"/>
                <w:lang w:eastAsia="zh-CN"/>
              </w:rPr>
            </w:pPr>
            <w:r>
              <w:rPr>
                <w:rFonts w:hint="eastAsia" w:ascii="仿宋_GB2312" w:hAnsi="宋体" w:eastAsia="仿宋_GB2312" w:cs="宋体"/>
                <w:sz w:val="22"/>
                <w:szCs w:val="22"/>
                <w:lang w:eastAsia="zh-CN"/>
              </w:rPr>
              <w:t>　</w:t>
            </w:r>
          </w:p>
        </w:tc>
      </w:tr>
    </w:tbl>
    <w:p>
      <w:pPr>
        <w:widowControl w:val="0"/>
        <w:spacing w:line="480" w:lineRule="exact"/>
        <w:jc w:val="both"/>
        <w:rPr>
          <w:rFonts w:ascii="宋体" w:hAnsi="宋体" w:cs="宋体"/>
          <w:color w:val="FF0000"/>
          <w:sz w:val="20"/>
          <w:szCs w:val="20"/>
          <w:lang w:eastAsia="zh-CN"/>
        </w:rPr>
      </w:pPr>
    </w:p>
    <w:p>
      <w:pPr>
        <w:widowControl w:val="0"/>
        <w:snapToGrid w:val="0"/>
        <w:spacing w:line="480" w:lineRule="exact"/>
        <w:jc w:val="both"/>
        <w:rPr>
          <w:color w:val="FF0000"/>
          <w:lang w:eastAsia="zh-CN"/>
        </w:rPr>
      </w:pPr>
    </w:p>
    <w:p>
      <w:pPr>
        <w:snapToGrid w:val="0"/>
        <w:spacing w:line="480" w:lineRule="exact"/>
        <w:ind w:firstLine="562" w:firstLineChars="200"/>
        <w:rPr>
          <w:rFonts w:ascii="仿宋_GB2312" w:hAnsi="仿宋_GB2312" w:eastAsia="仿宋_GB2312" w:cs="仿宋_GB2312"/>
          <w:b/>
          <w:color w:val="FF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2FF89"/>
    <w:multiLevelType w:val="singleLevel"/>
    <w:tmpl w:val="D8E2FF89"/>
    <w:lvl w:ilvl="0" w:tentative="0">
      <w:start w:val="1"/>
      <w:numFmt w:val="chineseCounting"/>
      <w:suff w:val="nothing"/>
      <w:lvlText w:val="%1、"/>
      <w:lvlJc w:val="left"/>
      <w:rPr>
        <w:rFonts w:hint="eastAsia"/>
      </w:rPr>
    </w:lvl>
  </w:abstractNum>
  <w:abstractNum w:abstractNumId="1">
    <w:nsid w:val="E44C8C75"/>
    <w:multiLevelType w:val="singleLevel"/>
    <w:tmpl w:val="E44C8C7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166"/>
    <w:rsid w:val="00014774"/>
    <w:rsid w:val="000918EF"/>
    <w:rsid w:val="000A56F9"/>
    <w:rsid w:val="000B4DAA"/>
    <w:rsid w:val="000D3B47"/>
    <w:rsid w:val="001134A2"/>
    <w:rsid w:val="00114214"/>
    <w:rsid w:val="00125766"/>
    <w:rsid w:val="00140083"/>
    <w:rsid w:val="0016545D"/>
    <w:rsid w:val="00184E42"/>
    <w:rsid w:val="00186D1B"/>
    <w:rsid w:val="001F12D8"/>
    <w:rsid w:val="00201E93"/>
    <w:rsid w:val="0021613D"/>
    <w:rsid w:val="0025139C"/>
    <w:rsid w:val="00276F44"/>
    <w:rsid w:val="003538B3"/>
    <w:rsid w:val="003A2F1D"/>
    <w:rsid w:val="004314B1"/>
    <w:rsid w:val="00443F01"/>
    <w:rsid w:val="00497A9C"/>
    <w:rsid w:val="004E3388"/>
    <w:rsid w:val="00514AE4"/>
    <w:rsid w:val="00583166"/>
    <w:rsid w:val="006029B4"/>
    <w:rsid w:val="0066553C"/>
    <w:rsid w:val="006C10B2"/>
    <w:rsid w:val="007365C9"/>
    <w:rsid w:val="00770000"/>
    <w:rsid w:val="00772CCC"/>
    <w:rsid w:val="007D0576"/>
    <w:rsid w:val="007F02A3"/>
    <w:rsid w:val="007F40B4"/>
    <w:rsid w:val="0080375C"/>
    <w:rsid w:val="0086471E"/>
    <w:rsid w:val="00872CF9"/>
    <w:rsid w:val="00897C9E"/>
    <w:rsid w:val="008C0891"/>
    <w:rsid w:val="008D19D5"/>
    <w:rsid w:val="00911B26"/>
    <w:rsid w:val="00912F44"/>
    <w:rsid w:val="00923656"/>
    <w:rsid w:val="00985621"/>
    <w:rsid w:val="009958B6"/>
    <w:rsid w:val="009B67EF"/>
    <w:rsid w:val="009B7042"/>
    <w:rsid w:val="00AC2CCA"/>
    <w:rsid w:val="00AE446A"/>
    <w:rsid w:val="00B41EC1"/>
    <w:rsid w:val="00B62BF6"/>
    <w:rsid w:val="00BC35C3"/>
    <w:rsid w:val="00C57BF6"/>
    <w:rsid w:val="00D03306"/>
    <w:rsid w:val="00D05177"/>
    <w:rsid w:val="00D8628A"/>
    <w:rsid w:val="00DF4753"/>
    <w:rsid w:val="00E16AFB"/>
    <w:rsid w:val="00E66753"/>
    <w:rsid w:val="00EF3DB4"/>
    <w:rsid w:val="00F564FA"/>
    <w:rsid w:val="00F764A0"/>
    <w:rsid w:val="00F87CED"/>
    <w:rsid w:val="00F87D54"/>
    <w:rsid w:val="00F928DE"/>
    <w:rsid w:val="00FA05D6"/>
    <w:rsid w:val="00FB3C79"/>
    <w:rsid w:val="00FC688C"/>
    <w:rsid w:val="00FE1B02"/>
    <w:rsid w:val="0A0A6661"/>
    <w:rsid w:val="0C1749E5"/>
    <w:rsid w:val="0C474644"/>
    <w:rsid w:val="29332DAC"/>
    <w:rsid w:val="7AC41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3">
    <w:name w:val="header"/>
    <w:basedOn w:val="1"/>
    <w:link w:val="6"/>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28703-DD32-4E81-BCE9-BB3448C3727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523</Words>
  <Characters>2983</Characters>
  <Lines>24</Lines>
  <Paragraphs>6</Paragraphs>
  <TotalTime>365</TotalTime>
  <ScaleCrop>false</ScaleCrop>
  <LinksUpToDate>false</LinksUpToDate>
  <CharactersWithSpaces>3500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2024-04-15T02:55:00Z</dcterms:created>
  <dc:creator>钱嘉诚</dc:creator>
  <cp:lastModifiedBy>tcrcb</cp:lastModifiedBy>
  <dcterms:modified xsi:type="dcterms:W3CDTF">2026-07-23T00:42:52Z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E66E302DE5264359A3114E9FD6056549</vt:lpwstr>
  </property>
</Properties>
</file>