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napToGrid w:val="0"/>
        <w:spacing w:line="480" w:lineRule="exact"/>
        <w:ind w:firstLineChars="200" w:firstLine="720"/>
        <w:jc w:val="center"/>
        <w:rPr>
          <w:rFonts w:ascii="黑体" w:eastAsia="黑体" w:cs="黑体" w:hAnsi="黑体"/>
          <w:bCs/>
          <w:color w:val="000000"/>
          <w:sz w:val="36"/>
          <w:szCs w:val="36"/>
          <w:lang w:eastAsia="zh-CN"/>
        </w:rPr>
      </w:pPr>
      <w:r>
        <w:rPr>
          <w:rFonts w:ascii="黑体" w:eastAsia="黑体" w:cs="黑体" w:hAnsi="黑体" w:hint="eastAsia"/>
          <w:bCs/>
          <w:color w:val="000000"/>
          <w:sz w:val="36"/>
          <w:szCs w:val="36"/>
          <w:lang w:eastAsia="zh-CN"/>
        </w:rPr>
        <w:t>江苏太仓农村商业银行股份有限公司</w:t>
      </w:r>
    </w:p>
    <w:p>
      <w:pPr>
        <w:snapToGrid w:val="0"/>
        <w:spacing w:line="480" w:lineRule="exact"/>
        <w:ind w:firstLineChars="200" w:firstLine="720"/>
        <w:jc w:val="center"/>
        <w:rPr>
          <w:rFonts w:ascii="宋体" w:eastAsia="宋体" w:cs="仿宋_GB2312" w:hAnsi="宋体"/>
          <w:bCs/>
          <w:color w:val="000000"/>
          <w:sz w:val="36"/>
          <w:szCs w:val="36"/>
          <w:lang w:eastAsia="zh-CN"/>
        </w:rPr>
      </w:pPr>
      <w:r>
        <w:rPr>
          <w:rFonts w:ascii="黑体" w:eastAsia="黑体" w:cs="黑体" w:hAnsi="黑体" w:hint="eastAsia"/>
          <w:bCs/>
          <w:color w:val="000000"/>
          <w:sz w:val="36"/>
          <w:szCs w:val="36"/>
          <w:lang w:eastAsia="zh-CN"/>
        </w:rPr>
        <w:t>2026年第一季度第三支柱信息披露报告</w:t>
      </w:r>
    </w:p>
    <w:p>
      <w:pPr>
        <w:snapToGrid w:val="0"/>
        <w:spacing w:line="360" w:lineRule="auto"/>
        <w:ind w:firstLineChars="200" w:firstLine="600"/>
        <w:rPr>
          <w:rFonts w:ascii="仿宋_GB2312" w:eastAsia="仿宋_GB2312" w:cs="仿宋_GB2312" w:hAnsi="仿宋_GB2312"/>
          <w:color w:val="000000"/>
          <w:sz w:val="30"/>
          <w:szCs w:val="30"/>
          <w:lang w:eastAsia="zh-CN"/>
        </w:rPr>
      </w:pPr>
    </w:p>
    <w:p>
      <w:pPr>
        <w:snapToGrid w:val="0"/>
        <w:spacing w:line="360" w:lineRule="auto"/>
        <w:ind w:firstLineChars="200" w:firstLine="600"/>
        <w:rPr>
          <w:rFonts w:ascii="仿宋_GB2312" w:eastAsia="仿宋_GB2312" w:cs="仿宋_GB2312" w:hAnsi="仿宋_GB2312"/>
          <w:color w:val="000000"/>
          <w:sz w:val="30"/>
          <w:szCs w:val="30"/>
          <w:lang w:eastAsia="zh-CN"/>
        </w:rPr>
      </w:pPr>
      <w:r>
        <w:rPr>
          <w:rFonts w:ascii="仿宋_GB2312" w:eastAsia="仿宋_GB2312" w:cs="仿宋_GB2312" w:hAnsi="仿宋_GB2312" w:hint="eastAsia"/>
          <w:color w:val="000000"/>
          <w:sz w:val="30"/>
          <w:szCs w:val="30"/>
          <w:lang w:eastAsia="zh-CN"/>
        </w:rPr>
        <w:t>本报告根据国家金融监督管理总局2023年11月1日发布的《商业银行资本管理办法》（以下简称“办法”）附件22《商业银行信息披露内容和要求》的相关规定编制并披露。</w:t>
      </w:r>
    </w:p>
    <w:p>
      <w:pPr>
        <w:numPr>
          <w:ilvl w:val="0"/>
          <w:numId w:val="1"/>
        </w:numPr>
        <w:snapToGrid w:val="0"/>
        <w:spacing w:line="360" w:lineRule="auto"/>
        <w:ind w:left="0" w:firstLineChars="200" w:firstLine="600"/>
        <w:rPr>
          <w:rFonts w:ascii="仿宋_GB2312" w:eastAsia="仿宋_GB2312" w:cs="仿宋_GB2312" w:hAnsi="仿宋_GB2312"/>
          <w:b/>
          <w:bCs/>
          <w:color w:val="000000"/>
          <w:sz w:val="30"/>
          <w:szCs w:val="30"/>
          <w:lang w:eastAsia="zh-CN"/>
        </w:rPr>
      </w:pPr>
      <w:r>
        <w:rPr>
          <w:rFonts w:ascii="仿宋_GB2312" w:eastAsia="仿宋_GB2312" w:cs="仿宋_GB2312" w:hAnsi="仿宋_GB2312" w:hint="eastAsia"/>
          <w:b/>
          <w:bCs/>
          <w:color w:val="000000"/>
          <w:sz w:val="30"/>
          <w:szCs w:val="30"/>
          <w:lang w:eastAsia="zh-CN"/>
        </w:rPr>
        <w:t>披露说明</w:t>
      </w:r>
    </w:p>
    <w:p>
      <w:pPr>
        <w:snapToGrid w:val="0"/>
        <w:spacing w:line="360" w:lineRule="auto"/>
        <w:ind w:firstLineChars="200" w:firstLine="600"/>
        <w:rPr>
          <w:rFonts w:ascii="仿宋_GB2312" w:eastAsia="仿宋_GB2312" w:cs="仿宋_GB2312" w:hAnsi="仿宋_GB2312"/>
          <w:color w:val="000000"/>
          <w:sz w:val="30"/>
          <w:szCs w:val="30"/>
          <w:lang w:eastAsia="zh-CN"/>
        </w:rPr>
      </w:pPr>
      <w:r>
        <w:rPr>
          <w:rFonts w:ascii="仿宋_GB2312" w:eastAsia="仿宋_GB2312" w:cs="仿宋_GB2312" w:hAnsi="仿宋_GB2312" w:hint="eastAsia"/>
          <w:color w:val="000000"/>
          <w:sz w:val="30"/>
          <w:szCs w:val="30"/>
          <w:lang w:eastAsia="zh-CN"/>
        </w:rPr>
        <w:t>根据办法，我行属于非国内系统重要性银行，应在并表范围披露相关信息。同时，本报告是按照办法正文第九章信息披露及附件22商业银行信息披露内容和要求编制，而非财务会计准则，因此本报告中部分资料不能与同期财务报告的信息直接进行比较。</w:t>
      </w:r>
    </w:p>
    <w:p>
      <w:pPr>
        <w:snapToGrid w:val="0"/>
        <w:spacing w:line="360" w:lineRule="auto"/>
        <w:ind w:firstLineChars="200" w:firstLine="600"/>
        <w:rPr>
          <w:rFonts w:ascii="仿宋_GB2312" w:eastAsia="仿宋_GB2312" w:cs="仿宋_GB2312" w:hAnsi="仿宋_GB2312"/>
          <w:color w:val="000000"/>
          <w:sz w:val="30"/>
          <w:szCs w:val="30"/>
          <w:lang w:eastAsia="zh-CN"/>
        </w:rPr>
      </w:pPr>
      <w:r>
        <w:rPr>
          <w:rFonts w:ascii="仿宋_GB2312" w:eastAsia="仿宋_GB2312" w:cs="仿宋_GB2312" w:hAnsi="仿宋_GB2312" w:hint="eastAsia"/>
          <w:color w:val="000000"/>
          <w:sz w:val="30"/>
          <w:szCs w:val="30"/>
          <w:lang w:eastAsia="zh-CN"/>
        </w:rPr>
        <w:t>根据办法，本期报告应披露KMI监管并表关键审慎监管指标及CC1资本构成。</w:t>
      </w:r>
    </w:p>
    <w:p>
      <w:pPr>
        <w:numPr>
          <w:ilvl w:val="0"/>
          <w:numId w:val="2"/>
        </w:numPr>
        <w:snapToGrid w:val="0"/>
        <w:spacing w:line="360" w:lineRule="auto"/>
        <w:ind w:left="0" w:firstLineChars="200" w:firstLine="600"/>
        <w:rPr>
          <w:rFonts w:ascii="仿宋_GB2312" w:eastAsia="仿宋_GB2312" w:cs="仿宋_GB2312" w:hAnsi="仿宋_GB2312"/>
          <w:b/>
          <w:color w:val="000000"/>
          <w:sz w:val="30"/>
          <w:szCs w:val="30"/>
          <w:lang w:eastAsia="zh-CN"/>
        </w:rPr>
      </w:pPr>
      <w:r>
        <w:rPr>
          <w:rFonts w:ascii="仿宋_GB2312" w:eastAsia="仿宋_GB2312" w:cs="仿宋_GB2312" w:hAnsi="仿宋_GB2312" w:hint="eastAsia"/>
          <w:b/>
          <w:color w:val="000000"/>
          <w:sz w:val="30"/>
          <w:szCs w:val="30"/>
          <w:lang w:eastAsia="zh-CN"/>
        </w:rPr>
        <w:t>监管并表关键审慎监管指标</w:t>
      </w:r>
    </w:p>
    <w:p>
      <w:pPr>
        <w:snapToGrid w:val="0"/>
        <w:spacing w:line="360" w:lineRule="auto"/>
        <w:ind w:firstLineChars="200" w:firstLine="600"/>
        <w:rPr>
          <w:rFonts w:ascii="仿宋_GB2312" w:eastAsia="仿宋_GB2312" w:cs="仿宋_GB2312" w:hAnsi="仿宋_GB2312"/>
          <w:color w:val="000000"/>
          <w:sz w:val="30"/>
          <w:szCs w:val="30"/>
          <w:lang w:eastAsia="zh-CN"/>
        </w:rPr>
      </w:pPr>
      <w:r>
        <w:rPr>
          <w:rFonts w:ascii="仿宋_GB2312" w:eastAsia="仿宋_GB2312" w:cs="仿宋_GB2312" w:hAnsi="仿宋_GB2312" w:hint="eastAsia"/>
          <w:color w:val="000000"/>
          <w:sz w:val="30"/>
          <w:szCs w:val="30"/>
          <w:lang w:eastAsia="zh-CN"/>
        </w:rPr>
        <w:t>监管并表关键审慎监管指标包括资本充足率、杠杆率及流动性风险相关指标，信息披露如下：</w:t>
      </w:r>
    </w:p>
    <w:p>
      <w:pPr>
        <w:snapToGrid w:val="0"/>
        <w:spacing w:line="360" w:lineRule="auto"/>
        <w:ind w:firstLineChars="200" w:firstLine="600"/>
        <w:jc w:val="center"/>
        <w:rPr>
          <w:rFonts w:ascii="仿宋_GB2312" w:eastAsia="仿宋_GB2312" w:cs="仿宋_GB2312" w:hAnsi="仿宋_GB2312"/>
          <w:b/>
          <w:color w:val="000000"/>
          <w:sz w:val="30"/>
          <w:szCs w:val="30"/>
          <w:lang w:eastAsia="zh-CN"/>
        </w:rPr>
      </w:pPr>
      <w:r>
        <w:rPr>
          <w:rFonts w:ascii="仿宋_GB2312" w:eastAsia="仿宋_GB2312" w:cs="仿宋_GB2312" w:hAnsi="仿宋_GB2312" w:hint="eastAsia"/>
          <w:b/>
          <w:color w:val="000000"/>
          <w:sz w:val="30"/>
          <w:szCs w:val="30"/>
          <w:lang w:eastAsia="zh-CN"/>
        </w:rPr>
        <w:t>表格KMI：监管并表关键审慎监管指标</w:t>
      </w:r>
    </w:p>
    <w:p>
      <w:pPr>
        <w:snapToGrid w:val="0"/>
        <w:spacing w:line="480" w:lineRule="exact"/>
        <w:ind w:firstLineChars="200" w:firstLine="480"/>
        <w:jc w:val="right"/>
        <w:rPr>
          <w:rFonts w:ascii="仿宋_GB2312" w:eastAsia="仿宋_GB2312" w:cs="仿宋_GB2312" w:hAnsi="仿宋_GB2312"/>
          <w:color w:val="000000"/>
          <w:lang w:eastAsia="zh-CN"/>
        </w:rPr>
      </w:pPr>
      <w:r>
        <w:rPr>
          <w:rFonts w:ascii="仿宋_GB2312" w:eastAsia="仿宋_GB2312" w:cs="仿宋_GB2312" w:hAnsi="仿宋_GB2312" w:hint="eastAsia"/>
          <w:color w:val="000000"/>
          <w:lang w:eastAsia="zh-CN"/>
        </w:rPr>
        <w:t>单位：亿元，保留两位小数</w:t>
      </w:r>
    </w:p>
    <w:p>
      <w:pPr>
        <w:rPr>
          <w:vanish/>
          <w:color w:val="000000"/>
          <w:lang w:eastAsia="zh-CN"/>
        </w:rPr>
      </w:pPr>
    </w:p>
    <w:tbl>
      <w:tblPr>
        <w:jc w:val="lef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firstRow="1" w:lastRow="0" w:firstColumn="1" w:lastColumn="0" w:noHBand="0" w:noVBand="1"/>
      </w:tblPr>
      <w:tblGrid>
        <w:gridCol w:w="561"/>
        <w:gridCol w:w="1381"/>
        <w:gridCol w:w="1316"/>
        <w:gridCol w:w="1316"/>
        <w:gridCol w:w="1316"/>
        <w:gridCol w:w="1316"/>
        <w:gridCol w:w="1316"/>
      </w:tblGrid>
      <w:tr>
        <w:trPr>
          <w:trHeight w:val="695"/>
        </w:trPr>
        <w:tc>
          <w:tcPr>
            <w:tcW w:w="1942" w:type="dxa"/>
            <w:gridSpan w:val="2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color w:val="000000"/>
                <w:sz w:val="22"/>
                <w:szCs w:val="22"/>
                <w:lang w:eastAsia="zh-CN"/>
              </w:rPr>
              <w:t>　</w:t>
            </w:r>
          </w:p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color w:val="000000"/>
                <w:sz w:val="22"/>
                <w:szCs w:val="22"/>
                <w:lang w:eastAsia="zh-CN"/>
              </w:rPr>
              <w:t>　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color w:val="000000"/>
                <w:sz w:val="22"/>
                <w:szCs w:val="22"/>
                <w:lang w:eastAsia="zh-CN"/>
              </w:rPr>
              <w:t>2026/3/31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color w:val="000000"/>
                <w:sz w:val="22"/>
                <w:szCs w:val="22"/>
                <w:lang w:eastAsia="zh-CN"/>
              </w:rPr>
              <w:t>2025/12/31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2025/09/30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2025/06/30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2025/03/31</w:t>
            </w:r>
          </w:p>
        </w:tc>
      </w:tr>
      <w:tr>
        <w:trPr>
          <w:trHeight w:val="313"/>
        </w:trPr>
        <w:tc>
          <w:tcPr>
            <w:tcW w:w="561" w:type="dxa"/>
            <w:shd w:val="clear" w:color="000000" w:fill="D9D9D9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961" w:type="dxa"/>
            <w:gridSpan w:val="6"/>
            <w:shd w:val="clear" w:color="000000" w:fill="D9D9D9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Arial Unicode MS" w:hAnsi="仿宋" w:hint="eastAsia"/>
                <w:b/>
                <w:bCs/>
                <w:color w:val="000000"/>
                <w:sz w:val="22"/>
                <w:szCs w:val="22"/>
              </w:rPr>
              <w:t>可用资本（</w:t>
            </w:r>
            <w:r>
              <w:rPr>
                <w:rFonts w:ascii="仿宋_GB2312" w:eastAsia="仿宋_GB2312" w:cs="Arial Unicode MS" w:hAnsi="仿宋" w:hint="eastAsia"/>
                <w:b/>
                <w:bCs/>
                <w:color w:val="000000"/>
                <w:sz w:val="22"/>
                <w:szCs w:val="22"/>
                <w:lang w:eastAsia="zh-CN"/>
              </w:rPr>
              <w:t>数</w:t>
            </w:r>
            <w:r>
              <w:rPr>
                <w:rFonts w:ascii="仿宋_GB2312" w:eastAsia="仿宋_GB2312" w:cs="Arial Unicode MS" w:hAnsi="仿宋" w:hint="eastAsia"/>
                <w:b/>
                <w:bCs/>
                <w:color w:val="000000"/>
                <w:sz w:val="22"/>
                <w:szCs w:val="22"/>
              </w:rPr>
              <w:t>额）</w:t>
            </w:r>
          </w:p>
        </w:tc>
      </w:tr>
      <w:tr>
        <w:trPr>
          <w:trHeight w:val="330"/>
        </w:trPr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81" w:type="dxa"/>
            <w:vAlign w:val="center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1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color w:val="000000"/>
                <w:sz w:val="21"/>
                <w:szCs w:val="22"/>
                <w:lang w:eastAsia="zh-CN"/>
              </w:rPr>
              <w:t>核心一级资本净额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66.3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  <w:t>64.3</w:t>
            </w: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/>
                <w:sz w:val="22"/>
                <w:szCs w:val="22"/>
              </w:rPr>
              <w:t>63.48</w:t>
            </w: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/>
                <w:sz w:val="22"/>
                <w:szCs w:val="22"/>
              </w:rPr>
              <w:t>62.42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  <w:t>60.72</w:t>
            </w:r>
          </w:p>
        </w:tc>
      </w:tr>
      <w:tr>
        <w:trPr>
          <w:trHeight w:val="330"/>
        </w:trPr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81" w:type="dxa"/>
            <w:vAlign w:val="center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1"/>
                <w:szCs w:val="22"/>
              </w:rPr>
            </w:pPr>
            <w:r>
              <w:rPr>
                <w:rFonts w:ascii="仿宋_GB2312" w:eastAsia="仿宋_GB2312" w:cs="Arial Unicode MS" w:hAnsi="仿宋" w:hint="eastAsia"/>
                <w:color w:val="000000"/>
                <w:sz w:val="21"/>
                <w:szCs w:val="22"/>
              </w:rPr>
              <w:t>一级资本</w:t>
            </w:r>
            <w:r>
              <w:rPr>
                <w:rFonts w:ascii="仿宋_GB2312" w:eastAsia="仿宋_GB2312" w:cs="Arial Unicode MS" w:hAnsi="仿宋" w:hint="eastAsia"/>
                <w:color w:val="000000"/>
                <w:sz w:val="21"/>
                <w:szCs w:val="22"/>
                <w:lang w:eastAsia="zh-CN"/>
              </w:rPr>
              <w:t>净额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74.42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  <w:t>72.43</w:t>
            </w: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/>
                <w:sz w:val="22"/>
                <w:szCs w:val="22"/>
              </w:rPr>
              <w:t>71.61</w:t>
            </w: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/>
                <w:sz w:val="22"/>
                <w:szCs w:val="22"/>
              </w:rPr>
              <w:t>70.55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  <w:t>68.85</w:t>
            </w:r>
          </w:p>
        </w:tc>
      </w:tr>
      <w:tr>
        <w:trPr>
          <w:trHeight w:val="330"/>
        </w:trPr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81" w:type="dxa"/>
            <w:vAlign w:val="center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1"/>
                <w:szCs w:val="22"/>
              </w:rPr>
            </w:pPr>
            <w:r>
              <w:rPr>
                <w:rFonts w:ascii="仿宋_GB2312" w:eastAsia="仿宋_GB2312" w:cs="Arial Unicode MS" w:hAnsi="仿宋" w:hint="eastAsia"/>
                <w:color w:val="000000"/>
                <w:sz w:val="21"/>
                <w:szCs w:val="22"/>
              </w:rPr>
              <w:t>资本</w:t>
            </w:r>
            <w:r>
              <w:rPr>
                <w:rFonts w:ascii="仿宋_GB2312" w:eastAsia="仿宋_GB2312" w:cs="Arial Unicode MS" w:hAnsi="仿宋" w:hint="eastAsia"/>
                <w:color w:val="000000"/>
                <w:sz w:val="21"/>
                <w:szCs w:val="22"/>
                <w:lang w:eastAsia="zh-CN"/>
              </w:rPr>
              <w:t>净额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宋体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81.16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  <w:t>78.98</w:t>
            </w: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/>
                <w:sz w:val="22"/>
                <w:szCs w:val="22"/>
              </w:rPr>
              <w:t>77.91</w:t>
            </w: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/>
                <w:sz w:val="22"/>
                <w:szCs w:val="22"/>
              </w:rPr>
              <w:t>76.87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  <w:t>75.07</w:t>
            </w:r>
          </w:p>
        </w:tc>
      </w:tr>
      <w:tr>
        <w:trPr>
          <w:trHeight w:val="185"/>
        </w:trPr>
        <w:tc>
          <w:tcPr>
            <w:tcW w:w="561" w:type="dxa"/>
            <w:shd w:val="clear" w:color="000000" w:fill="D9D9D9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b/>
                <w:bCs/>
                <w:sz w:val="22"/>
                <w:szCs w:val="22"/>
                <w:lang w:eastAsia="zh-CN"/>
              </w:rPr>
            </w:pPr>
          </w:p>
        </w:tc>
        <w:tc>
          <w:tcPr>
            <w:tcW w:w="7961" w:type="dxa"/>
            <w:gridSpan w:val="6"/>
            <w:shd w:val="clear" w:color="000000" w:fill="D9D9D9"/>
            <w:vAlign w:val="center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b/>
                <w:bCs/>
                <w:sz w:val="21"/>
                <w:szCs w:val="22"/>
                <w:lang w:eastAsia="zh-CN"/>
              </w:rPr>
              <w:t>风险加权资产（数额）</w:t>
            </w:r>
          </w:p>
        </w:tc>
      </w:tr>
      <w:tr>
        <w:trPr>
          <w:trHeight w:val="330"/>
        </w:trPr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81" w:type="dxa"/>
            <w:vAlign w:val="center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1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color w:val="000000"/>
                <w:sz w:val="21"/>
                <w:szCs w:val="22"/>
                <w:lang w:eastAsia="zh-CN"/>
              </w:rPr>
              <w:t>风险加权资产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宋体" w:hAnsi="宋体" w:hint="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597.77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  <w:t>553.03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540.51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540.5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521.08</w:t>
            </w:r>
          </w:p>
        </w:tc>
      </w:tr>
      <w:tr>
        <w:trPr>
          <w:trHeight w:val="275"/>
        </w:trPr>
        <w:tc>
          <w:tcPr>
            <w:tcW w:w="561" w:type="dxa"/>
            <w:shd w:val="clear" w:color="000000" w:fill="D9D9D9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b/>
                <w:bCs/>
                <w:sz w:val="22"/>
                <w:szCs w:val="22"/>
                <w:lang w:eastAsia="zh-CN"/>
              </w:rPr>
            </w:pPr>
          </w:p>
        </w:tc>
        <w:tc>
          <w:tcPr>
            <w:tcW w:w="5329" w:type="dxa"/>
            <w:gridSpan w:val="4"/>
            <w:shd w:val="clear" w:color="000000" w:fill="D9D9D9"/>
            <w:vAlign w:val="center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sz w:val="21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b/>
                <w:bCs/>
                <w:sz w:val="21"/>
                <w:szCs w:val="22"/>
                <w:lang w:eastAsia="zh-CN"/>
              </w:rPr>
              <w:t>资本充足率</w:t>
            </w:r>
          </w:p>
        </w:tc>
        <w:tc>
          <w:tcPr>
            <w:tcW w:w="1316" w:type="dxa"/>
            <w:shd w:val="clear" w:color="000000" w:fill="D9D9D9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b/>
                <w:bCs/>
                <w:sz w:val="22"/>
                <w:szCs w:val="22"/>
                <w:lang w:eastAsia="zh-CN"/>
              </w:rPr>
            </w:pPr>
          </w:p>
        </w:tc>
        <w:tc>
          <w:tcPr>
            <w:tcW w:w="1316" w:type="dxa"/>
            <w:shd w:val="clear" w:color="000000" w:fill="D9D9D9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b/>
                <w:bCs/>
                <w:sz w:val="22"/>
                <w:szCs w:val="22"/>
                <w:lang w:eastAsia="zh-CN"/>
              </w:rPr>
            </w:pPr>
          </w:p>
        </w:tc>
      </w:tr>
      <w:tr>
        <w:trPr>
          <w:trHeight w:val="455"/>
        </w:trPr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81" w:type="dxa"/>
            <w:vAlign w:val="center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1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color w:val="000000"/>
                <w:sz w:val="21"/>
                <w:szCs w:val="22"/>
                <w:lang w:eastAsia="zh-CN"/>
              </w:rPr>
              <w:t>核心一级资本充足率（</w:t>
            </w:r>
            <w:r>
              <w:rPr>
                <w:rFonts w:ascii="仿宋_GB2312" w:eastAsia="仿宋_GB2312" w:cs="Arial Unicode MS" w:hAnsi="仿宋"/>
                <w:color w:val="000000"/>
                <w:sz w:val="21"/>
                <w:szCs w:val="22"/>
                <w:lang w:eastAsia="zh-CN"/>
              </w:rPr>
              <w:t>%）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 xml:space="preserve">11.09 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  <w:t>11.63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11.75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11.55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11.65</w:t>
            </w:r>
          </w:p>
        </w:tc>
      </w:tr>
      <w:tr>
        <w:trPr>
          <w:trHeight w:val="330"/>
        </w:trPr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81" w:type="dxa"/>
            <w:vAlign w:val="center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1"/>
                <w:szCs w:val="22"/>
              </w:rPr>
            </w:pPr>
            <w:r>
              <w:rPr>
                <w:rFonts w:ascii="仿宋_GB2312" w:eastAsia="仿宋_GB2312" w:cs="Arial Unicode MS" w:hAnsi="仿宋" w:hint="eastAsia"/>
                <w:color w:val="000000"/>
                <w:sz w:val="21"/>
                <w:szCs w:val="22"/>
              </w:rPr>
              <w:t>一级资本充足率（</w:t>
            </w:r>
            <w:r>
              <w:rPr>
                <w:rFonts w:ascii="仿宋_GB2312" w:eastAsia="仿宋_GB2312" w:cs="Arial Unicode MS" w:hAnsi="仿宋"/>
                <w:color w:val="000000"/>
                <w:sz w:val="21"/>
                <w:szCs w:val="22"/>
              </w:rPr>
              <w:t>%）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 xml:space="preserve">12.45 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  <w:t>13.10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13.25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13.05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13.21</w:t>
            </w:r>
          </w:p>
        </w:tc>
      </w:tr>
      <w:tr>
        <w:trPr>
          <w:trHeight w:val="330"/>
        </w:trPr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81" w:type="dxa"/>
            <w:vAlign w:val="center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1"/>
                <w:szCs w:val="22"/>
              </w:rPr>
            </w:pPr>
            <w:r>
              <w:rPr>
                <w:rFonts w:ascii="仿宋_GB2312" w:eastAsia="仿宋_GB2312" w:cs="Arial Unicode MS" w:hAnsi="仿宋" w:hint="eastAsia"/>
                <w:color w:val="000000"/>
                <w:sz w:val="21"/>
                <w:szCs w:val="22"/>
              </w:rPr>
              <w:t>资本充足率（</w:t>
            </w:r>
            <w:r>
              <w:rPr>
                <w:rFonts w:ascii="仿宋_GB2312" w:eastAsia="仿宋_GB2312" w:cs="Arial Unicode MS" w:hAnsi="仿宋"/>
                <w:color w:val="000000"/>
                <w:sz w:val="21"/>
                <w:szCs w:val="22"/>
              </w:rPr>
              <w:t>%）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 xml:space="preserve">13.58 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  <w:t>14.28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14.41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14.22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14.41</w:t>
            </w:r>
          </w:p>
        </w:tc>
      </w:tr>
      <w:tr>
        <w:trPr>
          <w:trHeight w:val="395"/>
        </w:trPr>
        <w:tc>
          <w:tcPr>
            <w:tcW w:w="561" w:type="dxa"/>
            <w:shd w:val="clear" w:color="000000" w:fill="D9D9D9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b/>
                <w:bCs/>
                <w:sz w:val="22"/>
                <w:szCs w:val="22"/>
                <w:lang w:eastAsia="zh-CN"/>
              </w:rPr>
            </w:pPr>
          </w:p>
        </w:tc>
        <w:tc>
          <w:tcPr>
            <w:tcW w:w="7961" w:type="dxa"/>
            <w:gridSpan w:val="6"/>
            <w:shd w:val="clear" w:color="000000" w:fill="D9D9D9"/>
            <w:vAlign w:val="center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b/>
                <w:bCs/>
                <w:sz w:val="21"/>
                <w:szCs w:val="22"/>
                <w:lang w:eastAsia="zh-CN"/>
              </w:rPr>
              <w:t>附加的核心一级资本充足率缓冲要求</w:t>
            </w:r>
          </w:p>
        </w:tc>
      </w:tr>
      <w:tr>
        <w:trPr>
          <w:trHeight w:val="355"/>
        </w:trPr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  <w:t>8</w:t>
            </w:r>
          </w:p>
        </w:tc>
        <w:tc>
          <w:tcPr>
            <w:tcW w:w="1381" w:type="dxa"/>
            <w:vAlign w:val="center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1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color w:val="000000"/>
                <w:sz w:val="21"/>
                <w:szCs w:val="22"/>
                <w:lang w:eastAsia="zh-CN"/>
              </w:rPr>
              <w:t>储备资本要求</w:t>
            </w:r>
            <w:r>
              <w:rPr>
                <w:rFonts w:ascii="仿宋_GB2312" w:eastAsia="仿宋_GB2312" w:cs="Arial Unicode MS" w:hAnsi="仿宋"/>
                <w:color w:val="000000"/>
                <w:sz w:val="21"/>
                <w:szCs w:val="22"/>
                <w:lang w:eastAsia="zh-CN"/>
              </w:rPr>
              <w:t>（%）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2.5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2.5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2.5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2.5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2.5</w:t>
            </w:r>
          </w:p>
        </w:tc>
      </w:tr>
      <w:tr>
        <w:trPr>
          <w:trHeight w:val="330"/>
        </w:trPr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  <w:t>9</w:t>
            </w:r>
          </w:p>
        </w:tc>
        <w:tc>
          <w:tcPr>
            <w:tcW w:w="1381" w:type="dxa"/>
            <w:vAlign w:val="center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1"/>
                <w:szCs w:val="22"/>
              </w:rPr>
            </w:pPr>
            <w:r>
              <w:rPr>
                <w:rFonts w:ascii="仿宋_GB2312" w:eastAsia="仿宋_GB2312" w:cs="Arial Unicode MS" w:hAnsi="仿宋" w:hint="eastAsia"/>
                <w:color w:val="000000"/>
                <w:sz w:val="21"/>
                <w:szCs w:val="22"/>
              </w:rPr>
              <w:t>逆周期资本要求（</w:t>
            </w:r>
            <w:r>
              <w:rPr>
                <w:rFonts w:ascii="仿宋_GB2312" w:eastAsia="仿宋_GB2312" w:cs="Arial Unicode MS" w:hAnsi="仿宋"/>
                <w:color w:val="000000"/>
                <w:sz w:val="21"/>
                <w:szCs w:val="22"/>
              </w:rPr>
              <w:t>%）</w:t>
            </w:r>
          </w:p>
        </w:tc>
        <w:tc>
          <w:tcPr>
            <w:tcW w:w="1316" w:type="dxa"/>
            <w:tcBorders>
              <w:bottom w:val="single" w:sz="4" w:space="0" w:color="auto"/>
            </w:tcBorders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1316" w:type="dxa"/>
            <w:tcBorders>
              <w:bottom w:val="single" w:sz="4" w:space="0" w:color="auto"/>
            </w:tcBorders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1316" w:type="dxa"/>
            <w:tcBorders>
              <w:bottom w:val="single" w:sz="4" w:space="0" w:color="auto"/>
            </w:tcBorders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1316" w:type="dxa"/>
            <w:tcBorders>
              <w:bottom w:val="single" w:sz="4" w:space="0" w:color="auto"/>
            </w:tcBorders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1316" w:type="dxa"/>
            <w:tcBorders>
              <w:bottom w:val="single" w:sz="4" w:space="0" w:color="auto"/>
            </w:tcBorders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0</w:t>
            </w:r>
          </w:p>
        </w:tc>
      </w:tr>
      <w:tr>
        <w:trPr>
          <w:trHeight w:val="660"/>
        </w:trPr>
        <w:tc>
          <w:tcPr>
            <w:tcW w:w="561" w:type="dxa"/>
            <w:shd w:val="clear" w:color="auto" w:fill="auto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1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color w:val="000000"/>
                <w:sz w:val="21"/>
                <w:szCs w:val="22"/>
                <w:lang w:eastAsia="zh-CN"/>
              </w:rPr>
              <w:t>全球系统重要性银行或国内系统重要性银行附加资本要求（</w:t>
            </w:r>
            <w:r>
              <w:rPr>
                <w:rFonts w:ascii="仿宋_GB2312" w:eastAsia="仿宋_GB2312" w:cs="Arial Unicode MS" w:hAnsi="仿宋"/>
                <w:color w:val="000000"/>
                <w:sz w:val="21"/>
                <w:szCs w:val="22"/>
                <w:lang w:eastAsia="zh-CN"/>
              </w:rPr>
              <w:t>%）</w:t>
            </w:r>
          </w:p>
        </w:tc>
        <w:tc>
          <w:tcPr>
            <w:tcW w:w="1316" w:type="dxa"/>
            <w:shd w:val="clear" w:color="auto" w:fill="A6A6A6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</w:p>
        </w:tc>
        <w:tc>
          <w:tcPr>
            <w:tcW w:w="1316" w:type="dxa"/>
            <w:shd w:val="clear" w:color="auto" w:fill="A6A6A6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</w:p>
        </w:tc>
        <w:tc>
          <w:tcPr>
            <w:tcW w:w="1316" w:type="dxa"/>
            <w:shd w:val="clear" w:color="auto" w:fill="A6A6A6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</w:p>
        </w:tc>
        <w:tc>
          <w:tcPr>
            <w:tcW w:w="1316" w:type="dxa"/>
            <w:shd w:val="clear" w:color="auto" w:fill="A6A6A6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</w:p>
        </w:tc>
        <w:tc>
          <w:tcPr>
            <w:tcW w:w="1316" w:type="dxa"/>
            <w:shd w:val="clear" w:color="auto" w:fill="A6A6A6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</w:p>
        </w:tc>
      </w:tr>
      <w:tr>
        <w:trPr>
          <w:trHeight w:val="351"/>
        </w:trPr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81" w:type="dxa"/>
            <w:vAlign w:val="center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1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color w:val="000000"/>
                <w:sz w:val="21"/>
                <w:szCs w:val="22"/>
                <w:lang w:eastAsia="zh-CN"/>
              </w:rPr>
              <w:t>机构特定的资本要求（</w:t>
            </w:r>
            <w:r>
              <w:rPr>
                <w:rFonts w:ascii="仿宋_GB2312" w:eastAsia="仿宋_GB2312" w:cs="Arial Unicode MS" w:hAnsi="仿宋"/>
                <w:color w:val="000000"/>
                <w:sz w:val="21"/>
                <w:szCs w:val="22"/>
                <w:lang w:eastAsia="zh-CN"/>
              </w:rPr>
              <w:t>%）（8+9+10）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2.5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2.5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2.5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2.5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2.5</w:t>
            </w:r>
          </w:p>
        </w:tc>
      </w:tr>
      <w:tr>
        <w:trPr>
          <w:trHeight w:val="389"/>
        </w:trPr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381" w:type="dxa"/>
            <w:vAlign w:val="center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1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color w:val="000000"/>
                <w:sz w:val="21"/>
                <w:szCs w:val="22"/>
                <w:lang w:eastAsia="zh-CN"/>
              </w:rPr>
              <w:t>满足最低资本要求后的可用核心一级资本占风险加权资产的比例（</w:t>
            </w:r>
            <w:r>
              <w:rPr>
                <w:rFonts w:ascii="仿宋_GB2312" w:eastAsia="仿宋_GB2312" w:cs="Arial Unicode MS" w:hAnsi="仿宋"/>
                <w:color w:val="000000"/>
                <w:sz w:val="21"/>
                <w:szCs w:val="22"/>
                <w:lang w:eastAsia="zh-CN"/>
              </w:rPr>
              <w:t>%）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宋体" w:hAnsi="宋体" w:hint="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 xml:space="preserve">5.58 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  <w:t>6.28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6.41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6.22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6.41</w:t>
            </w:r>
          </w:p>
        </w:tc>
      </w:tr>
      <w:tr>
        <w:trPr>
          <w:trHeight w:val="263"/>
        </w:trPr>
        <w:tc>
          <w:tcPr>
            <w:tcW w:w="561" w:type="dxa"/>
            <w:shd w:val="clear" w:color="000000" w:fill="D9D9D9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b/>
                <w:bCs/>
                <w:sz w:val="22"/>
                <w:szCs w:val="22"/>
                <w:lang w:eastAsia="zh-CN"/>
              </w:rPr>
            </w:pPr>
          </w:p>
        </w:tc>
        <w:tc>
          <w:tcPr>
            <w:tcW w:w="7961" w:type="dxa"/>
            <w:gridSpan w:val="6"/>
            <w:shd w:val="clear" w:color="000000" w:fill="D9D9D9"/>
            <w:vAlign w:val="center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b/>
                <w:bCs/>
                <w:sz w:val="21"/>
                <w:szCs w:val="22"/>
                <w:lang w:eastAsia="zh-CN"/>
              </w:rPr>
              <w:t>杠杆率</w:t>
            </w:r>
          </w:p>
        </w:tc>
      </w:tr>
      <w:tr>
        <w:trPr>
          <w:trHeight w:val="330"/>
        </w:trPr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381" w:type="dxa"/>
            <w:vAlign w:val="center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1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color w:val="000000"/>
                <w:sz w:val="21"/>
                <w:szCs w:val="22"/>
                <w:lang w:eastAsia="zh-CN"/>
              </w:rPr>
              <w:t>调整后的表内外资产余额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987.98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  <w:t>933.39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913.93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925.17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899.35</w:t>
            </w:r>
          </w:p>
        </w:tc>
      </w:tr>
      <w:tr>
        <w:trPr>
          <w:trHeight w:val="330"/>
        </w:trPr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381" w:type="dxa"/>
            <w:vAlign w:val="center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1"/>
                <w:szCs w:val="22"/>
                <w:lang w:eastAsia="zh-CN"/>
              </w:rPr>
            </w:pPr>
            <w:r>
              <w:rPr>
                <w:rFonts w:ascii="仿宋_GB2312" w:eastAsia="仿宋_GB2312" w:cs="仿宋_GB2312" w:hAnsi="仿宋_GB2312" w:hint="eastAsia"/>
                <w:color w:val="000000"/>
                <w:sz w:val="21"/>
                <w:szCs w:val="22"/>
                <w:lang w:eastAsia="zh-CN"/>
              </w:rPr>
              <w:t>杠杆率</w:t>
            </w:r>
            <w:r>
              <w:rPr>
                <w:rFonts w:ascii="仿宋_GB2312" w:eastAsia="仿宋_GB2312" w:cs="Arial Unicode MS" w:hAnsi="仿宋" w:hint="eastAsia"/>
                <w:color w:val="000000"/>
                <w:sz w:val="21"/>
                <w:szCs w:val="22"/>
                <w:lang w:eastAsia="zh-CN"/>
              </w:rPr>
              <w:t>（</w:t>
            </w:r>
            <w:r>
              <w:rPr>
                <w:rFonts w:ascii="仿宋_GB2312" w:eastAsia="仿宋_GB2312" w:cs="Arial Unicode MS" w:hAnsi="仿宋"/>
                <w:color w:val="000000"/>
                <w:sz w:val="21"/>
                <w:szCs w:val="22"/>
                <w:lang w:eastAsia="zh-CN"/>
              </w:rPr>
              <w:t>%）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 xml:space="preserve">7.50 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  <w:t>7.75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7.8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7.53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7.59</w:t>
            </w:r>
          </w:p>
        </w:tc>
      </w:tr>
      <w:tr>
        <w:trPr>
          <w:trHeight w:val="330"/>
        </w:trPr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color w:val="000000"/>
                <w:sz w:val="22"/>
                <w:szCs w:val="22"/>
                <w:lang w:eastAsia="zh-CN"/>
              </w:rPr>
              <w:t>1</w:t>
            </w:r>
            <w:r>
              <w:rPr>
                <w:rFonts w:ascii="仿宋_GB2312" w:eastAsia="仿宋_GB2312" w:cs="Arial Unicode MS" w:hAnsi="仿宋"/>
                <w:color w:val="000000"/>
                <w:sz w:val="22"/>
                <w:szCs w:val="22"/>
                <w:lang w:eastAsia="zh-CN"/>
              </w:rPr>
              <w:t>4</w:t>
            </w:r>
            <w:r>
              <w:rPr>
                <w:rFonts w:ascii="仿宋_GB2312" w:eastAsia="仿宋_GB2312" w:cs="Arial Unicode MS" w:hAnsi="仿宋" w:hint="eastAsia"/>
                <w:color w:val="000000"/>
                <w:sz w:val="22"/>
                <w:szCs w:val="22"/>
                <w:lang w:eastAsia="zh-CN"/>
              </w:rPr>
              <w:t>a</w:t>
            </w:r>
          </w:p>
        </w:tc>
        <w:tc>
          <w:tcPr>
            <w:tcW w:w="1381" w:type="dxa"/>
            <w:vAlign w:val="center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1"/>
                <w:szCs w:val="22"/>
                <w:lang w:eastAsia="zh-CN"/>
              </w:rPr>
            </w:pPr>
            <w:r>
              <w:rPr>
                <w:rFonts w:ascii="仿宋_GB2312" w:eastAsia="仿宋_GB2312" w:cs="仿宋_GB2312" w:hAnsi="仿宋_GB2312" w:hint="eastAsia"/>
                <w:color w:val="000000"/>
                <w:sz w:val="21"/>
                <w:szCs w:val="22"/>
                <w:lang w:eastAsia="zh-CN"/>
              </w:rPr>
              <w:t>杠杆率a</w:t>
            </w:r>
            <w:r>
              <w:rPr>
                <w:rFonts w:ascii="仿宋_GB2312" w:eastAsia="仿宋_GB2312" w:cs="Arial Unicode MS" w:hAnsi="仿宋" w:hint="eastAsia"/>
                <w:color w:val="000000"/>
                <w:sz w:val="21"/>
                <w:szCs w:val="22"/>
                <w:lang w:eastAsia="zh-CN"/>
              </w:rPr>
              <w:t>（</w:t>
            </w:r>
            <w:r>
              <w:rPr>
                <w:rFonts w:ascii="仿宋_GB2312" w:eastAsia="仿宋_GB2312" w:cs="Arial Unicode MS" w:hAnsi="仿宋"/>
                <w:color w:val="000000"/>
                <w:sz w:val="21"/>
                <w:szCs w:val="22"/>
                <w:lang w:eastAsia="zh-CN"/>
              </w:rPr>
              <w:t>%）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 xml:space="preserve">7.50 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  <w:t>7.75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7.8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7.53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7.59</w:t>
            </w:r>
          </w:p>
        </w:tc>
      </w:tr>
      <w:tr>
        <w:trPr>
          <w:trHeight w:val="330"/>
        </w:trPr>
        <w:tc>
          <w:tcPr>
            <w:tcW w:w="561" w:type="dxa"/>
            <w:shd w:val="clear" w:color="000000" w:fill="D9D9D9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b/>
                <w:bCs/>
                <w:sz w:val="22"/>
                <w:szCs w:val="22"/>
                <w:lang w:eastAsia="zh-CN"/>
              </w:rPr>
            </w:pPr>
          </w:p>
        </w:tc>
        <w:tc>
          <w:tcPr>
            <w:tcW w:w="7961" w:type="dxa"/>
            <w:gridSpan w:val="6"/>
            <w:shd w:val="clear" w:color="000000" w:fill="D9D9D9"/>
            <w:vAlign w:val="center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b/>
                <w:bCs/>
                <w:sz w:val="21"/>
                <w:szCs w:val="22"/>
                <w:lang w:eastAsia="zh-CN"/>
              </w:rPr>
              <w:t>流动性覆盖率</w:t>
            </w:r>
          </w:p>
        </w:tc>
      </w:tr>
      <w:tr>
        <w:trPr>
          <w:trHeight w:val="330"/>
        </w:trPr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381" w:type="dxa"/>
            <w:vAlign w:val="center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1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color w:val="000000"/>
                <w:sz w:val="21"/>
                <w:szCs w:val="22"/>
                <w:lang w:eastAsia="zh-CN"/>
              </w:rPr>
              <w:t>合格优质流动性资产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不适用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不适用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不适用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不适用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不适用</w:t>
            </w:r>
          </w:p>
        </w:tc>
      </w:tr>
      <w:tr>
        <w:trPr>
          <w:trHeight w:val="330"/>
        </w:trPr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381" w:type="dxa"/>
            <w:vAlign w:val="center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1"/>
                <w:szCs w:val="22"/>
              </w:rPr>
            </w:pPr>
            <w:r>
              <w:rPr>
                <w:rFonts w:ascii="仿宋_GB2312" w:eastAsia="仿宋_GB2312" w:cs="Arial Unicode MS" w:hAnsi="仿宋" w:hint="eastAsia"/>
                <w:color w:val="000000"/>
                <w:sz w:val="21"/>
                <w:szCs w:val="22"/>
              </w:rPr>
              <w:t>现金净流出</w:t>
            </w:r>
            <w:r>
              <w:rPr>
                <w:rFonts w:ascii="仿宋_GB2312" w:eastAsia="仿宋_GB2312" w:cs="Arial Unicode MS" w:hAnsi="仿宋" w:hint="eastAsia"/>
                <w:color w:val="000000"/>
                <w:sz w:val="21"/>
                <w:szCs w:val="22"/>
                <w:lang w:eastAsia="zh-CN"/>
              </w:rPr>
              <w:t>量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不适用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不适用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不适用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不适用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不适用</w:t>
            </w:r>
          </w:p>
        </w:tc>
      </w:tr>
      <w:tr>
        <w:trPr>
          <w:trHeight w:val="330"/>
        </w:trPr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381" w:type="dxa"/>
            <w:vAlign w:val="center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1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color w:val="000000"/>
                <w:sz w:val="21"/>
                <w:szCs w:val="22"/>
                <w:lang w:eastAsia="zh-CN"/>
              </w:rPr>
              <w:t>流动性覆盖率（</w:t>
            </w:r>
            <w:r>
              <w:rPr>
                <w:rFonts w:ascii="仿宋_GB2312" w:eastAsia="仿宋_GB2312" w:cs="Arial Unicode MS" w:hAnsi="仿宋"/>
                <w:color w:val="000000"/>
                <w:sz w:val="21"/>
                <w:szCs w:val="22"/>
                <w:lang w:eastAsia="zh-CN"/>
              </w:rPr>
              <w:t>%）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不适用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不适用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不适用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不适用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不适用</w:t>
            </w:r>
          </w:p>
        </w:tc>
      </w:tr>
      <w:tr>
        <w:trPr>
          <w:trHeight w:val="330"/>
        </w:trPr>
        <w:tc>
          <w:tcPr>
            <w:tcW w:w="561" w:type="dxa"/>
            <w:shd w:val="clear" w:color="000000" w:fill="D9D9D9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b/>
                <w:bCs/>
                <w:sz w:val="22"/>
                <w:szCs w:val="22"/>
                <w:lang w:eastAsia="zh-CN"/>
              </w:rPr>
            </w:pPr>
          </w:p>
        </w:tc>
        <w:tc>
          <w:tcPr>
            <w:tcW w:w="7961" w:type="dxa"/>
            <w:gridSpan w:val="6"/>
            <w:shd w:val="clear" w:color="000000" w:fill="D9D9D9"/>
            <w:vAlign w:val="center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b/>
                <w:bCs/>
                <w:sz w:val="21"/>
                <w:szCs w:val="22"/>
                <w:lang w:eastAsia="zh-CN"/>
              </w:rPr>
              <w:t>净稳定资金比例</w:t>
            </w:r>
          </w:p>
        </w:tc>
      </w:tr>
      <w:tr>
        <w:trPr>
          <w:trHeight w:val="330"/>
        </w:trPr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381" w:type="dxa"/>
            <w:vAlign w:val="center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1"/>
                <w:szCs w:val="22"/>
              </w:rPr>
            </w:pPr>
            <w:r>
              <w:rPr>
                <w:rFonts w:ascii="仿宋_GB2312" w:eastAsia="仿宋_GB2312" w:cs="Arial Unicode MS" w:hAnsi="仿宋" w:hint="eastAsia"/>
                <w:color w:val="000000"/>
                <w:sz w:val="21"/>
                <w:szCs w:val="22"/>
              </w:rPr>
              <w:t>可用稳定资金</w:t>
            </w:r>
            <w:r>
              <w:rPr>
                <w:rFonts w:ascii="仿宋_GB2312" w:eastAsia="仿宋_GB2312" w:cs="Arial Unicode MS" w:hAnsi="仿宋" w:hint="eastAsia"/>
                <w:color w:val="000000"/>
                <w:sz w:val="21"/>
                <w:szCs w:val="22"/>
                <w:lang w:eastAsia="zh-CN"/>
              </w:rPr>
              <w:t>合计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不适用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不适用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不适用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不适用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不适用</w:t>
            </w:r>
          </w:p>
        </w:tc>
      </w:tr>
      <w:tr>
        <w:trPr>
          <w:trHeight w:val="330"/>
        </w:trPr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381" w:type="dxa"/>
            <w:vAlign w:val="center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1"/>
                <w:szCs w:val="22"/>
              </w:rPr>
            </w:pPr>
            <w:r>
              <w:rPr>
                <w:rFonts w:ascii="仿宋_GB2312" w:eastAsia="仿宋_GB2312" w:cs="Arial Unicode MS" w:hAnsi="仿宋" w:hint="eastAsia"/>
                <w:color w:val="000000"/>
                <w:sz w:val="21"/>
                <w:szCs w:val="22"/>
                <w:lang w:eastAsia="zh-CN"/>
              </w:rPr>
              <w:t>所需</w:t>
            </w:r>
            <w:r>
              <w:rPr>
                <w:rFonts w:ascii="仿宋_GB2312" w:eastAsia="仿宋_GB2312" w:cs="Arial Unicode MS" w:hAnsi="仿宋" w:hint="eastAsia"/>
                <w:color w:val="000000"/>
                <w:sz w:val="21"/>
                <w:szCs w:val="22"/>
              </w:rPr>
              <w:t>稳定资金</w:t>
            </w:r>
            <w:r>
              <w:rPr>
                <w:rFonts w:ascii="仿宋_GB2312" w:eastAsia="仿宋_GB2312" w:cs="Arial Unicode MS" w:hAnsi="仿宋" w:hint="eastAsia"/>
                <w:color w:val="000000"/>
                <w:sz w:val="21"/>
                <w:szCs w:val="22"/>
                <w:lang w:eastAsia="zh-CN"/>
              </w:rPr>
              <w:t>合计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不适用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不适用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不适用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不适用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不适用</w:t>
            </w:r>
          </w:p>
        </w:tc>
      </w:tr>
      <w:tr>
        <w:trPr>
          <w:trHeight w:val="330"/>
        </w:trPr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Arial Unicode MS" w:hAnsi="仿宋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381" w:type="dxa"/>
            <w:vAlign w:val="center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1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color w:val="000000"/>
                <w:sz w:val="21"/>
                <w:szCs w:val="22"/>
                <w:lang w:eastAsia="zh-CN"/>
              </w:rPr>
              <w:t>净稳定资金比例（</w:t>
            </w:r>
            <w:r>
              <w:rPr>
                <w:rFonts w:ascii="仿宋_GB2312" w:eastAsia="仿宋_GB2312" w:cs="Arial Unicode MS" w:hAnsi="仿宋"/>
                <w:color w:val="000000"/>
                <w:sz w:val="21"/>
                <w:szCs w:val="22"/>
                <w:lang w:eastAsia="zh-CN"/>
              </w:rPr>
              <w:t>%）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不适用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不适用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不适用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不适用</w:t>
            </w:r>
          </w:p>
        </w:tc>
        <w:tc>
          <w:tcPr>
            <w:tcW w:w="131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不适用</w:t>
            </w:r>
          </w:p>
        </w:tc>
      </w:tr>
      <w:tr>
        <w:trPr>
          <w:trHeight w:val="330"/>
        </w:trPr>
        <w:tc>
          <w:tcPr>
            <w:tcW w:w="561" w:type="dxa"/>
            <w:shd w:val="clear" w:color="auto" w:fill="D8D8D8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b/>
                <w:bCs/>
                <w:sz w:val="22"/>
                <w:szCs w:val="22"/>
                <w:lang w:eastAsia="zh-CN"/>
              </w:rPr>
            </w:pPr>
          </w:p>
        </w:tc>
        <w:tc>
          <w:tcPr>
            <w:tcW w:w="7961" w:type="dxa"/>
            <w:gridSpan w:val="6"/>
            <w:shd w:val="clear" w:color="auto" w:fill="D8D8D8"/>
            <w:vAlign w:val="center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b/>
                <w:bCs/>
                <w:sz w:val="21"/>
                <w:szCs w:val="22"/>
                <w:lang w:eastAsia="zh-CN"/>
              </w:rPr>
              <w:t>流动性比例</w:t>
            </w:r>
          </w:p>
        </w:tc>
      </w:tr>
      <w:tr>
        <w:trPr>
          <w:trHeight w:val="330"/>
        </w:trPr>
        <w:tc>
          <w:tcPr>
            <w:tcW w:w="561" w:type="dxa"/>
            <w:shd w:val="clear" w:color="auto" w:fill="FFFFFF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/>
                <w:color w:val="000000"/>
                <w:sz w:val="22"/>
                <w:szCs w:val="22"/>
                <w:lang w:eastAsia="zh-CN"/>
              </w:rPr>
              <w:t>21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snapToGrid w:val="0"/>
              <w:spacing w:line="480" w:lineRule="exact"/>
              <w:rPr>
                <w:rFonts w:ascii="仿宋_GB2312" w:eastAsia="仿宋_GB2312" w:cs="Arial Unicode MS" w:hAnsi="仿宋"/>
                <w:color w:val="000000"/>
                <w:sz w:val="21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color w:val="000000"/>
                <w:sz w:val="21"/>
                <w:szCs w:val="22"/>
                <w:lang w:eastAsia="zh-CN"/>
              </w:rPr>
              <w:t>流动性比例（</w:t>
            </w:r>
            <w:r>
              <w:rPr>
                <w:rFonts w:ascii="仿宋_GB2312" w:eastAsia="仿宋_GB2312" w:cs="Arial Unicode MS" w:hAnsi="仿宋"/>
                <w:color w:val="000000"/>
                <w:sz w:val="21"/>
                <w:szCs w:val="22"/>
                <w:lang w:eastAsia="zh-CN"/>
              </w:rPr>
              <w:t>%）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77.95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80.52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66.31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73.44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 w:cs="Arial Unicode MS" w:hAnsi="仿宋"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cs="Arial Unicode MS" w:hAnsi="仿宋" w:hint="eastAsia"/>
                <w:sz w:val="22"/>
                <w:szCs w:val="22"/>
                <w:lang w:eastAsia="zh-CN"/>
              </w:rPr>
              <w:t>74.23</w:t>
            </w:r>
          </w:p>
        </w:tc>
      </w:tr>
    </w:tbl>
    <w:p>
      <w:pPr>
        <w:snapToGrid w:val="0"/>
        <w:spacing w:line="480" w:lineRule="exact"/>
        <w:ind w:firstLineChars="200" w:firstLine="560"/>
        <w:rPr>
          <w:rFonts w:ascii="仿宋_GB2312" w:eastAsia="仿宋_GB2312" w:cs="仿宋_GB2312" w:hAnsi="仿宋_GB2312"/>
          <w:b/>
          <w:color w:val="000000"/>
          <w:sz w:val="28"/>
          <w:szCs w:val="28"/>
          <w:lang w:eastAsia="zh-CN"/>
        </w:rPr>
      </w:pPr>
    </w:p>
    <w:sectPr>
      <w:pgSz w:w="11906" w:h="16838"/>
      <w:pgMar w:top="1440" w:right="1800" w:bottom="1440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modern"/>
    <w:pitch w:val="variable"/>
    <w:sig w:usb0="00000001" w:usb1="080E0000" w:usb2="00000000" w:usb3="00000000" w:csb0="00040000" w:csb1="00000000"/>
  </w:font>
  <w:font w:name="Arial Unicode MS">
    <w:altName w:val="Batang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">
    <w:altName w:val="Lucida Sans Unicode"/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D8E2FF89"/>
    <w:multiLevelType w:val="singleLevel"/>
    <w:tmpl w:val="D8E2FF89"/>
    <w:lvl w:ilvl="0">
      <w:start w:val="1"/>
      <w:numFmt w:val="chineseCounting"/>
      <w:lvlRestart w:val="0"/>
      <w:suff w:val="nothing"/>
      <w:lvlText w:val="%1、"/>
      <w:lvlJc w:val="left"/>
      <w:pPr/>
      <w:rPr>
        <w:rFonts w:hint="eastAsia"/>
      </w:rPr>
    </w:lvl>
  </w:abstractNum>
  <w:abstractNum w:abstractNumId="1">
    <w:nsid w:val="E44C8C75"/>
    <w:multiLevelType w:val="singleLevel"/>
    <w:tmpl w:val="E44C8C75"/>
    <w:lvl w:ilvl="0">
      <w:start w:val="2"/>
      <w:numFmt w:val="chineseCounting"/>
      <w:lvlRestart w:val="0"/>
      <w:suff w:val="nothing"/>
      <w:lvlText w:val="%1、"/>
      <w:lvlJc w:val="left"/>
      <w:pPr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qFormat/>
    <w:rPr>
      <w:rFonts w:ascii="Times New Roman" w:eastAsia="宋体" w:cs="Times New Roman" w:hAnsi="Times New Roman"/>
      <w:sz w:val="24"/>
      <w:szCs w:val="24"/>
      <w:lang w:val="en-US" w:bidi="ar-SA"/>
    </w:rPr>
  </w:style>
  <w:style w:type="paragraph" w:styleId="1">
    <w:name w:val="heading 1"/>
    <w:qFormat/>
    <w:basedOn w:val="0"/>
    <w:next w:val="0"/>
    <w:link w:val="1Char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customStyle="1" w:styleId="1Char">
    <w:name w:val="heading 1 Char"/>
    <w:basedOn w:val="10"/>
    <w:link w:val="1"/>
    <w:rPr>
      <w:rFonts w:ascii="Times New Roman" w:eastAsia="宋体" w:cs="Times New Roman" w:hAnsi="Times New Roman"/>
      <w:b/>
      <w:bCs/>
      <w:kern w:val="44"/>
      <w:sz w:val="44"/>
      <w:szCs w:val="44"/>
      <w:lang w:val="en-US" w:bidi="ar-SA"/>
    </w:rPr>
  </w:style>
  <w:style w:type="paragraph" w:styleId="2">
    <w:name w:val="heading 2"/>
    <w:qFormat/>
    <w:basedOn w:val="0"/>
    <w:next w:val="0"/>
    <w:link w:val="2Char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character" w:customStyle="1" w:styleId="2Char">
    <w:name w:val="heading 2 Char"/>
    <w:basedOn w:val="10"/>
    <w:link w:val="2"/>
    <w:rPr>
      <w:rFonts w:ascii="Times New Roman" w:eastAsia="黑体" w:cs="Times New Roman" w:hAnsi="Times New Roman"/>
      <w:b/>
      <w:bCs/>
      <w:sz w:val="32"/>
      <w:szCs w:val="32"/>
      <w:lang w:val="en-US" w:bidi="ar-SA"/>
    </w:rPr>
  </w:style>
  <w:style w:type="paragraph" w:styleId="3">
    <w:name w:val="heading 3"/>
    <w:qFormat/>
    <w:basedOn w:val="0"/>
    <w:next w:val="0"/>
    <w:link w:val="3Char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customStyle="1" w:styleId="3Char">
    <w:name w:val="heading 3 Char"/>
    <w:basedOn w:val="10"/>
    <w:link w:val="3"/>
    <w:rPr>
      <w:rFonts w:ascii="Times New Roman" w:eastAsia="宋体" w:cs="Times New Roman" w:hAnsi="Times New Roman"/>
      <w:b/>
      <w:bCs/>
      <w:sz w:val="32"/>
      <w:szCs w:val="32"/>
      <w:lang w:val="en-US" w:bidi="ar-SA"/>
    </w:rPr>
  </w:style>
  <w:style w:type="character" w:default="1" w:styleId="10">
    <w:name w:val="Default Paragraph Font"/>
    <w:qFormat/>
  </w:style>
  <w:style w:type="paragraph" w:styleId="15">
    <w:name w:val="footer"/>
    <w:qFormat/>
    <w:basedOn w:val="0"/>
    <w:pPr>
      <w:widowControl w:val="0"/>
      <w:tabs>
        <w:tab w:val="center" w:pos="4153"/>
        <w:tab w:val="right" w:pos="8306"/>
      </w:tabs>
      <w:snapToGrid w:val="0"/>
    </w:pPr>
    <w:rPr>
      <w:rFonts w:ascii="Calibri" w:eastAsia="宋体" w:cs="Arial" w:hAnsi="Calibri"/>
      <w:kern w:val="2"/>
      <w:sz w:val="18"/>
      <w:szCs w:val="18"/>
      <w:lang w:eastAsia="zh-CN"/>
    </w:rPr>
  </w:style>
  <w:style w:type="paragraph" w:styleId="16">
    <w:name w:val="header"/>
    <w:qFormat/>
    <w:basedOn w:val="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cs="Arial" w:hAnsi="Calibri"/>
      <w:kern w:val="2"/>
      <w:sz w:val="18"/>
      <w:szCs w:val="18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customXml" Target="../customXml/item1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1"/>
        </a:gradFill>
      </a:fillStyleLst>
      <a:lnStyleLst>
        <a:ln w="9525" cmpd="sng" cap="flat">
          <a:solidFill>
            <a:schemeClr val="phClr">
              <a:shade val="95000"/>
              <a:satMod val="105000"/>
            </a:schemeClr>
          </a:solidFill>
          <a:prstDash val="solid"/>
          <a:round/>
        </a:ln>
        <a:ln w="25400" cmpd="sng" cap="flat">
          <a:solidFill>
            <a:schemeClr val="phClr"/>
          </a:solidFill>
          <a:prstDash val="solid"/>
          <a:round/>
        </a:ln>
        <a:ln w="38100" cmpd="sng" cap="flat">
          <a:solidFill>
            <a:schemeClr val="phClr"/>
          </a:solidFill>
          <a:prstDash val="solid"/>
          <a:round/>
        </a:ln>
      </a:lnStyleLst>
      <a:effectStyleLst>
        <a:effectStyle>
          <a:effectLst>
            <a:outerShdw sx="100000" sy="100000" algn="b" rotWithShape="0" blurRad="40000" dist="20000" dir="5400000">
              <a:srgbClr val="000000">
                <a:alpha val="37647"/>
              </a:srgbClr>
            </a:outerShdw>
          </a:effectLst>
        </a:effectStyle>
        <a:effectStyle>
          <a:effectLst>
            <a:outerShdw sx="100000" sy="100000" algn="b" rotWithShape="0" blurRad="40000" dist="23000" dir="5400000">
              <a:srgbClr val="000000">
                <a:alpha val="34509"/>
              </a:srgbClr>
            </a:outerShdw>
          </a:effectLst>
        </a:effectStyle>
        <a:effectStyle>
          <a:effectLst>
            <a:outerShdw sx="100000" sy="100000" algn="b" rotWithShape="0" blurRad="40000" dist="23000" dir="5400000">
              <a:srgbClr val="000000">
                <a:alpha val="34509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50000" r="50000" b="5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26650 1 1 1 1 1"/>
    <sectPr/>
  </customProps>
</customData>
</file>

<file path=customXml/itemProps1.xml><?xml version="1.0" encoding="utf-8"?>
<ds:datastoreItem xmlns:ds="http://schemas.openxmlformats.org/officeDocument/2006/customXml" ds:itemID="{ECD6BF4F-2D20-490E-AA95-D2580A9D5AF1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346</TotalTime>
  <Application>Yozo_OfficeDCS3.0.1.0923.101ZH</Application>
  <Pages>1</Pages>
  <Words>0</Words>
  <Characters>1031</Characters>
  <Lines>0</Lines>
  <Paragraphs>14</Paragraphs>
  <CharactersWithSpaces>1375</CharactersWithSpaces>
  <Company>Lenovo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钱嘉诚</dc:creator>
  <cp:lastModifiedBy>yozo</cp:lastModifiedBy>
  <cp:revision>39</cp:revision>
  <dcterms:created xsi:type="dcterms:W3CDTF">2024-04-15T02:55:00Z</dcterms:created>
  <dcterms:modified xsi:type="dcterms:W3CDTF">2026-04-27T03:22:37Z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2052-11.8.2.11813</vt:lpwstr>
  </property>
  <property fmtid="{D5CDD505-2E9C-101B-9397-08002B2CF9AE}" pid="3" name="ICV">
    <vt:lpwstr>E66E302DE5264359A3114E9FD6056549</vt:lpwstr>
  </property>
</Properties>
</file>