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DC4" w:rsidRDefault="00F86856">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FC6DC4" w:rsidRDefault="00FC6DC4">
      <w:pPr>
        <w:adjustRightInd w:val="0"/>
        <w:spacing w:line="360" w:lineRule="auto"/>
        <w:jc w:val="center"/>
        <w:rPr>
          <w:rStyle w:val="af"/>
          <w:rFonts w:ascii="宋体" w:hAnsi="宋体"/>
          <w:sz w:val="32"/>
          <w:szCs w:val="32"/>
        </w:rPr>
      </w:pPr>
    </w:p>
    <w:p w:rsidR="00FC6DC4" w:rsidRDefault="00FC6DC4">
      <w:pPr>
        <w:adjustRightInd w:val="0"/>
        <w:spacing w:line="360" w:lineRule="auto"/>
        <w:jc w:val="center"/>
        <w:rPr>
          <w:rStyle w:val="af"/>
          <w:rFonts w:ascii="宋体" w:hAnsi="宋体"/>
          <w:sz w:val="32"/>
          <w:szCs w:val="32"/>
        </w:rPr>
      </w:pPr>
    </w:p>
    <w:p w:rsidR="00FC6DC4" w:rsidRDefault="00F86856">
      <w:pPr>
        <w:adjustRightInd w:val="0"/>
        <w:spacing w:line="360" w:lineRule="auto"/>
        <w:jc w:val="center"/>
        <w:rPr>
          <w:rStyle w:val="af"/>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C6DC4" w:rsidRDefault="00FC6DC4">
      <w:pPr>
        <w:adjustRightInd w:val="0"/>
        <w:spacing w:line="360" w:lineRule="auto"/>
        <w:jc w:val="center"/>
        <w:rPr>
          <w:rStyle w:val="af"/>
          <w:rFonts w:ascii="宋体" w:hAnsi="宋体"/>
          <w:sz w:val="32"/>
          <w:szCs w:val="32"/>
        </w:rPr>
      </w:pPr>
    </w:p>
    <w:p w:rsidR="00FC6DC4" w:rsidRDefault="00F86856">
      <w:pPr>
        <w:adjustRightInd w:val="0"/>
        <w:spacing w:line="360" w:lineRule="auto"/>
        <w:jc w:val="center"/>
        <w:rPr>
          <w:rStyle w:val="af"/>
          <w:rFonts w:ascii="黑体" w:eastAsia="黑体" w:hAnsi="黑体"/>
          <w:sz w:val="44"/>
          <w:szCs w:val="44"/>
        </w:rPr>
      </w:pPr>
      <w:r>
        <w:rPr>
          <w:rFonts w:ascii="黑体" w:eastAsia="黑体" w:hAnsi="黑体" w:hint="eastAsia"/>
          <w:b/>
          <w:sz w:val="44"/>
          <w:szCs w:val="44"/>
        </w:rPr>
        <w:t>兴银理财天天万利宝稳利净值型理财产品</w:t>
      </w:r>
      <w:r>
        <w:rPr>
          <w:rStyle w:val="af"/>
          <w:rFonts w:ascii="黑体" w:eastAsia="黑体" w:hAnsi="黑体" w:hint="eastAsia"/>
          <w:sz w:val="44"/>
          <w:szCs w:val="44"/>
        </w:rPr>
        <w:t>产品说明书</w:t>
      </w:r>
    </w:p>
    <w:p w:rsidR="00FC6DC4" w:rsidRDefault="00FC6DC4">
      <w:pPr>
        <w:adjustRightInd w:val="0"/>
        <w:spacing w:line="360" w:lineRule="auto"/>
        <w:jc w:val="center"/>
        <w:rPr>
          <w:rStyle w:val="af"/>
          <w:rFonts w:ascii="宋体" w:hAnsi="宋体"/>
          <w:sz w:val="32"/>
          <w:szCs w:val="32"/>
        </w:rPr>
      </w:pPr>
    </w:p>
    <w:p w:rsidR="00FC6DC4" w:rsidRDefault="00FC6DC4">
      <w:pPr>
        <w:adjustRightInd w:val="0"/>
        <w:spacing w:line="360" w:lineRule="auto"/>
        <w:rPr>
          <w:rStyle w:val="af"/>
          <w:rFonts w:ascii="黑体" w:eastAsia="黑体" w:hAnsi="黑体"/>
          <w:bCs w:val="0"/>
          <w:sz w:val="28"/>
          <w:szCs w:val="28"/>
        </w:rPr>
      </w:pPr>
    </w:p>
    <w:p w:rsidR="00FC6DC4" w:rsidRDefault="00FC6DC4">
      <w:pPr>
        <w:adjustRightInd w:val="0"/>
        <w:spacing w:line="360" w:lineRule="auto"/>
        <w:jc w:val="center"/>
        <w:rPr>
          <w:rStyle w:val="af"/>
          <w:rFonts w:ascii="黑体" w:eastAsia="黑体" w:hAnsi="黑体"/>
          <w:bCs w:val="0"/>
          <w:sz w:val="28"/>
          <w:szCs w:val="28"/>
        </w:rPr>
      </w:pPr>
    </w:p>
    <w:p w:rsidR="00FC6DC4" w:rsidRDefault="00FC6DC4">
      <w:pPr>
        <w:adjustRightInd w:val="0"/>
        <w:spacing w:line="360" w:lineRule="auto"/>
        <w:jc w:val="center"/>
        <w:rPr>
          <w:rStyle w:val="af"/>
          <w:rFonts w:ascii="黑体" w:eastAsia="黑体" w:hAnsi="黑体"/>
          <w:bCs w:val="0"/>
          <w:sz w:val="28"/>
          <w:szCs w:val="28"/>
        </w:rPr>
      </w:pPr>
    </w:p>
    <w:p w:rsidR="00FC6DC4" w:rsidRDefault="00F86856">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理财产品管理人：兴银理财有限责任公司</w:t>
      </w:r>
    </w:p>
    <w:p w:rsidR="00FC6DC4" w:rsidRDefault="00FC6DC4">
      <w:pPr>
        <w:adjustRightInd w:val="0"/>
        <w:spacing w:line="360" w:lineRule="auto"/>
        <w:jc w:val="center"/>
        <w:rPr>
          <w:rStyle w:val="af"/>
          <w:rFonts w:ascii="宋体" w:hAnsi="宋体"/>
          <w:sz w:val="32"/>
          <w:szCs w:val="32"/>
        </w:rPr>
      </w:pPr>
    </w:p>
    <w:p w:rsidR="00FC6DC4" w:rsidRDefault="00FC6DC4">
      <w:pPr>
        <w:adjustRightInd w:val="0"/>
        <w:spacing w:line="360" w:lineRule="auto"/>
        <w:jc w:val="center"/>
        <w:rPr>
          <w:rStyle w:val="af"/>
          <w:rFonts w:ascii="宋体" w:hAnsi="宋体"/>
          <w:sz w:val="32"/>
          <w:szCs w:val="32"/>
        </w:rPr>
      </w:pPr>
    </w:p>
    <w:p w:rsidR="00FC6DC4" w:rsidRDefault="00F86856">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日期</w:t>
      </w:r>
      <w:r>
        <w:rPr>
          <w:rStyle w:val="af"/>
          <w:rFonts w:ascii="宋体" w:hAnsi="宋体" w:cs="Times New Roman"/>
          <w:sz w:val="32"/>
          <w:szCs w:val="32"/>
        </w:rPr>
        <w:t>：</w:t>
      </w:r>
      <w:r>
        <w:rPr>
          <w:rStyle w:val="af"/>
          <w:rFonts w:ascii="宋体" w:hAnsi="宋体" w:cs="Times New Roman" w:hint="eastAsia"/>
          <w:sz w:val="32"/>
          <w:szCs w:val="32"/>
        </w:rPr>
        <w:t>【2022】年【</w:t>
      </w:r>
      <w:r w:rsidR="00B70789">
        <w:rPr>
          <w:rStyle w:val="af"/>
          <w:rFonts w:ascii="宋体" w:hAnsi="宋体" w:cs="Times New Roman"/>
          <w:sz w:val="32"/>
          <w:szCs w:val="32"/>
        </w:rPr>
        <w:t>7</w:t>
      </w:r>
      <w:r>
        <w:rPr>
          <w:rStyle w:val="af"/>
          <w:rFonts w:ascii="宋体" w:hAnsi="宋体" w:cs="Times New Roman" w:hint="eastAsia"/>
          <w:sz w:val="32"/>
          <w:szCs w:val="32"/>
        </w:rPr>
        <w:t>】月</w:t>
      </w:r>
    </w:p>
    <w:p w:rsidR="00FC6DC4" w:rsidRDefault="00FC6DC4">
      <w:pPr>
        <w:adjustRightInd w:val="0"/>
        <w:spacing w:line="360" w:lineRule="auto"/>
        <w:jc w:val="center"/>
        <w:rPr>
          <w:rStyle w:val="af"/>
          <w:rFonts w:ascii="宋体" w:hAnsi="宋体"/>
          <w:sz w:val="32"/>
          <w:szCs w:val="32"/>
        </w:rPr>
      </w:pPr>
    </w:p>
    <w:p w:rsidR="00FC6DC4" w:rsidRDefault="00FC6DC4">
      <w:pPr>
        <w:pStyle w:val="Default"/>
        <w:spacing w:line="360" w:lineRule="auto"/>
        <w:rPr>
          <w:rFonts w:hAnsi="宋体"/>
          <w:sz w:val="28"/>
          <w:szCs w:val="28"/>
        </w:rPr>
        <w:sectPr w:rsidR="00FC6DC4">
          <w:headerReference w:type="default" r:id="rId26"/>
          <w:footerReference w:type="default" r:id="rId27"/>
          <w:footerReference w:type="first" r:id="rId28"/>
          <w:pgSz w:w="11906" w:h="16838"/>
          <w:pgMar w:top="1276" w:right="1800" w:bottom="1418" w:left="1800" w:header="567" w:footer="850" w:gutter="0"/>
          <w:cols w:space="425"/>
          <w:titlePg/>
          <w:docGrid w:type="lines" w:linePitch="312"/>
        </w:sectPr>
      </w:pP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FC6DC4" w:rsidRDefault="00F86856">
          <w:pPr>
            <w:pStyle w:val="TOC2"/>
            <w:spacing w:line="360" w:lineRule="auto"/>
            <w:jc w:val="center"/>
          </w:pPr>
          <w:r>
            <w:rPr>
              <w:lang w:val="zh-CN"/>
            </w:rPr>
            <w:t>目录</w:t>
          </w:r>
        </w:p>
        <w:p w:rsidR="00FC6DC4" w:rsidRDefault="00F86856">
          <w:pPr>
            <w:pStyle w:val="10"/>
            <w:tabs>
              <w:tab w:val="right" w:leader="dot" w:pos="8306"/>
            </w:tabs>
          </w:pPr>
          <w:r>
            <w:fldChar w:fldCharType="begin"/>
          </w:r>
          <w:r>
            <w:instrText xml:space="preserve"> TOC \o "1-3" \h \z \u </w:instrText>
          </w:r>
          <w:r>
            <w:fldChar w:fldCharType="separate"/>
          </w:r>
          <w:hyperlink w:anchor="_Toc9482"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_Toc9482 \h </w:instrText>
            </w:r>
            <w:r>
              <w:fldChar w:fldCharType="separate"/>
            </w:r>
            <w:r>
              <w:t>1</w:t>
            </w:r>
            <w:r>
              <w:fldChar w:fldCharType="end"/>
            </w:r>
          </w:hyperlink>
        </w:p>
        <w:p w:rsidR="00FC6DC4" w:rsidRDefault="00750AF0">
          <w:pPr>
            <w:pStyle w:val="10"/>
            <w:tabs>
              <w:tab w:val="right" w:leader="dot" w:pos="8306"/>
            </w:tabs>
          </w:pPr>
          <w:hyperlink w:anchor="_Toc23998" w:history="1">
            <w:r w:rsidR="00F86856">
              <w:rPr>
                <w:rFonts w:hAnsi="宋体" w:hint="eastAsia"/>
                <w:szCs w:val="28"/>
              </w:rPr>
              <w:t>第二条</w:t>
            </w:r>
            <w:r w:rsidR="00F86856">
              <w:rPr>
                <w:rFonts w:hAnsi="宋体" w:hint="eastAsia"/>
                <w:szCs w:val="28"/>
              </w:rPr>
              <w:t xml:space="preserve">  </w:t>
            </w:r>
            <w:r w:rsidR="00F86856">
              <w:rPr>
                <w:rFonts w:hAnsi="宋体" w:hint="eastAsia"/>
                <w:szCs w:val="28"/>
              </w:rPr>
              <w:t>理财产品基本情况</w:t>
            </w:r>
            <w:r w:rsidR="00F86856">
              <w:tab/>
            </w:r>
            <w:r w:rsidR="00F86856">
              <w:fldChar w:fldCharType="begin"/>
            </w:r>
            <w:r w:rsidR="00F86856">
              <w:instrText xml:space="preserve"> PAGEREF _Toc23998 \h </w:instrText>
            </w:r>
            <w:r w:rsidR="00F86856">
              <w:fldChar w:fldCharType="separate"/>
            </w:r>
            <w:r w:rsidR="00F86856">
              <w:t>6</w:t>
            </w:r>
            <w:r w:rsidR="00F86856">
              <w:fldChar w:fldCharType="end"/>
            </w:r>
          </w:hyperlink>
        </w:p>
        <w:p w:rsidR="00FC6DC4" w:rsidRDefault="00750AF0">
          <w:pPr>
            <w:pStyle w:val="10"/>
            <w:tabs>
              <w:tab w:val="right" w:leader="dot" w:pos="8306"/>
            </w:tabs>
          </w:pPr>
          <w:hyperlink w:anchor="_Toc15862" w:history="1">
            <w:r w:rsidR="00F86856">
              <w:rPr>
                <w:rFonts w:ascii="Times New Roman"/>
              </w:rPr>
              <w:t>第</w:t>
            </w:r>
            <w:r w:rsidR="00F86856">
              <w:rPr>
                <w:rFonts w:ascii="Times New Roman" w:hint="eastAsia"/>
              </w:rPr>
              <w:t>三条</w:t>
            </w:r>
            <w:r w:rsidR="00F86856">
              <w:rPr>
                <w:rFonts w:ascii="Times New Roman"/>
              </w:rPr>
              <w:t xml:space="preserve">  </w:t>
            </w:r>
            <w:r w:rsidR="00F86856">
              <w:rPr>
                <w:rFonts w:ascii="Times New Roman" w:hint="eastAsia"/>
              </w:rPr>
              <w:t>理财产品的认购</w:t>
            </w:r>
            <w:r w:rsidR="00F86856">
              <w:tab/>
            </w:r>
            <w:r w:rsidR="00F86856">
              <w:fldChar w:fldCharType="begin"/>
            </w:r>
            <w:r w:rsidR="00F86856">
              <w:instrText xml:space="preserve"> PAGEREF _Toc15862 \h </w:instrText>
            </w:r>
            <w:r w:rsidR="00F86856">
              <w:fldChar w:fldCharType="separate"/>
            </w:r>
            <w:r w:rsidR="00F86856">
              <w:t>13</w:t>
            </w:r>
            <w:r w:rsidR="00F86856">
              <w:fldChar w:fldCharType="end"/>
            </w:r>
          </w:hyperlink>
        </w:p>
        <w:p w:rsidR="00FC6DC4" w:rsidRDefault="00750AF0">
          <w:pPr>
            <w:pStyle w:val="10"/>
            <w:tabs>
              <w:tab w:val="right" w:leader="dot" w:pos="8306"/>
            </w:tabs>
          </w:pPr>
          <w:hyperlink w:anchor="_Toc28040" w:history="1">
            <w:r w:rsidR="00F86856">
              <w:rPr>
                <w:rFonts w:ascii="Times New Roman" w:hint="eastAsia"/>
              </w:rPr>
              <w:t>第四条</w:t>
            </w:r>
            <w:r w:rsidR="00F86856">
              <w:rPr>
                <w:rFonts w:ascii="Times New Roman" w:hint="eastAsia"/>
              </w:rPr>
              <w:t xml:space="preserve"> </w:t>
            </w:r>
            <w:r w:rsidR="00F86856">
              <w:rPr>
                <w:rFonts w:ascii="Times New Roman"/>
              </w:rPr>
              <w:t xml:space="preserve"> </w:t>
            </w:r>
            <w:r w:rsidR="00F86856">
              <w:rPr>
                <w:rFonts w:ascii="Times New Roman" w:hint="eastAsia"/>
              </w:rPr>
              <w:t>理财产品的申购与赎回</w:t>
            </w:r>
            <w:r w:rsidR="00F86856">
              <w:tab/>
            </w:r>
            <w:r w:rsidR="00F86856">
              <w:fldChar w:fldCharType="begin"/>
            </w:r>
            <w:r w:rsidR="00F86856">
              <w:instrText xml:space="preserve"> PAGEREF _Toc28040 \h </w:instrText>
            </w:r>
            <w:r w:rsidR="00F86856">
              <w:fldChar w:fldCharType="separate"/>
            </w:r>
            <w:r w:rsidR="00F86856">
              <w:t>15</w:t>
            </w:r>
            <w:r w:rsidR="00F86856">
              <w:fldChar w:fldCharType="end"/>
            </w:r>
          </w:hyperlink>
        </w:p>
        <w:p w:rsidR="00FC6DC4" w:rsidRDefault="00750AF0">
          <w:pPr>
            <w:pStyle w:val="10"/>
            <w:tabs>
              <w:tab w:val="right" w:leader="dot" w:pos="8306"/>
            </w:tabs>
          </w:pPr>
          <w:hyperlink w:anchor="_Toc24722" w:history="1">
            <w:r w:rsidR="00F86856">
              <w:rPr>
                <w:rFonts w:ascii="Times New Roman"/>
              </w:rPr>
              <w:t>第</w:t>
            </w:r>
            <w:r w:rsidR="00F86856">
              <w:rPr>
                <w:rFonts w:ascii="Times New Roman" w:hint="eastAsia"/>
              </w:rPr>
              <w:t>五条</w:t>
            </w:r>
            <w:r w:rsidR="00F86856">
              <w:rPr>
                <w:rFonts w:ascii="Times New Roman"/>
              </w:rPr>
              <w:t xml:space="preserve">  </w:t>
            </w:r>
            <w:r w:rsidR="00F86856">
              <w:rPr>
                <w:rFonts w:ascii="Times New Roman" w:hint="eastAsia"/>
              </w:rPr>
              <w:t>理财产品的投资</w:t>
            </w:r>
            <w:r w:rsidR="00F86856">
              <w:tab/>
            </w:r>
            <w:r w:rsidR="00F86856">
              <w:fldChar w:fldCharType="begin"/>
            </w:r>
            <w:r w:rsidR="00F86856">
              <w:instrText xml:space="preserve"> PAGEREF _Toc24722 \h </w:instrText>
            </w:r>
            <w:r w:rsidR="00F86856">
              <w:fldChar w:fldCharType="separate"/>
            </w:r>
            <w:r w:rsidR="00F86856">
              <w:t>19</w:t>
            </w:r>
            <w:r w:rsidR="00F86856">
              <w:fldChar w:fldCharType="end"/>
            </w:r>
          </w:hyperlink>
        </w:p>
        <w:p w:rsidR="00FC6DC4" w:rsidRDefault="00750AF0">
          <w:pPr>
            <w:pStyle w:val="10"/>
            <w:tabs>
              <w:tab w:val="right" w:leader="dot" w:pos="8306"/>
            </w:tabs>
          </w:pPr>
          <w:hyperlink w:anchor="_Toc27357" w:history="1">
            <w:r w:rsidR="00F86856">
              <w:rPr>
                <w:rFonts w:ascii="Times New Roman"/>
              </w:rPr>
              <w:t>第</w:t>
            </w:r>
            <w:r w:rsidR="00F86856">
              <w:rPr>
                <w:rFonts w:ascii="Times New Roman" w:hint="eastAsia"/>
              </w:rPr>
              <w:t>六条</w:t>
            </w:r>
            <w:r w:rsidR="00F86856">
              <w:rPr>
                <w:rFonts w:ascii="Times New Roman"/>
              </w:rPr>
              <w:t xml:space="preserve">  </w:t>
            </w:r>
            <w:r w:rsidR="00F86856">
              <w:rPr>
                <w:rFonts w:ascii="Times New Roman" w:hint="eastAsia"/>
              </w:rPr>
              <w:t>理财产品的资产</w:t>
            </w:r>
            <w:r w:rsidR="00F86856">
              <w:tab/>
            </w:r>
            <w:r w:rsidR="00F86856">
              <w:fldChar w:fldCharType="begin"/>
            </w:r>
            <w:r w:rsidR="00F86856">
              <w:instrText xml:space="preserve"> PAGEREF _Toc27357 \h </w:instrText>
            </w:r>
            <w:r w:rsidR="00F86856">
              <w:fldChar w:fldCharType="separate"/>
            </w:r>
            <w:r w:rsidR="00F86856">
              <w:t>23</w:t>
            </w:r>
            <w:r w:rsidR="00F86856">
              <w:fldChar w:fldCharType="end"/>
            </w:r>
          </w:hyperlink>
        </w:p>
        <w:p w:rsidR="00FC6DC4" w:rsidRDefault="00750AF0">
          <w:pPr>
            <w:pStyle w:val="10"/>
            <w:tabs>
              <w:tab w:val="right" w:leader="dot" w:pos="8306"/>
            </w:tabs>
          </w:pPr>
          <w:hyperlink w:anchor="_Toc10162" w:history="1">
            <w:r w:rsidR="00F86856">
              <w:rPr>
                <w:rFonts w:ascii="Times New Roman" w:hint="eastAsia"/>
                <w:szCs w:val="28"/>
              </w:rPr>
              <w:t>第七条</w:t>
            </w:r>
            <w:r w:rsidR="00F86856">
              <w:rPr>
                <w:rFonts w:ascii="Times New Roman"/>
                <w:szCs w:val="28"/>
              </w:rPr>
              <w:t xml:space="preserve">  </w:t>
            </w:r>
            <w:r w:rsidR="00F86856">
              <w:rPr>
                <w:rFonts w:ascii="Times New Roman" w:hint="eastAsia"/>
                <w:szCs w:val="28"/>
              </w:rPr>
              <w:t>理财产品项下资产的估值</w:t>
            </w:r>
            <w:r w:rsidR="00F86856">
              <w:tab/>
            </w:r>
            <w:r w:rsidR="00F86856">
              <w:fldChar w:fldCharType="begin"/>
            </w:r>
            <w:r w:rsidR="00F86856">
              <w:instrText xml:space="preserve"> PAGEREF _Toc10162 \h </w:instrText>
            </w:r>
            <w:r w:rsidR="00F86856">
              <w:fldChar w:fldCharType="separate"/>
            </w:r>
            <w:r w:rsidR="00F86856">
              <w:t>24</w:t>
            </w:r>
            <w:r w:rsidR="00F86856">
              <w:fldChar w:fldCharType="end"/>
            </w:r>
          </w:hyperlink>
        </w:p>
        <w:p w:rsidR="00FC6DC4" w:rsidRDefault="00750AF0">
          <w:pPr>
            <w:pStyle w:val="10"/>
            <w:tabs>
              <w:tab w:val="right" w:leader="dot" w:pos="8306"/>
            </w:tabs>
          </w:pPr>
          <w:hyperlink w:anchor="_Toc3138" w:history="1">
            <w:r w:rsidR="00F86856">
              <w:rPr>
                <w:rFonts w:ascii="Times New Roman"/>
              </w:rPr>
              <w:t>第</w:t>
            </w:r>
            <w:r w:rsidR="00F86856">
              <w:rPr>
                <w:rFonts w:ascii="Times New Roman" w:hint="eastAsia"/>
              </w:rPr>
              <w:t>八条</w:t>
            </w:r>
            <w:r w:rsidR="00F86856">
              <w:rPr>
                <w:rFonts w:ascii="Times New Roman"/>
              </w:rPr>
              <w:t xml:space="preserve">  </w:t>
            </w:r>
            <w:r w:rsidR="00F86856">
              <w:rPr>
                <w:rFonts w:ascii="Times New Roman" w:hint="eastAsia"/>
              </w:rPr>
              <w:t>理财产品的利益分配</w:t>
            </w:r>
            <w:r w:rsidR="00F86856">
              <w:tab/>
            </w:r>
            <w:r w:rsidR="00F86856">
              <w:fldChar w:fldCharType="begin"/>
            </w:r>
            <w:r w:rsidR="00F86856">
              <w:instrText xml:space="preserve"> PAGEREF _Toc3138 \h </w:instrText>
            </w:r>
            <w:r w:rsidR="00F86856">
              <w:fldChar w:fldCharType="separate"/>
            </w:r>
            <w:r w:rsidR="00F86856">
              <w:t>28</w:t>
            </w:r>
            <w:r w:rsidR="00F86856">
              <w:fldChar w:fldCharType="end"/>
            </w:r>
          </w:hyperlink>
        </w:p>
        <w:p w:rsidR="00FC6DC4" w:rsidRDefault="00750AF0">
          <w:pPr>
            <w:pStyle w:val="10"/>
            <w:tabs>
              <w:tab w:val="right" w:leader="dot" w:pos="8306"/>
            </w:tabs>
          </w:pPr>
          <w:hyperlink w:anchor="_Toc17110" w:history="1">
            <w:r w:rsidR="00F86856">
              <w:rPr>
                <w:rFonts w:ascii="Times New Roman"/>
              </w:rPr>
              <w:t>第</w:t>
            </w:r>
            <w:r w:rsidR="00F86856">
              <w:rPr>
                <w:rFonts w:ascii="Times New Roman" w:hint="eastAsia"/>
              </w:rPr>
              <w:t>九条</w:t>
            </w:r>
            <w:r w:rsidR="00F86856">
              <w:rPr>
                <w:rFonts w:ascii="Times New Roman"/>
              </w:rPr>
              <w:t xml:space="preserve">  </w:t>
            </w:r>
            <w:r w:rsidR="00F86856">
              <w:rPr>
                <w:rFonts w:ascii="Times New Roman" w:hint="eastAsia"/>
              </w:rPr>
              <w:t>理财产品的费用与税收</w:t>
            </w:r>
            <w:r w:rsidR="00F86856">
              <w:tab/>
            </w:r>
            <w:r w:rsidR="00F86856">
              <w:fldChar w:fldCharType="begin"/>
            </w:r>
            <w:r w:rsidR="00F86856">
              <w:instrText xml:space="preserve"> PAGEREF _Toc17110 \h </w:instrText>
            </w:r>
            <w:r w:rsidR="00F86856">
              <w:fldChar w:fldCharType="separate"/>
            </w:r>
            <w:r w:rsidR="00F86856">
              <w:t>29</w:t>
            </w:r>
            <w:r w:rsidR="00F86856">
              <w:fldChar w:fldCharType="end"/>
            </w:r>
          </w:hyperlink>
        </w:p>
        <w:p w:rsidR="00FC6DC4" w:rsidRDefault="00750AF0">
          <w:pPr>
            <w:pStyle w:val="10"/>
            <w:tabs>
              <w:tab w:val="right" w:leader="dot" w:pos="8306"/>
            </w:tabs>
          </w:pPr>
          <w:hyperlink w:anchor="_Toc4606" w:history="1">
            <w:r w:rsidR="00F86856">
              <w:rPr>
                <w:rFonts w:hint="eastAsia"/>
              </w:rPr>
              <w:t>第十条</w:t>
            </w:r>
            <w:r w:rsidR="00F86856">
              <w:t xml:space="preserve">  </w:t>
            </w:r>
            <w:r w:rsidR="00F86856">
              <w:rPr>
                <w:rFonts w:hint="eastAsia"/>
              </w:rPr>
              <w:t>理财产品的终止与清算</w:t>
            </w:r>
            <w:r w:rsidR="00F86856">
              <w:tab/>
            </w:r>
            <w:r w:rsidR="00F86856">
              <w:fldChar w:fldCharType="begin"/>
            </w:r>
            <w:r w:rsidR="00F86856">
              <w:instrText xml:space="preserve"> PAGEREF _Toc4606 \h </w:instrText>
            </w:r>
            <w:r w:rsidR="00F86856">
              <w:fldChar w:fldCharType="separate"/>
            </w:r>
            <w:r w:rsidR="00F86856">
              <w:t>32</w:t>
            </w:r>
            <w:r w:rsidR="00F86856">
              <w:fldChar w:fldCharType="end"/>
            </w:r>
          </w:hyperlink>
        </w:p>
        <w:p w:rsidR="00FC6DC4" w:rsidRDefault="00750AF0">
          <w:pPr>
            <w:pStyle w:val="10"/>
            <w:tabs>
              <w:tab w:val="right" w:leader="dot" w:pos="8306"/>
            </w:tabs>
          </w:pPr>
          <w:hyperlink w:anchor="_Toc11469" w:history="1">
            <w:r w:rsidR="00F86856">
              <w:rPr>
                <w:rFonts w:ascii="Times New Roman" w:hint="eastAsia"/>
                <w:szCs w:val="28"/>
              </w:rPr>
              <w:t>第十一条</w:t>
            </w:r>
            <w:r w:rsidR="00F86856">
              <w:rPr>
                <w:rFonts w:ascii="Times New Roman"/>
                <w:szCs w:val="28"/>
              </w:rPr>
              <w:t xml:space="preserve">  </w:t>
            </w:r>
            <w:r w:rsidR="00F86856">
              <w:rPr>
                <w:rFonts w:ascii="Times New Roman" w:hint="eastAsia"/>
                <w:szCs w:val="28"/>
              </w:rPr>
              <w:t>理财产品的信息披露</w:t>
            </w:r>
            <w:r w:rsidR="00F86856">
              <w:tab/>
            </w:r>
            <w:r w:rsidR="00F86856">
              <w:fldChar w:fldCharType="begin"/>
            </w:r>
            <w:r w:rsidR="00F86856">
              <w:instrText xml:space="preserve"> PAGEREF _Toc11469 \h </w:instrText>
            </w:r>
            <w:r w:rsidR="00F86856">
              <w:fldChar w:fldCharType="separate"/>
            </w:r>
            <w:r w:rsidR="00F86856">
              <w:t>34</w:t>
            </w:r>
            <w:r w:rsidR="00F86856">
              <w:fldChar w:fldCharType="end"/>
            </w:r>
          </w:hyperlink>
        </w:p>
        <w:p w:rsidR="00FC6DC4" w:rsidRDefault="00750AF0">
          <w:pPr>
            <w:pStyle w:val="10"/>
            <w:tabs>
              <w:tab w:val="right" w:leader="dot" w:pos="8306"/>
            </w:tabs>
          </w:pPr>
          <w:hyperlink w:anchor="_Toc24766" w:history="1">
            <w:r w:rsidR="00F86856">
              <w:rPr>
                <w:rFonts w:ascii="Times New Roman" w:hint="eastAsia"/>
              </w:rPr>
              <w:t>第十二条</w:t>
            </w:r>
            <w:r w:rsidR="00F86856">
              <w:rPr>
                <w:rFonts w:ascii="Times New Roman"/>
              </w:rPr>
              <w:t xml:space="preserve">  </w:t>
            </w:r>
            <w:r w:rsidR="00F86856">
              <w:rPr>
                <w:rFonts w:ascii="Times New Roman" w:hint="eastAsia"/>
              </w:rPr>
              <w:t>理财产品</w:t>
            </w:r>
            <w:r w:rsidR="00F86856">
              <w:rPr>
                <w:rFonts w:ascii="Times New Roman"/>
              </w:rPr>
              <w:t>的风险揭示</w:t>
            </w:r>
            <w:r w:rsidR="00F86856">
              <w:tab/>
            </w:r>
            <w:r w:rsidR="00F86856">
              <w:fldChar w:fldCharType="begin"/>
            </w:r>
            <w:r w:rsidR="00F86856">
              <w:instrText xml:space="preserve"> PAGEREF _Toc24766 \h </w:instrText>
            </w:r>
            <w:r w:rsidR="00F86856">
              <w:fldChar w:fldCharType="separate"/>
            </w:r>
            <w:r w:rsidR="00F86856">
              <w:t>37</w:t>
            </w:r>
            <w:r w:rsidR="00F86856">
              <w:fldChar w:fldCharType="end"/>
            </w:r>
          </w:hyperlink>
        </w:p>
        <w:p w:rsidR="00FC6DC4" w:rsidRDefault="00F86856">
          <w:pPr>
            <w:spacing w:line="360" w:lineRule="auto"/>
          </w:pPr>
          <w:r>
            <w:fldChar w:fldCharType="end"/>
          </w:r>
        </w:p>
      </w:sdtContent>
    </w:sdt>
    <w:p w:rsidR="00FC6DC4" w:rsidRDefault="00FC6DC4">
      <w:pPr>
        <w:widowControl/>
        <w:spacing w:line="360" w:lineRule="auto"/>
        <w:jc w:val="left"/>
        <w:rPr>
          <w:rFonts w:ascii="Times New Roman"/>
          <w:sz w:val="30"/>
        </w:rPr>
      </w:pPr>
    </w:p>
    <w:p w:rsidR="00FC6DC4" w:rsidRDefault="00FC6DC4">
      <w:pPr>
        <w:widowControl/>
        <w:spacing w:line="360" w:lineRule="auto"/>
        <w:jc w:val="left"/>
        <w:rPr>
          <w:rFonts w:ascii="Times New Roman"/>
          <w:sz w:val="30"/>
        </w:rPr>
        <w:sectPr w:rsidR="00FC6DC4">
          <w:footerReference w:type="default" r:id="rId29"/>
          <w:pgSz w:w="11906" w:h="16838"/>
          <w:pgMar w:top="1276" w:right="1800" w:bottom="1418" w:left="1800" w:header="567" w:footer="850" w:gutter="0"/>
          <w:cols w:space="425"/>
          <w:docGrid w:type="lines" w:linePitch="312"/>
        </w:sectPr>
      </w:pPr>
    </w:p>
    <w:p w:rsidR="00FC6DC4" w:rsidRDefault="00F86856">
      <w:pPr>
        <w:pStyle w:val="1"/>
        <w:spacing w:before="0" w:after="0" w:line="360" w:lineRule="auto"/>
        <w:jc w:val="center"/>
        <w:rPr>
          <w:rFonts w:ascii="Times New Roman"/>
          <w:sz w:val="30"/>
        </w:rPr>
      </w:pPr>
      <w:bookmarkStart w:id="1" w:name="_Toc92377130"/>
      <w:bookmarkStart w:id="2" w:name="_Toc9482"/>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bookmarkEnd w:id="2"/>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FC6DC4" w:rsidRDefault="00F86856">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《投资协议书》：指管理人统一编制的《兴银理财天天万利宝稳利净值型理财产品投资协议书》，以及对该文件的有效修改或补充。</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）《产品说明书》：指管理人统一编制的《兴银理财天天万利宝稳利净值型理财产品产品说明书》，以及对该文件的有效修改或补充。</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（4）《（代理）销售协议书》：指管理人统一编制的《【兴银理财天天万利宝稳利净值型理财产品（代理）销售协议书》或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的《兴银理财天天万利宝稳利净值型理财产品（代理）销售协议书》（文件名称以代理销售机构实际编制为准），以及对该文件的有效修改或补充。</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）《风险揭示书》：指管理人统一编制的《兴银理财天天万利宝稳利净值型理财产品风险揭示书》或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的《兴银理财天天万利宝稳利净值型理财产品风险揭示书》（文件名称以代理销售机构实际编制为准），以及对该文件的有效修改或补充。</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）《投资者权益须知》：指管理人统一编制的《兴银理财天天万利宝稳利净值型理财产品投资者权益须知》或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《兴银理财天天万利宝稳利净值型理财产品投资者权益须知》（文件名称以代理销售机构实际编制为准），以及对该文件的有效修改或补充。</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FC6DC4" w:rsidRDefault="00F86856">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FC6DC4" w:rsidRDefault="00F86856">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业绩报酬计提基准不代表理财产品未来表现，不等于理财产品实际收益，不作为产品收益的业绩保证，投资须谨慎。</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14）利益分配：指产品管理人向投资者进行理财产品利益分配。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15）期间分配：指在理财产品终止日（不含当日）前的理财产品利益分配。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16）终止分配：指在理财产品终止日当日及之后的理财产品利益分配。</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指理财产品成立后，投资者申请购买理财产品份额的行为。</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指理财产品成立后，投资者申请赎回理财产品份额的行为，即投资者申请将理财产品份</w:t>
      </w:r>
      <w:r>
        <w:rPr>
          <w:rFonts w:asciiTheme="minorEastAsia" w:eastAsiaTheme="minorEastAsia" w:hAnsiTheme="minorEastAsia" w:hint="eastAsia"/>
          <w:color w:val="auto"/>
          <w:sz w:val="18"/>
          <w:szCs w:val="18"/>
        </w:rPr>
        <w:lastRenderedPageBreak/>
        <w:t>额兑换为现金。</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20</w:t>
      </w:r>
      <w:r>
        <w:rPr>
          <w:rFonts w:asciiTheme="minorEastAsia" w:eastAsiaTheme="minorEastAsia" w:hAnsiTheme="minorEastAsia" w:hint="eastAsia"/>
          <w:color w:val="auto"/>
          <w:sz w:val="18"/>
          <w:szCs w:val="18"/>
        </w:rPr>
        <w:t>）</w:t>
      </w:r>
      <w:r>
        <w:rPr>
          <w:rFonts w:ascii="黑体" w:eastAsia="黑体" w:hAnsi="黑体" w:cs="仿宋_GB2312" w:hint="eastAsia"/>
          <w:bCs/>
          <w:color w:val="auto"/>
          <w:sz w:val="18"/>
          <w:szCs w:val="18"/>
        </w:rPr>
        <w:t>★</w:t>
      </w:r>
      <w:r>
        <w:rPr>
          <w:rFonts w:asciiTheme="minorEastAsia" w:eastAsiaTheme="minorEastAsia" w:hAnsiTheme="minorEastAsia" w:hint="eastAsia"/>
          <w:color w:val="auto"/>
          <w:sz w:val="18"/>
          <w:szCs w:val="18"/>
        </w:rPr>
        <w:t>预约申购</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指投资者在一段特定期间内通过预约的方式提交申购申请，该申请在申购日内自动转化为正式的申购申请。</w:t>
      </w:r>
      <w:r>
        <w:rPr>
          <w:rFonts w:asciiTheme="minorEastAsia" w:eastAsiaTheme="minorEastAsia" w:hAnsiTheme="minorEastAsia"/>
          <w:bCs/>
          <w:color w:val="auto"/>
          <w:sz w:val="18"/>
          <w:szCs w:val="18"/>
        </w:rPr>
        <w:t>提交预约申购</w:t>
      </w:r>
      <w:r>
        <w:rPr>
          <w:rFonts w:asciiTheme="minorEastAsia" w:eastAsiaTheme="minorEastAsia" w:hAnsiTheme="minorEastAsia" w:hint="eastAsia"/>
          <w:bCs/>
          <w:color w:val="auto"/>
          <w:sz w:val="18"/>
          <w:szCs w:val="18"/>
        </w:rPr>
        <w:t>申请</w:t>
      </w:r>
      <w:r>
        <w:rPr>
          <w:rFonts w:asciiTheme="minorEastAsia" w:eastAsiaTheme="minorEastAsia" w:hAnsiTheme="minorEastAsia"/>
          <w:bCs/>
          <w:color w:val="auto"/>
          <w:sz w:val="18"/>
          <w:szCs w:val="18"/>
        </w:rPr>
        <w:t>并不代表申购成功，产品管理人将在申购确认日确认投资者是否申购成功</w:t>
      </w:r>
      <w:r>
        <w:rPr>
          <w:rFonts w:asciiTheme="minorEastAsia" w:eastAsiaTheme="minorEastAsia" w:hAnsiTheme="minorEastAsia" w:hint="eastAsia"/>
          <w:bCs/>
          <w:color w:val="auto"/>
          <w:sz w:val="18"/>
          <w:szCs w:val="18"/>
        </w:rPr>
        <w:t>。</w:t>
      </w:r>
    </w:p>
    <w:p w:rsidR="00FC6DC4" w:rsidRDefault="00F86856">
      <w:pPr>
        <w:spacing w:line="360" w:lineRule="auto"/>
        <w:ind w:rightChars="-51" w:right="-107"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21</w:t>
      </w:r>
      <w:r>
        <w:rPr>
          <w:rFonts w:asciiTheme="minorEastAsia" w:eastAsiaTheme="minorEastAsia" w:hAnsiTheme="minorEastAsia" w:hint="eastAsia"/>
          <w:sz w:val="18"/>
          <w:szCs w:val="18"/>
        </w:rPr>
        <w:t>）</w:t>
      </w:r>
      <w:r>
        <w:rPr>
          <w:rFonts w:ascii="黑体" w:eastAsia="黑体" w:hAnsi="黑体" w:cs="仿宋_GB2312" w:hint="eastAsia"/>
          <w:bCs/>
          <w:sz w:val="18"/>
          <w:szCs w:val="18"/>
        </w:rPr>
        <w:t>★</w:t>
      </w:r>
      <w:r>
        <w:rPr>
          <w:rFonts w:asciiTheme="minorEastAsia" w:eastAsiaTheme="minorEastAsia" w:hAnsiTheme="minorEastAsia" w:hint="eastAsia"/>
          <w:sz w:val="18"/>
          <w:szCs w:val="18"/>
        </w:rPr>
        <w:t>预约赎回</w:t>
      </w:r>
      <w:r>
        <w:rPr>
          <w:rFonts w:asciiTheme="minorEastAsia" w:eastAsiaTheme="minorEastAsia" w:hAnsiTheme="minorEastAsia"/>
          <w:sz w:val="18"/>
          <w:szCs w:val="18"/>
        </w:rPr>
        <w:t>:</w:t>
      </w:r>
      <w:r>
        <w:rPr>
          <w:rFonts w:asciiTheme="minorEastAsia" w:eastAsiaTheme="minorEastAsia" w:hAnsiTheme="minorEastAsia" w:hint="eastAsia"/>
          <w:sz w:val="18"/>
          <w:szCs w:val="18"/>
        </w:rPr>
        <w:t>指投资者在一段特定期间内通过预约的方式提交赎回申请，该申请在赎回日内自动转化为正式的赎回申请。</w:t>
      </w:r>
      <w:r>
        <w:rPr>
          <w:rFonts w:asciiTheme="majorEastAsia" w:eastAsiaTheme="majorEastAsia" w:hAnsiTheme="majorEastAsia"/>
          <w:bCs/>
          <w:sz w:val="18"/>
          <w:szCs w:val="18"/>
        </w:rPr>
        <w:t>提交预约赎回</w:t>
      </w:r>
      <w:r>
        <w:rPr>
          <w:rFonts w:asciiTheme="majorEastAsia" w:eastAsiaTheme="majorEastAsia" w:hAnsiTheme="majorEastAsia" w:hint="eastAsia"/>
          <w:bCs/>
          <w:sz w:val="18"/>
          <w:szCs w:val="18"/>
        </w:rPr>
        <w:t>申请</w:t>
      </w:r>
      <w:r>
        <w:rPr>
          <w:rFonts w:asciiTheme="majorEastAsia" w:eastAsiaTheme="majorEastAsia" w:hAnsiTheme="majorEastAsia"/>
          <w:bCs/>
          <w:sz w:val="18"/>
          <w:szCs w:val="18"/>
        </w:rPr>
        <w:t>并不代表赎回成功，产品管理人将在赎回确认日确认投资者是否赎回成功</w:t>
      </w:r>
      <w:r>
        <w:rPr>
          <w:rFonts w:asciiTheme="majorEastAsia" w:eastAsiaTheme="majorEastAsia" w:hAnsiTheme="majorEastAsia" w:hint="eastAsia"/>
          <w:bCs/>
          <w:sz w:val="18"/>
          <w:szCs w:val="18"/>
        </w:rPr>
        <w:t>。</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22</w:t>
      </w:r>
      <w:r>
        <w:rPr>
          <w:rFonts w:asciiTheme="majorEastAsia" w:eastAsiaTheme="majorEastAsia" w:hAnsiTheme="majorEastAsia" w:hint="eastAsia"/>
          <w:bCs/>
          <w:color w:val="auto"/>
          <w:sz w:val="18"/>
          <w:szCs w:val="18"/>
        </w:rPr>
        <w:t>）巨额赎回：在本理财产品预约赎回期中，本产品的累计产品份额净预约赎回申请（预约赎回申请总份额扣除预约申购总份额后的余额</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下同）之和达到赎回日上一日产品总份额的约定的百分比，为巨额赎回。</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FC6DC4" w:rsidRDefault="00F8685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FC6DC4" w:rsidRDefault="00F8685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FC6DC4" w:rsidRDefault="00F8685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FC6DC4" w:rsidRDefault="00F86856">
      <w:pPr>
        <w:pStyle w:val="Default"/>
        <w:spacing w:line="360" w:lineRule="auto"/>
        <w:ind w:firstLineChars="200" w:firstLine="360"/>
        <w:rPr>
          <w:rFonts w:hAnsi="宋体"/>
          <w:bCs/>
          <w:color w:val="auto"/>
          <w:sz w:val="18"/>
          <w:szCs w:val="18"/>
        </w:rPr>
      </w:pPr>
      <w:r>
        <w:rPr>
          <w:rFonts w:hAnsi="宋体" w:hint="eastAsia"/>
          <w:bCs/>
          <w:color w:val="auto"/>
          <w:sz w:val="18"/>
          <w:szCs w:val="18"/>
        </w:rPr>
        <w:lastRenderedPageBreak/>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FC6DC4" w:rsidRDefault="00F86856">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rsidR="00FC6DC4" w:rsidRDefault="00F86856">
      <w:pPr>
        <w:pStyle w:val="Default"/>
        <w:spacing w:line="360" w:lineRule="auto"/>
        <w:ind w:firstLineChars="200" w:firstLine="360"/>
        <w:rPr>
          <w:rFonts w:asciiTheme="majorEastAsia" w:eastAsiaTheme="majorEastAsia" w:hAnsiTheme="majorEastAsia" w:cs="仿宋_GB2312"/>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）★投资周期：投资周期指</w:t>
      </w:r>
      <w:r>
        <w:rPr>
          <w:rFonts w:asciiTheme="minorEastAsia" w:eastAsiaTheme="minorEastAsia" w:hAnsiTheme="minorEastAsia" w:hint="eastAsia"/>
          <w:bCs/>
          <w:color w:val="auto"/>
          <w:sz w:val="18"/>
          <w:szCs w:val="18"/>
        </w:rPr>
        <w:t>投资者</w:t>
      </w:r>
      <w:r>
        <w:rPr>
          <w:rFonts w:asciiTheme="minorEastAsia" w:eastAsiaTheme="minorEastAsia" w:hAnsiTheme="minorEastAsia"/>
          <w:bCs/>
          <w:color w:val="auto"/>
          <w:sz w:val="18"/>
          <w:szCs w:val="18"/>
        </w:rPr>
        <w:t>持有理财产品份额</w:t>
      </w:r>
      <w:r>
        <w:rPr>
          <w:rFonts w:asciiTheme="minorEastAsia" w:eastAsiaTheme="minorEastAsia" w:hAnsiTheme="minorEastAsia" w:hint="eastAsia"/>
          <w:bCs/>
          <w:color w:val="auto"/>
          <w:sz w:val="18"/>
          <w:szCs w:val="18"/>
        </w:rPr>
        <w:t>所对应的理财资金由产品管理人进行投资运作的一段完整期间，</w:t>
      </w:r>
      <w:r>
        <w:rPr>
          <w:rFonts w:asciiTheme="majorEastAsia" w:eastAsiaTheme="majorEastAsia" w:hAnsiTheme="majorEastAsia" w:hint="eastAsia"/>
          <w:bCs/>
          <w:color w:val="auto"/>
          <w:sz w:val="18"/>
          <w:szCs w:val="18"/>
        </w:rPr>
        <w:t>每一个投资周期</w:t>
      </w:r>
      <w:r>
        <w:rPr>
          <w:rFonts w:asciiTheme="majorEastAsia" w:eastAsiaTheme="majorEastAsia" w:hAnsiTheme="majorEastAsia" w:cs="仿宋_GB2312" w:hint="eastAsia"/>
          <w:color w:val="auto"/>
          <w:sz w:val="18"/>
          <w:szCs w:val="18"/>
        </w:rPr>
        <w:t>为该</w:t>
      </w:r>
      <w:r>
        <w:rPr>
          <w:rFonts w:asciiTheme="majorEastAsia" w:eastAsiaTheme="majorEastAsia" w:hAnsiTheme="majorEastAsia" w:hint="eastAsia"/>
          <w:bCs/>
          <w:color w:val="auto"/>
          <w:sz w:val="18"/>
          <w:szCs w:val="18"/>
        </w:rPr>
        <w:t>投资周期起始日</w:t>
      </w:r>
      <w:r>
        <w:rPr>
          <w:rFonts w:asciiTheme="majorEastAsia" w:eastAsiaTheme="majorEastAsia" w:hAnsiTheme="majorEastAsia" w:cs="仿宋_GB2312" w:hint="eastAsia"/>
          <w:color w:val="auto"/>
          <w:sz w:val="18"/>
          <w:szCs w:val="18"/>
        </w:rPr>
        <w:t>至该</w:t>
      </w:r>
      <w:r>
        <w:rPr>
          <w:rFonts w:asciiTheme="majorEastAsia" w:eastAsiaTheme="majorEastAsia" w:hAnsiTheme="majorEastAsia" w:hint="eastAsia"/>
          <w:bCs/>
          <w:color w:val="auto"/>
          <w:sz w:val="18"/>
          <w:szCs w:val="18"/>
        </w:rPr>
        <w:t>投资周期</w:t>
      </w:r>
      <w:r>
        <w:rPr>
          <w:rFonts w:asciiTheme="majorEastAsia" w:eastAsiaTheme="majorEastAsia" w:hAnsiTheme="majorEastAsia" w:cs="仿宋_GB2312" w:hint="eastAsia"/>
          <w:color w:val="auto"/>
          <w:sz w:val="18"/>
          <w:szCs w:val="18"/>
        </w:rPr>
        <w:t>终止日的理财期间。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投资周期起始日：指每一个投资周期开始的日期。</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投资周期终止日：指每一个投资周期结束的日期。</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）产品存续期：指自理财产品成立日起，至理财产品终止日的期间。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）预约申购期：指投资者可以提交预约申购申请</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 xml:space="preserve">一段特定时间。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15）</w:t>
      </w:r>
      <w:r>
        <w:rPr>
          <w:rFonts w:asciiTheme="majorEastAsia" w:eastAsiaTheme="majorEastAsia" w:hAnsiTheme="majorEastAsia" w:hint="eastAsia"/>
          <w:bCs/>
          <w:color w:val="auto"/>
          <w:sz w:val="18"/>
          <w:szCs w:val="18"/>
        </w:rPr>
        <w:t>预约</w:t>
      </w:r>
      <w:r>
        <w:rPr>
          <w:rFonts w:asciiTheme="majorEastAsia" w:eastAsiaTheme="majorEastAsia" w:hAnsiTheme="majorEastAsia"/>
          <w:bCs/>
          <w:color w:val="auto"/>
          <w:sz w:val="18"/>
          <w:szCs w:val="18"/>
        </w:rPr>
        <w:t>赎回期</w:t>
      </w:r>
      <w:r>
        <w:rPr>
          <w:rFonts w:asciiTheme="majorEastAsia" w:eastAsiaTheme="majorEastAsia" w:hAnsiTheme="majorEastAsia" w:hint="eastAsia"/>
          <w:bCs/>
          <w:color w:val="auto"/>
          <w:sz w:val="18"/>
          <w:szCs w:val="18"/>
        </w:rPr>
        <w:t>：指投资者可以提交预约赎回申请的一段特定时间。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w:t>
      </w:r>
      <w:r>
        <w:rPr>
          <w:rFonts w:asciiTheme="majorEastAsia" w:eastAsiaTheme="majorEastAsia" w:hAnsiTheme="majorEastAsia" w:hint="eastAsia"/>
          <w:bCs/>
          <w:color w:val="auto"/>
          <w:sz w:val="18"/>
          <w:szCs w:val="18"/>
        </w:rPr>
        <w:t>）清算期：指自本理财产品终止日至投资者理财利益到账日之间的期间。</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FC6DC4" w:rsidRDefault="00F86856">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FC6DC4" w:rsidRDefault="00F86856">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FC6DC4" w:rsidRDefault="00F86856">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FC6DC4" w:rsidRDefault="00F86856">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FC6DC4" w:rsidRDefault="00F86856">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FC6DC4" w:rsidRDefault="00F86856">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FC6DC4" w:rsidRDefault="00F86856">
      <w:pPr>
        <w:widowControl/>
        <w:spacing w:line="360" w:lineRule="auto"/>
        <w:jc w:val="left"/>
        <w:rPr>
          <w:rFonts w:ascii="宋体" w:hAnsi="宋体"/>
          <w:color w:val="000000"/>
          <w:kern w:val="0"/>
          <w:sz w:val="28"/>
          <w:szCs w:val="28"/>
        </w:rPr>
      </w:pPr>
      <w:r>
        <w:rPr>
          <w:rFonts w:hAnsi="宋体"/>
          <w:sz w:val="28"/>
          <w:szCs w:val="28"/>
        </w:rPr>
        <w:br w:type="page"/>
      </w:r>
    </w:p>
    <w:p w:rsidR="00FC6DC4" w:rsidRDefault="00F86856">
      <w:pPr>
        <w:pStyle w:val="1"/>
        <w:spacing w:before="0" w:after="0" w:line="360" w:lineRule="auto"/>
        <w:jc w:val="center"/>
        <w:rPr>
          <w:rFonts w:hAnsi="宋体"/>
          <w:sz w:val="28"/>
          <w:szCs w:val="28"/>
        </w:rPr>
      </w:pPr>
      <w:bookmarkStart w:id="3" w:name="_Toc23998"/>
      <w:bookmarkStart w:id="4" w:name="_Toc92377131"/>
      <w:bookmarkStart w:id="5" w:name="_Toc79154665"/>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3"/>
      <w:bookmarkEnd w:id="4"/>
      <w:bookmarkEnd w:id="5"/>
      <w:r>
        <w:rPr>
          <w:rFonts w:hAnsi="宋体" w:hint="eastAsia"/>
          <w:sz w:val="28"/>
          <w:szCs w:val="28"/>
        </w:rPr>
        <w:t xml:space="preserve"> </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F9529B">
        <w:trPr>
          <w:trHeight w:val="401"/>
          <w:jc w:val="center"/>
        </w:trPr>
        <w:tc>
          <w:tcPr>
            <w:tcW w:w="1945" w:type="dxa"/>
            <w:shd w:val="solid" w:color="FFFFFF" w:fill="FFFFFF"/>
          </w:tcPr>
          <w:p w:rsidR="00F9529B" w:rsidRDefault="00F9529B" w:rsidP="00F9529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704" w:type="dxa"/>
            <w:shd w:val="solid" w:color="FFFFFF" w:fill="FFFFFF"/>
          </w:tcPr>
          <w:p w:rsidR="00F9529B" w:rsidRDefault="00F9529B" w:rsidP="00F9529B">
            <w:pPr>
              <w:spacing w:line="360" w:lineRule="auto"/>
              <w:jc w:val="left"/>
              <w:rPr>
                <w:rFonts w:ascii="宋体" w:hAnsi="宋体"/>
                <w:bCs/>
                <w:sz w:val="18"/>
                <w:szCs w:val="18"/>
              </w:rPr>
            </w:pPr>
            <w:r w:rsidRPr="00870B36">
              <w:rPr>
                <w:rFonts w:ascii="宋体" w:hAnsi="宋体" w:hint="eastAsia"/>
                <w:bCs/>
                <w:sz w:val="18"/>
                <w:szCs w:val="18"/>
              </w:rPr>
              <w:t>兴业银行天天万利宝稳利2号净值型理财产品A款</w:t>
            </w:r>
          </w:p>
        </w:tc>
      </w:tr>
      <w:tr w:rsidR="00F9529B">
        <w:trPr>
          <w:trHeight w:val="383"/>
          <w:jc w:val="center"/>
        </w:trPr>
        <w:tc>
          <w:tcPr>
            <w:tcW w:w="1945" w:type="dxa"/>
            <w:shd w:val="solid" w:color="FFFFFF" w:fill="FFFFFF"/>
          </w:tcPr>
          <w:p w:rsidR="00F9529B" w:rsidRDefault="00F9529B" w:rsidP="00F9529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vAlign w:val="center"/>
          </w:tcPr>
          <w:p w:rsidR="00F9529B" w:rsidRDefault="00F9529B" w:rsidP="00F9529B">
            <w:pPr>
              <w:spacing w:line="360" w:lineRule="auto"/>
              <w:jc w:val="left"/>
              <w:rPr>
                <w:rFonts w:ascii="宋体" w:hAnsi="宋体"/>
                <w:kern w:val="0"/>
                <w:sz w:val="22"/>
              </w:rPr>
            </w:pPr>
            <w:r>
              <w:rPr>
                <w:rFonts w:ascii="宋体" w:hAnsi="宋体" w:hint="eastAsia"/>
                <w:bCs/>
                <w:sz w:val="18"/>
                <w:szCs w:val="18"/>
              </w:rPr>
              <w:t>【</w:t>
            </w:r>
            <w:r w:rsidRPr="0054292F">
              <w:rPr>
                <w:rFonts w:ascii="宋体" w:hAnsi="宋体" w:hint="eastAsia"/>
                <w:bCs/>
                <w:sz w:val="18"/>
                <w:szCs w:val="18"/>
              </w:rPr>
              <w:t>稳利恒盈</w:t>
            </w:r>
            <w:r>
              <w:rPr>
                <w:rFonts w:ascii="宋体" w:hAnsi="宋体"/>
                <w:bCs/>
                <w:sz w:val="18"/>
                <w:szCs w:val="18"/>
              </w:rPr>
              <w:t>A</w:t>
            </w:r>
            <w:r w:rsidRPr="0054292F">
              <w:rPr>
                <w:rFonts w:ascii="宋体" w:hAnsi="宋体" w:hint="eastAsia"/>
                <w:bCs/>
                <w:sz w:val="18"/>
                <w:szCs w:val="18"/>
              </w:rPr>
              <w:t xml:space="preserve"> 6个月</w:t>
            </w:r>
            <w:r>
              <w:rPr>
                <w:rFonts w:ascii="宋体" w:hAnsi="宋体" w:hint="eastAsia"/>
                <w:bCs/>
                <w:sz w:val="18"/>
                <w:szCs w:val="18"/>
              </w:rPr>
              <w:t>】</w:t>
            </w:r>
          </w:p>
        </w:tc>
      </w:tr>
      <w:tr w:rsidR="00F9529B">
        <w:trPr>
          <w:trHeight w:val="251"/>
          <w:jc w:val="center"/>
        </w:trPr>
        <w:tc>
          <w:tcPr>
            <w:tcW w:w="1945" w:type="dxa"/>
            <w:shd w:val="solid" w:color="FFFFFF" w:fill="FFFFFF"/>
          </w:tcPr>
          <w:p w:rsidR="00F9529B" w:rsidRDefault="00F9529B" w:rsidP="00F9529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tcPr>
          <w:p w:rsidR="00F9529B" w:rsidRDefault="00F9529B" w:rsidP="00F9529B">
            <w:pPr>
              <w:spacing w:line="360" w:lineRule="auto"/>
              <w:jc w:val="left"/>
              <w:rPr>
                <w:rFonts w:ascii="宋体" w:hAnsi="宋体"/>
                <w:b/>
                <w:sz w:val="18"/>
                <w:szCs w:val="18"/>
              </w:rPr>
            </w:pPr>
            <w:r>
              <w:rPr>
                <w:rFonts w:ascii="宋体" w:hAnsi="宋体" w:hint="eastAsia"/>
                <w:bCs/>
                <w:sz w:val="18"/>
                <w:szCs w:val="18"/>
              </w:rPr>
              <w:t>【</w:t>
            </w:r>
            <w:r w:rsidRPr="00870B36">
              <w:rPr>
                <w:rFonts w:ascii="宋体" w:hAnsi="宋体"/>
                <w:bCs/>
                <w:sz w:val="18"/>
                <w:szCs w:val="18"/>
              </w:rPr>
              <w:t>Z7002020000018</w:t>
            </w:r>
            <w:r>
              <w:rPr>
                <w:rFonts w:ascii="宋体" w:hAnsi="宋体" w:hint="eastAsia"/>
                <w:bCs/>
                <w:sz w:val="18"/>
                <w:szCs w:val="18"/>
              </w:rPr>
              <w:t>】注：投资者可依据理财产品登记编码在中国理财网查询产品信息</w:t>
            </w:r>
            <w:hyperlink r:id="rId30" w:history="1">
              <w:r>
                <w:rPr>
                  <w:rFonts w:ascii="宋体" w:hAnsi="宋体"/>
                  <w:bCs/>
                  <w:sz w:val="18"/>
                  <w:szCs w:val="18"/>
                </w:rPr>
                <w:t>www.chinawealth.com.cn</w:t>
              </w:r>
            </w:hyperlink>
          </w:p>
        </w:tc>
      </w:tr>
      <w:tr w:rsidR="00F9529B">
        <w:trPr>
          <w:trHeight w:val="251"/>
          <w:jc w:val="center"/>
        </w:trPr>
        <w:tc>
          <w:tcPr>
            <w:tcW w:w="1945" w:type="dxa"/>
            <w:shd w:val="solid" w:color="FFFFFF" w:fill="FFFFFF"/>
            <w:vAlign w:val="center"/>
          </w:tcPr>
          <w:p w:rsidR="00F9529B" w:rsidRDefault="00F9529B" w:rsidP="00F9529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F9529B" w:rsidRDefault="00F9529B" w:rsidP="00F9529B">
            <w:pPr>
              <w:spacing w:line="360" w:lineRule="auto"/>
              <w:jc w:val="left"/>
              <w:rPr>
                <w:rFonts w:ascii="宋体" w:hAnsi="宋体"/>
                <w:bCs/>
                <w:sz w:val="18"/>
                <w:szCs w:val="18"/>
              </w:rPr>
            </w:pPr>
            <w:r>
              <w:rPr>
                <w:rFonts w:ascii="宋体" w:hAnsi="宋体"/>
                <w:bCs/>
                <w:color w:val="000000" w:themeColor="text1"/>
                <w:sz w:val="18"/>
                <w:szCs w:val="18"/>
              </w:rPr>
              <w:t>【</w:t>
            </w:r>
            <w:r w:rsidRPr="00870B36">
              <w:rPr>
                <w:rFonts w:ascii="宋体" w:hAnsi="宋体"/>
                <w:bCs/>
                <w:color w:val="000000" w:themeColor="text1"/>
                <w:sz w:val="18"/>
                <w:szCs w:val="18"/>
              </w:rPr>
              <w:t>9K218021</w:t>
            </w:r>
            <w:r>
              <w:rPr>
                <w:rFonts w:ascii="宋体" w:hAnsi="宋体"/>
                <w:bCs/>
                <w:color w:val="000000" w:themeColor="text1"/>
                <w:sz w:val="18"/>
                <w:szCs w:val="18"/>
              </w:rPr>
              <w:t>】</w:t>
            </w:r>
          </w:p>
        </w:tc>
      </w:tr>
      <w:tr w:rsidR="00F9529B">
        <w:trPr>
          <w:trHeight w:val="251"/>
          <w:jc w:val="center"/>
        </w:trPr>
        <w:tc>
          <w:tcPr>
            <w:tcW w:w="1945" w:type="dxa"/>
            <w:shd w:val="solid" w:color="FFFFFF" w:fill="FFFFFF"/>
          </w:tcPr>
          <w:p w:rsidR="00F9529B" w:rsidRDefault="00F9529B" w:rsidP="00F9529B">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vAlign w:val="center"/>
          </w:tcPr>
          <w:p w:rsidR="00F9529B" w:rsidRDefault="00F9529B" w:rsidP="00F9529B">
            <w:pPr>
              <w:spacing w:line="320" w:lineRule="exact"/>
              <w:jc w:val="left"/>
              <w:rPr>
                <w:rFonts w:hAnsi="宋体"/>
                <w:sz w:val="18"/>
                <w:szCs w:val="18"/>
              </w:rPr>
            </w:pPr>
            <w:r>
              <w:rPr>
                <w:rFonts w:ascii="宋体" w:hAnsi="宋体" w:hint="eastAsia"/>
                <w:bCs/>
                <w:color w:val="000000" w:themeColor="text1"/>
                <w:sz w:val="18"/>
                <w:szCs w:val="18"/>
              </w:rPr>
              <w:t>【</w:t>
            </w:r>
            <w:r w:rsidRPr="00870B36">
              <w:rPr>
                <w:rFonts w:ascii="宋体" w:hAnsi="宋体"/>
                <w:bCs/>
                <w:color w:val="000000" w:themeColor="text1"/>
                <w:sz w:val="18"/>
                <w:szCs w:val="18"/>
              </w:rPr>
              <w:t>9K218021</w:t>
            </w:r>
            <w:r>
              <w:rPr>
                <w:rFonts w:ascii="宋体" w:hAnsi="宋体" w:hint="eastAsia"/>
                <w:bCs/>
                <w:color w:val="000000" w:themeColor="text1"/>
                <w:sz w:val="18"/>
                <w:szCs w:val="18"/>
              </w:rPr>
              <w:t>】</w:t>
            </w:r>
          </w:p>
        </w:tc>
      </w:tr>
      <w:tr w:rsidR="00FC6DC4">
        <w:trPr>
          <w:trHeight w:val="251"/>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FC6DC4" w:rsidRDefault="00F86856">
            <w:pPr>
              <w:spacing w:line="360" w:lineRule="auto"/>
              <w:rPr>
                <w:rFonts w:ascii="宋体" w:hAnsi="宋体"/>
                <w:bCs/>
                <w:sz w:val="18"/>
                <w:szCs w:val="18"/>
              </w:rPr>
            </w:pPr>
            <w:r>
              <w:rPr>
                <w:rFonts w:ascii="宋体" w:hAnsi="宋体" w:hint="eastAsia"/>
                <w:bCs/>
                <w:sz w:val="18"/>
                <w:szCs w:val="18"/>
              </w:rPr>
              <w:t>本产品不设置差异化子份额类别。</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FC6DC4" w:rsidRDefault="00F86856">
            <w:pPr>
              <w:adjustRightInd w:val="0"/>
              <w:snapToGrid w:val="0"/>
              <w:spacing w:line="276"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、开放式、【固定收益类】、非保本浮动</w:t>
            </w:r>
            <w:r>
              <w:rPr>
                <w:rFonts w:ascii="宋体" w:hAnsi="宋体"/>
                <w:bCs/>
                <w:sz w:val="18"/>
                <w:szCs w:val="18"/>
              </w:rPr>
              <w:t>收益</w:t>
            </w:r>
            <w:r>
              <w:rPr>
                <w:rFonts w:ascii="宋体" w:hAnsi="宋体" w:hint="eastAsia"/>
                <w:bCs/>
                <w:sz w:val="18"/>
                <w:szCs w:val="18"/>
              </w:rPr>
              <w:t>、净值型</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FC6DC4" w:rsidRDefault="00F86856">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FC6DC4" w:rsidRDefault="00F86856">
            <w:pPr>
              <w:spacing w:line="360" w:lineRule="auto"/>
              <w:rPr>
                <w:rFonts w:ascii="宋体" w:hAnsi="宋体"/>
                <w:bCs/>
                <w:sz w:val="18"/>
                <w:szCs w:val="18"/>
              </w:rPr>
            </w:pPr>
            <w:r>
              <w:rPr>
                <w:rFonts w:ascii="宋体" w:hAnsi="宋体" w:hint="eastAsia"/>
                <w:bCs/>
                <w:sz w:val="18"/>
                <w:szCs w:val="18"/>
              </w:rPr>
              <w:t>开放式</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704" w:type="dxa"/>
            <w:shd w:val="solid" w:color="FFFFFF" w:fill="FFFFFF"/>
            <w:vAlign w:val="center"/>
          </w:tcPr>
          <w:p w:rsidR="00FC6DC4" w:rsidRDefault="00F86856">
            <w:pPr>
              <w:adjustRightInd w:val="0"/>
              <w:snapToGrid w:val="0"/>
              <w:spacing w:line="276"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FC6DC4" w:rsidRDefault="00F86856">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FC6DC4" w:rsidRDefault="00F86856">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FC6DC4" w:rsidRDefault="00F86856">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FC6DC4" w:rsidRDefault="00F86856">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704" w:type="dxa"/>
            <w:shd w:val="solid" w:color="FFFFFF" w:fill="FFFFFF"/>
            <w:vAlign w:val="center"/>
          </w:tcPr>
          <w:p w:rsidR="00FC6DC4" w:rsidRDefault="00F86856">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FC6DC4" w:rsidRDefault="00F86856">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FC6DC4" w:rsidRDefault="00F86856">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FC6DC4" w:rsidRDefault="00F86856">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FC6DC4" w:rsidRDefault="00F86856">
            <w:pPr>
              <w:spacing w:line="360" w:lineRule="auto"/>
              <w:jc w:val="left"/>
              <w:rPr>
                <w:rFonts w:ascii="宋体" w:hAnsi="宋体"/>
                <w:sz w:val="18"/>
                <w:szCs w:val="18"/>
              </w:rPr>
            </w:pPr>
            <w:r>
              <w:rPr>
                <w:rFonts w:ascii="宋体" w:hAnsi="宋体" w:hint="eastAsia"/>
                <w:sz w:val="18"/>
                <w:szCs w:val="18"/>
              </w:rPr>
              <w:t>□ 直销适用</w:t>
            </w:r>
          </w:p>
          <w:p w:rsidR="00FC6DC4" w:rsidRDefault="00F86856">
            <w:pPr>
              <w:spacing w:line="360" w:lineRule="auto"/>
              <w:jc w:val="left"/>
              <w:rPr>
                <w:rFonts w:ascii="宋体" w:hAnsi="宋体"/>
                <w:sz w:val="18"/>
                <w:szCs w:val="18"/>
              </w:rPr>
            </w:pPr>
            <w:r>
              <w:rPr>
                <w:rFonts w:ascii="宋体" w:hAnsi="宋体" w:hint="eastAsia"/>
                <w:sz w:val="18"/>
                <w:szCs w:val="18"/>
              </w:rPr>
              <w:lastRenderedPageBreak/>
              <w:t>本产品由产品管理人销售。</w:t>
            </w:r>
          </w:p>
          <w:p w:rsidR="00FC6DC4" w:rsidRDefault="00F86856">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FC6DC4" w:rsidRDefault="00F86856">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FC6DC4" w:rsidRDefault="00F86856">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规模为【30】亿元，最小成立规模为【/】亿元。</w:t>
            </w:r>
          </w:p>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704" w:type="dxa"/>
            <w:shd w:val="solid" w:color="FFFFFF" w:fill="FFFFFF"/>
            <w:vAlign w:val="center"/>
          </w:tcPr>
          <w:p w:rsidR="00FC6DC4" w:rsidRDefault="00F86856">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：【201</w:t>
            </w:r>
            <w:r w:rsidR="00F9529B">
              <w:rPr>
                <w:rFonts w:asciiTheme="minorEastAsia" w:hAnsiTheme="minorEastAsia"/>
                <w:bCs/>
                <w:sz w:val="18"/>
                <w:szCs w:val="18"/>
              </w:rPr>
              <w:t>8</w:t>
            </w:r>
            <w:r>
              <w:rPr>
                <w:rFonts w:asciiTheme="minorEastAsia" w:hAnsiTheme="minorEastAsia" w:hint="eastAsia"/>
                <w:bCs/>
                <w:sz w:val="18"/>
                <w:szCs w:val="18"/>
              </w:rPr>
              <w:t>】年【</w:t>
            </w:r>
            <w:r w:rsidR="00B70789">
              <w:rPr>
                <w:rFonts w:asciiTheme="minorEastAsia" w:hAnsiTheme="minorEastAsia"/>
                <w:bCs/>
                <w:sz w:val="18"/>
                <w:szCs w:val="18"/>
              </w:rPr>
              <w:t>7</w:t>
            </w:r>
            <w:r>
              <w:rPr>
                <w:rFonts w:asciiTheme="minorEastAsia" w:hAnsiTheme="minorEastAsia" w:hint="eastAsia"/>
                <w:bCs/>
                <w:sz w:val="18"/>
                <w:szCs w:val="18"/>
              </w:rPr>
              <w:t>】月【</w:t>
            </w:r>
            <w:r w:rsidR="00F9529B">
              <w:rPr>
                <w:rFonts w:asciiTheme="minorEastAsia" w:hAnsiTheme="minorEastAsia"/>
                <w:bCs/>
                <w:sz w:val="18"/>
                <w:szCs w:val="18"/>
              </w:rPr>
              <w:t>24</w:t>
            </w:r>
            <w:r>
              <w:rPr>
                <w:rFonts w:asciiTheme="minorEastAsia" w:hAnsiTheme="minorEastAsia" w:hint="eastAsia"/>
                <w:bCs/>
                <w:sz w:val="18"/>
                <w:szCs w:val="18"/>
              </w:rPr>
              <w:t>】日11:00至【201</w:t>
            </w:r>
            <w:r w:rsidR="00F9529B">
              <w:rPr>
                <w:rFonts w:asciiTheme="minorEastAsia" w:hAnsiTheme="minorEastAsia"/>
                <w:bCs/>
                <w:sz w:val="18"/>
                <w:szCs w:val="18"/>
              </w:rPr>
              <w:t>8</w:t>
            </w:r>
            <w:r>
              <w:rPr>
                <w:rFonts w:asciiTheme="minorEastAsia" w:hAnsiTheme="minorEastAsia" w:hint="eastAsia"/>
                <w:bCs/>
                <w:sz w:val="18"/>
                <w:szCs w:val="18"/>
              </w:rPr>
              <w:t>】年【</w:t>
            </w:r>
            <w:r w:rsidR="00F9529B">
              <w:rPr>
                <w:rFonts w:asciiTheme="minorEastAsia" w:hAnsiTheme="minorEastAsia"/>
                <w:bCs/>
                <w:sz w:val="18"/>
                <w:szCs w:val="18"/>
              </w:rPr>
              <w:t>8</w:t>
            </w:r>
            <w:r>
              <w:rPr>
                <w:rFonts w:asciiTheme="minorEastAsia" w:hAnsiTheme="minorEastAsia" w:hint="eastAsia"/>
                <w:bCs/>
                <w:sz w:val="18"/>
                <w:szCs w:val="18"/>
              </w:rPr>
              <w:t>】月【</w:t>
            </w:r>
            <w:r w:rsidR="00F9529B">
              <w:rPr>
                <w:rFonts w:asciiTheme="minorEastAsia" w:hAnsiTheme="minorEastAsia"/>
                <w:bCs/>
                <w:sz w:val="18"/>
                <w:szCs w:val="18"/>
              </w:rPr>
              <w:t>6</w:t>
            </w:r>
            <w:r>
              <w:rPr>
                <w:rFonts w:asciiTheme="minorEastAsia" w:hAnsiTheme="minorEastAsia" w:hint="eastAsia"/>
                <w:bCs/>
                <w:sz w:val="18"/>
                <w:szCs w:val="18"/>
              </w:rPr>
              <w:t>】日15:45</w:t>
            </w:r>
            <w:r>
              <w:rPr>
                <w:rFonts w:asciiTheme="majorEastAsia" w:eastAsiaTheme="majorEastAsia" w:hAnsiTheme="majorEastAsia"/>
                <w:sz w:val="18"/>
                <w:szCs w:val="18"/>
              </w:rPr>
              <w:t>。</w:t>
            </w:r>
          </w:p>
          <w:p w:rsidR="00FC6DC4" w:rsidRDefault="00F86856">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FC6DC4" w:rsidRDefault="00F86856">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募集期内资金按照活期存款利息计息，认购期/募集期内的利息不计入认购资金</w:t>
            </w:r>
            <w:r>
              <w:rPr>
                <w:rFonts w:ascii="宋体" w:hAnsi="宋体" w:hint="eastAsia"/>
                <w:sz w:val="18"/>
              </w:rPr>
              <w:t>。</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FC6DC4" w:rsidRDefault="00F86856">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【201</w:t>
            </w:r>
            <w:r w:rsidR="00F9529B">
              <w:rPr>
                <w:rFonts w:asciiTheme="minorEastAsia" w:hAnsiTheme="minorEastAsia" w:cs="Times New Roman"/>
                <w:sz w:val="18"/>
                <w:szCs w:val="18"/>
              </w:rPr>
              <w:t>8</w:t>
            </w:r>
            <w:r>
              <w:rPr>
                <w:rFonts w:asciiTheme="minorEastAsia" w:hAnsiTheme="minorEastAsia" w:cs="Times New Roman"/>
                <w:sz w:val="18"/>
                <w:szCs w:val="18"/>
              </w:rPr>
              <w:t>】年【</w:t>
            </w:r>
            <w:r w:rsidR="00F9529B">
              <w:rPr>
                <w:rFonts w:asciiTheme="minorEastAsia" w:hAnsiTheme="minorEastAsia" w:cs="Times New Roman"/>
                <w:sz w:val="18"/>
                <w:szCs w:val="18"/>
              </w:rPr>
              <w:t>8</w:t>
            </w:r>
            <w:r>
              <w:rPr>
                <w:rFonts w:asciiTheme="minorEastAsia" w:hAnsiTheme="minorEastAsia" w:cs="Times New Roman" w:hint="eastAsia"/>
                <w:sz w:val="18"/>
                <w:szCs w:val="18"/>
              </w:rPr>
              <w:t>】月【</w:t>
            </w:r>
            <w:r w:rsidR="00F9529B">
              <w:rPr>
                <w:rFonts w:asciiTheme="minorEastAsia" w:hAnsiTheme="minorEastAsia" w:cs="Times New Roman"/>
                <w:sz w:val="18"/>
                <w:szCs w:val="18"/>
              </w:rPr>
              <w:t>7</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FC6DC4" w:rsidRDefault="00F86856">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投资</w:t>
            </w:r>
            <w:r>
              <w:rPr>
                <w:rFonts w:asciiTheme="majorEastAsia" w:eastAsiaTheme="majorEastAsia" w:hAnsiTheme="majorEastAsia"/>
                <w:b/>
                <w:sz w:val="18"/>
                <w:szCs w:val="18"/>
              </w:rPr>
              <w:t>周期</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bCs/>
                <w:color w:val="000000" w:themeColor="text1"/>
                <w:sz w:val="18"/>
                <w:szCs w:val="18"/>
              </w:rPr>
              <w:t>1</w:t>
            </w:r>
            <w:r>
              <w:rPr>
                <w:rFonts w:asciiTheme="majorEastAsia" w:eastAsiaTheme="majorEastAsia" w:hAnsiTheme="majorEastAsia"/>
                <w:bCs/>
                <w:color w:val="000000" w:themeColor="text1"/>
                <w:sz w:val="18"/>
                <w:szCs w:val="18"/>
              </w:rPr>
              <w:t>.投资周期的设置</w:t>
            </w:r>
          </w:p>
          <w:p w:rsidR="00FC6DC4" w:rsidRDefault="00F86856">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投资周期指</w:t>
            </w:r>
            <w:r>
              <w:rPr>
                <w:rFonts w:asciiTheme="minorEastAsia" w:eastAsiaTheme="minorEastAsia" w:hAnsiTheme="minorEastAsia" w:hint="eastAsia"/>
                <w:bCs/>
                <w:color w:val="000000" w:themeColor="text1"/>
                <w:sz w:val="18"/>
                <w:szCs w:val="18"/>
              </w:rPr>
              <w:t>投资者</w:t>
            </w:r>
            <w:r>
              <w:rPr>
                <w:rFonts w:asciiTheme="minorEastAsia" w:eastAsiaTheme="minorEastAsia" w:hAnsiTheme="minorEastAsia"/>
                <w:bCs/>
                <w:color w:val="000000" w:themeColor="text1"/>
                <w:sz w:val="18"/>
                <w:szCs w:val="18"/>
              </w:rPr>
              <w:t>持有理财产品份额</w:t>
            </w:r>
            <w:r>
              <w:rPr>
                <w:rFonts w:asciiTheme="minorEastAsia" w:eastAsiaTheme="minorEastAsia" w:hAnsiTheme="minorEastAsia" w:hint="eastAsia"/>
                <w:bCs/>
                <w:color w:val="000000" w:themeColor="text1"/>
                <w:sz w:val="18"/>
                <w:szCs w:val="18"/>
              </w:rPr>
              <w:t>所对应的理财资金由产品管理人进行投资运作的一段完整期间。</w:t>
            </w:r>
          </w:p>
          <w:p w:rsidR="00FC6DC4" w:rsidRDefault="00F86856">
            <w:pPr>
              <w:spacing w:line="360" w:lineRule="auto"/>
              <w:rPr>
                <w:rFonts w:asciiTheme="majorEastAsia" w:eastAsiaTheme="majorEastAsia" w:hAnsiTheme="majorEastAsia" w:cs="仿宋_GB2312"/>
                <w:color w:val="000000" w:themeColor="text1"/>
                <w:kern w:val="0"/>
                <w:sz w:val="18"/>
                <w:szCs w:val="18"/>
              </w:rPr>
            </w:pPr>
            <w:r>
              <w:rPr>
                <w:rFonts w:asciiTheme="majorEastAsia" w:eastAsiaTheme="majorEastAsia" w:hAnsiTheme="majorEastAsia" w:hint="eastAsia"/>
                <w:bCs/>
                <w:color w:val="000000" w:themeColor="text1"/>
                <w:sz w:val="18"/>
                <w:szCs w:val="18"/>
              </w:rPr>
              <w:t>（2）每一个投资周期：包含</w:t>
            </w:r>
            <w:r>
              <w:rPr>
                <w:rFonts w:asciiTheme="majorEastAsia" w:eastAsiaTheme="majorEastAsia" w:hAnsiTheme="majorEastAsia" w:cs="仿宋_GB2312" w:hint="eastAsia"/>
                <w:color w:val="000000" w:themeColor="text1"/>
                <w:kern w:val="0"/>
                <w:sz w:val="18"/>
                <w:szCs w:val="18"/>
              </w:rPr>
              <w:t>该</w:t>
            </w:r>
            <w:r>
              <w:rPr>
                <w:rFonts w:asciiTheme="majorEastAsia" w:eastAsiaTheme="majorEastAsia" w:hAnsiTheme="majorEastAsia" w:hint="eastAsia"/>
                <w:bCs/>
                <w:color w:val="000000" w:themeColor="text1"/>
                <w:sz w:val="18"/>
                <w:szCs w:val="18"/>
              </w:rPr>
              <w:t>投资者对应产品份额的认购确认日</w:t>
            </w:r>
            <w:r>
              <w:rPr>
                <w:rFonts w:asciiTheme="majorEastAsia" w:eastAsiaTheme="majorEastAsia" w:hAnsiTheme="majorEastAsia"/>
                <w:bCs/>
                <w:color w:val="000000" w:themeColor="text1"/>
                <w:sz w:val="18"/>
                <w:szCs w:val="18"/>
              </w:rPr>
              <w:t>/申购确认日</w:t>
            </w:r>
            <w:r>
              <w:rPr>
                <w:rFonts w:asciiTheme="majorEastAsia" w:eastAsiaTheme="majorEastAsia" w:hAnsiTheme="majorEastAsia" w:cs="仿宋_GB2312" w:hint="eastAsia"/>
                <w:color w:val="000000" w:themeColor="text1"/>
                <w:kern w:val="0"/>
                <w:sz w:val="18"/>
                <w:szCs w:val="18"/>
              </w:rPr>
              <w:t>至该投资者对应产品份额的赎回确认日的期间。</w:t>
            </w:r>
          </w:p>
          <w:p w:rsidR="00FC6DC4" w:rsidRDefault="00F86856">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inorEastAsia" w:eastAsiaTheme="minorEastAsia" w:hAnsiTheme="minorEastAsia"/>
                <w:bCs/>
                <w:color w:val="000000" w:themeColor="text1"/>
                <w:sz w:val="18"/>
                <w:szCs w:val="18"/>
              </w:rPr>
              <w:t>）</w:t>
            </w:r>
            <w:r>
              <w:rPr>
                <w:rFonts w:asciiTheme="majorEastAsia" w:eastAsiaTheme="majorEastAsia" w:hAnsiTheme="majorEastAsia" w:hint="eastAsia"/>
                <w:bCs/>
                <w:color w:val="000000" w:themeColor="text1"/>
                <w:sz w:val="18"/>
                <w:szCs w:val="18"/>
              </w:rPr>
              <w:t>正常情况下，本产品的一个投资周期为【6个月】</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投资周期存在长于或短于【6个月】的可能，投资者具体投资周期以本产品说明书“申购</w:t>
            </w:r>
            <w:r>
              <w:rPr>
                <w:rFonts w:asciiTheme="majorEastAsia" w:eastAsiaTheme="majorEastAsia" w:hAnsiTheme="majorEastAsia"/>
                <w:bCs/>
                <w:color w:val="000000" w:themeColor="text1"/>
                <w:sz w:val="18"/>
                <w:szCs w:val="18"/>
              </w:rPr>
              <w:t>/赎回安排</w:t>
            </w:r>
            <w:r>
              <w:rPr>
                <w:rFonts w:asciiTheme="majorEastAsia" w:eastAsiaTheme="majorEastAsia" w:hAnsiTheme="majorEastAsia" w:hint="eastAsia"/>
                <w:bCs/>
                <w:color w:val="000000" w:themeColor="text1"/>
                <w:sz w:val="18"/>
                <w:szCs w:val="18"/>
              </w:rPr>
              <w:t>”所载明的天数为准。投资周期终止日如遇非工作日则产品管理人做相应调整。</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2.投资周期的参与</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1）本产品成立前，投资者可通过认购方式参与本产品的第一个投资周期。</w:t>
            </w:r>
          </w:p>
          <w:p w:rsidR="00FC6DC4" w:rsidRDefault="00F86856">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cs="仿宋_GB2312" w:hint="eastAsia"/>
                <w:color w:val="000000" w:themeColor="text1"/>
                <w:kern w:val="0"/>
                <w:sz w:val="18"/>
                <w:szCs w:val="18"/>
              </w:rPr>
              <w:lastRenderedPageBreak/>
              <w:t>（</w:t>
            </w:r>
            <w:r>
              <w:rPr>
                <w:rFonts w:asciiTheme="majorEastAsia" w:eastAsiaTheme="majorEastAsia" w:hAnsiTheme="majorEastAsia" w:cs="仿宋_GB2312"/>
                <w:color w:val="000000" w:themeColor="text1"/>
                <w:kern w:val="0"/>
                <w:sz w:val="18"/>
                <w:szCs w:val="18"/>
              </w:rPr>
              <w:t>2）本产品成立后，投资者可通过预约申购方式参与本产品的不同投资周期。</w:t>
            </w:r>
            <w:r>
              <w:rPr>
                <w:rFonts w:asciiTheme="majorEastAsia" w:eastAsiaTheme="majorEastAsia" w:hAnsiTheme="majorEastAsia" w:cs="仿宋_GB2312" w:hint="eastAsia"/>
                <w:color w:val="000000" w:themeColor="text1"/>
                <w:kern w:val="0"/>
                <w:sz w:val="18"/>
                <w:szCs w:val="18"/>
              </w:rPr>
              <w:t>本产品</w:t>
            </w:r>
            <w:r>
              <w:rPr>
                <w:rFonts w:asciiTheme="majorEastAsia" w:eastAsiaTheme="majorEastAsia" w:hAnsiTheme="majorEastAsia" w:cs="仿宋_GB2312"/>
                <w:color w:val="000000" w:themeColor="text1"/>
                <w:kern w:val="0"/>
                <w:sz w:val="18"/>
                <w:szCs w:val="18"/>
              </w:rPr>
              <w:t>成立后管理人可根据募集情况设置预约申购期</w:t>
            </w:r>
            <w:r>
              <w:rPr>
                <w:rFonts w:asciiTheme="majorEastAsia" w:eastAsiaTheme="majorEastAsia" w:hAnsiTheme="majorEastAsia" w:cs="仿宋_GB2312" w:hint="eastAsia"/>
                <w:color w:val="000000" w:themeColor="text1"/>
                <w:kern w:val="0"/>
                <w:sz w:val="18"/>
                <w:szCs w:val="18"/>
              </w:rPr>
              <w:t>。</w:t>
            </w:r>
            <w:r>
              <w:rPr>
                <w:rFonts w:asciiTheme="majorEastAsia" w:eastAsiaTheme="majorEastAsia" w:hAnsiTheme="majorEastAsia" w:cs="仿宋_GB2312"/>
                <w:color w:val="000000" w:themeColor="text1"/>
                <w:kern w:val="0"/>
                <w:sz w:val="18"/>
                <w:szCs w:val="18"/>
              </w:rPr>
              <w:t>在理财产品运作一个完整的投资周期</w:t>
            </w:r>
            <w:r>
              <w:rPr>
                <w:rFonts w:asciiTheme="majorEastAsia" w:eastAsiaTheme="majorEastAsia" w:hAnsiTheme="majorEastAsia" w:cs="仿宋_GB2312" w:hint="eastAsia"/>
                <w:color w:val="000000" w:themeColor="text1"/>
                <w:kern w:val="0"/>
                <w:sz w:val="18"/>
                <w:szCs w:val="18"/>
              </w:rPr>
              <w:t>结束前后，</w:t>
            </w:r>
            <w:r>
              <w:rPr>
                <w:rFonts w:asciiTheme="majorEastAsia" w:eastAsiaTheme="majorEastAsia" w:hAnsiTheme="majorEastAsia" w:cs="仿宋_GB2312"/>
                <w:color w:val="000000" w:themeColor="text1"/>
                <w:kern w:val="0"/>
                <w:sz w:val="18"/>
                <w:szCs w:val="18"/>
              </w:rPr>
              <w:t>管理人可设置预约申购期</w:t>
            </w:r>
            <w:r>
              <w:rPr>
                <w:rFonts w:asciiTheme="majorEastAsia" w:eastAsiaTheme="majorEastAsia" w:hAnsiTheme="majorEastAsia" w:cs="仿宋_GB2312" w:hint="eastAsia"/>
                <w:color w:val="000000" w:themeColor="text1"/>
                <w:kern w:val="0"/>
                <w:sz w:val="18"/>
                <w:szCs w:val="18"/>
              </w:rPr>
              <w:t>。</w:t>
            </w:r>
            <w:r>
              <w:rPr>
                <w:rFonts w:ascii="宋体" w:hAnsi="宋体" w:cs="仿宋_GB2312" w:hint="eastAsia"/>
                <w:kern w:val="0"/>
                <w:sz w:val="18"/>
                <w:szCs w:val="18"/>
              </w:rPr>
              <w:t>投资者可在预约申购期内提交预约申购申请</w:t>
            </w:r>
            <w:r>
              <w:rPr>
                <w:rFonts w:asciiTheme="minorEastAsia" w:eastAsiaTheme="minorEastAsia" w:hAnsiTheme="minorEastAsia" w:hint="eastAsia"/>
                <w:bCs/>
                <w:sz w:val="18"/>
                <w:szCs w:val="18"/>
              </w:rPr>
              <w:t>。</w:t>
            </w:r>
          </w:p>
          <w:p w:rsidR="00FC6DC4" w:rsidRDefault="00F86856">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3.投资周期的退出</w:t>
            </w:r>
          </w:p>
          <w:p w:rsidR="00FC6DC4" w:rsidRDefault="00F86856">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（1）本产品成立后，投资者可通过预约赎回方式退出本产品的投资周期。在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在运作一个完整的投资周期结束前，投资者可在预约赎回期内</w:t>
            </w:r>
            <w:r>
              <w:rPr>
                <w:rFonts w:asciiTheme="minorEastAsia" w:eastAsiaTheme="minorEastAsia" w:hAnsiTheme="minorEastAsia"/>
                <w:bCs/>
                <w:color w:val="000000" w:themeColor="text1"/>
                <w:sz w:val="18"/>
                <w:szCs w:val="18"/>
              </w:rPr>
              <w:t>提出预约</w:t>
            </w:r>
            <w:r>
              <w:rPr>
                <w:rFonts w:asciiTheme="minorEastAsia" w:eastAsiaTheme="minorEastAsia" w:hAnsiTheme="minorEastAsia" w:hint="eastAsia"/>
                <w:bCs/>
                <w:color w:val="000000" w:themeColor="text1"/>
                <w:sz w:val="18"/>
                <w:szCs w:val="18"/>
              </w:rPr>
              <w:t>赎回申请，如未赎回将进入下一个投资周期继续运作。</w:t>
            </w:r>
          </w:p>
          <w:p w:rsidR="00FC6DC4" w:rsidRDefault="00F86856">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在运作一个完整的投资周期后，投资者</w:t>
            </w:r>
            <w:r>
              <w:rPr>
                <w:rFonts w:asciiTheme="minorEastAsia" w:eastAsiaTheme="minorEastAsia" w:hAnsiTheme="minorEastAsia"/>
                <w:bCs/>
                <w:color w:val="000000" w:themeColor="text1"/>
                <w:sz w:val="18"/>
                <w:szCs w:val="18"/>
              </w:rPr>
              <w:t>也可以继续</w:t>
            </w:r>
            <w:r>
              <w:rPr>
                <w:rFonts w:asciiTheme="minorEastAsia" w:eastAsiaTheme="minorEastAsia" w:hAnsiTheme="minorEastAsia" w:hint="eastAsia"/>
                <w:bCs/>
                <w:color w:val="000000" w:themeColor="text1"/>
                <w:sz w:val="18"/>
                <w:szCs w:val="18"/>
              </w:rPr>
              <w:t>持有理财产品份额进入</w:t>
            </w:r>
            <w:r>
              <w:rPr>
                <w:rFonts w:asciiTheme="minorEastAsia" w:eastAsiaTheme="minorEastAsia" w:hAnsiTheme="minorEastAsia"/>
                <w:bCs/>
                <w:color w:val="000000" w:themeColor="text1"/>
                <w:sz w:val="18"/>
                <w:szCs w:val="18"/>
              </w:rPr>
              <w:t>下一个投资周期</w:t>
            </w:r>
            <w:r>
              <w:rPr>
                <w:rFonts w:asciiTheme="minorEastAsia" w:eastAsiaTheme="minorEastAsia" w:hAnsiTheme="minorEastAsia" w:hint="eastAsia"/>
                <w:bCs/>
                <w:color w:val="000000" w:themeColor="text1"/>
                <w:sz w:val="18"/>
                <w:szCs w:val="18"/>
              </w:rPr>
              <w:t>。</w:t>
            </w:r>
          </w:p>
          <w:p w:rsidR="00FC6DC4" w:rsidRDefault="00F86856">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ajorEastAsia" w:eastAsiaTheme="majorEastAsia" w:hAnsiTheme="majorEastAsia" w:hint="eastAsia"/>
                <w:bCs/>
                <w:sz w:val="18"/>
                <w:szCs w:val="18"/>
              </w:rPr>
              <w:t>如果投资者在本产品提前终止时仍有未赎回的份额，则产品管理人将于提前终止日将未赎回的产品</w:t>
            </w:r>
            <w:r>
              <w:rPr>
                <w:rFonts w:asciiTheme="majorEastAsia" w:eastAsiaTheme="majorEastAsia" w:hAnsiTheme="majorEastAsia"/>
                <w:bCs/>
                <w:sz w:val="18"/>
                <w:szCs w:val="18"/>
              </w:rPr>
              <w:t>份额</w:t>
            </w:r>
            <w:r>
              <w:rPr>
                <w:rFonts w:asciiTheme="majorEastAsia" w:eastAsiaTheme="majorEastAsia" w:hAnsiTheme="majorEastAsia" w:hint="eastAsia"/>
                <w:bCs/>
                <w:sz w:val="18"/>
                <w:szCs w:val="18"/>
              </w:rPr>
              <w:t>自动进行清算，于提前终止日分配理财资金，本产品终止。</w:t>
            </w:r>
          </w:p>
          <w:p w:rsidR="00FC6DC4" w:rsidRDefault="00F86856">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4</w:t>
            </w:r>
            <w:r>
              <w:rPr>
                <w:rFonts w:ascii="黑体" w:eastAsia="黑体" w:hAnsi="黑体"/>
                <w:color w:val="000000" w:themeColor="text1"/>
                <w:sz w:val="18"/>
                <w:szCs w:val="18"/>
              </w:rPr>
              <w:t>.</w:t>
            </w:r>
            <w:r>
              <w:rPr>
                <w:rFonts w:ascii="黑体" w:eastAsia="黑体" w:hAnsi="黑体" w:hint="eastAsia"/>
                <w:color w:val="000000" w:themeColor="text1"/>
                <w:sz w:val="18"/>
                <w:szCs w:val="18"/>
              </w:rPr>
              <w:t>投资周期的调整</w:t>
            </w:r>
          </w:p>
          <w:p w:rsidR="00FC6DC4" w:rsidRDefault="00F86856">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产品管理人有权调整投资周期，调整后的投资周期以产品管理人发布的公告中所载明的日期为准。</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hAnsi="宋体" w:hint="eastAsia"/>
                <w:sz w:val="18"/>
                <w:szCs w:val="18"/>
              </w:rPr>
              <w:lastRenderedPageBreak/>
              <w:t>★</w:t>
            </w:r>
            <w:r>
              <w:rPr>
                <w:rFonts w:ascii="宋体" w:hAnsi="宋体" w:hint="eastAsia"/>
                <w:b/>
                <w:bCs/>
                <w:kern w:val="0"/>
                <w:sz w:val="18"/>
                <w:szCs w:val="18"/>
              </w:rPr>
              <w:t>申购/赎回安排</w:t>
            </w:r>
          </w:p>
        </w:tc>
        <w:tc>
          <w:tcPr>
            <w:tcW w:w="7704" w:type="dxa"/>
            <w:shd w:val="solid" w:color="FFFFFF" w:fill="FFFFFF"/>
          </w:tcPr>
          <w:p w:rsidR="00FC6DC4" w:rsidRDefault="00F86856">
            <w:pPr>
              <w:spacing w:line="360" w:lineRule="auto"/>
              <w:rPr>
                <w:rFonts w:asciiTheme="minorEastAsia" w:hAnsiTheme="minorEastAsia" w:cs="Times New Roman"/>
                <w:sz w:val="18"/>
                <w:szCs w:val="18"/>
              </w:rPr>
            </w:pPr>
            <w:r>
              <w:rPr>
                <w:rFonts w:asciiTheme="majorEastAsia" w:eastAsiaTheme="majorEastAsia" w:hAnsiTheme="majorEastAsia" w:cs="仿宋_GB2312" w:hint="eastAsia"/>
                <w:color w:val="000000" w:themeColor="text1"/>
                <w:kern w:val="0"/>
                <w:sz w:val="18"/>
                <w:szCs w:val="18"/>
              </w:rPr>
              <w:t>1.</w:t>
            </w:r>
            <w:r>
              <w:rPr>
                <w:rFonts w:asciiTheme="minorEastAsia" w:hAnsiTheme="minorEastAsia" w:cs="Times New Roman" w:hint="eastAsia"/>
                <w:sz w:val="18"/>
                <w:szCs w:val="18"/>
              </w:rPr>
              <w:t>本产品成立后，开放多个预约申购/赎回期。</w:t>
            </w:r>
          </w:p>
          <w:p w:rsidR="00FC6DC4" w:rsidRDefault="00F86856">
            <w:pPr>
              <w:spacing w:line="360" w:lineRule="auto"/>
              <w:rPr>
                <w:rFonts w:asciiTheme="majorEastAsia" w:eastAsiaTheme="majorEastAsia" w:hAnsiTheme="majorEastAsia"/>
                <w:bCs/>
                <w:color w:val="000000" w:themeColor="text1"/>
                <w:sz w:val="18"/>
                <w:szCs w:val="18"/>
              </w:rPr>
            </w:pPr>
            <w:r>
              <w:rPr>
                <w:rFonts w:asciiTheme="minorEastAsia" w:hAnsiTheme="minorEastAsia" w:cs="Times New Roman" w:hint="eastAsia"/>
                <w:sz w:val="18"/>
                <w:szCs w:val="18"/>
              </w:rPr>
              <w:t>2</w:t>
            </w:r>
            <w:r>
              <w:rPr>
                <w:rFonts w:asciiTheme="minorEastAsia" w:hAnsiTheme="minorEastAsia" w:cs="Times New Roman"/>
                <w:sz w:val="18"/>
                <w:szCs w:val="18"/>
              </w:rPr>
              <w:t>.</w:t>
            </w:r>
            <w:r>
              <w:rPr>
                <w:rFonts w:asciiTheme="minorEastAsia" w:hAnsiTheme="minorEastAsia" w:cs="Times New Roman" w:hint="eastAsia"/>
                <w:sz w:val="18"/>
                <w:szCs w:val="18"/>
              </w:rPr>
              <w:t>预约申购具体安排如下：</w:t>
            </w:r>
          </w:p>
          <w:p w:rsidR="00B70789" w:rsidRDefault="00F86856" w:rsidP="00044AE2">
            <w:pPr>
              <w:spacing w:line="360" w:lineRule="auto"/>
              <w:rPr>
                <w:rFonts w:asciiTheme="majorEastAsia" w:eastAsiaTheme="majorEastAsia" w:hAnsiTheme="majorEastAsia" w:hint="eastAsia"/>
                <w:bCs/>
                <w:color w:val="000000" w:themeColor="text1"/>
                <w:sz w:val="18"/>
                <w:szCs w:val="18"/>
              </w:rPr>
            </w:pPr>
            <w:r>
              <w:rPr>
                <w:rFonts w:asciiTheme="minorEastAsia" w:hAnsiTheme="minorEastAsia" w:cs="Times New Roman" w:hint="eastAsia"/>
                <w:sz w:val="18"/>
                <w:szCs w:val="18"/>
              </w:rPr>
              <w:t>（1）申购的时间</w:t>
            </w:r>
          </w:p>
          <w:p w:rsidR="00F9529B" w:rsidRPr="00F9529B" w:rsidRDefault="00F9529B" w:rsidP="00F9529B">
            <w:pPr>
              <w:spacing w:line="360" w:lineRule="auto"/>
              <w:rPr>
                <w:rFonts w:asciiTheme="majorEastAsia" w:eastAsiaTheme="majorEastAsia" w:hAnsiTheme="majorEastAsia"/>
                <w:bCs/>
                <w:color w:val="000000" w:themeColor="text1"/>
                <w:sz w:val="18"/>
                <w:szCs w:val="18"/>
              </w:rPr>
            </w:pPr>
            <w:r w:rsidRPr="00F9529B">
              <w:rPr>
                <w:rFonts w:asciiTheme="majorEastAsia" w:eastAsiaTheme="majorEastAsia" w:hAnsiTheme="majorEastAsia" w:hint="eastAsia"/>
                <w:bCs/>
                <w:color w:val="000000" w:themeColor="text1"/>
                <w:sz w:val="18"/>
                <w:szCs w:val="18"/>
              </w:rPr>
              <w:t>□预约申购期：【2022】年【07】月【26】日11:00至【2022】年【08】月【01】日15:45；投资周期【182】天；</w:t>
            </w:r>
          </w:p>
          <w:p w:rsidR="00F9529B" w:rsidRPr="00F9529B" w:rsidRDefault="00F9529B" w:rsidP="00F9529B">
            <w:pPr>
              <w:spacing w:line="360" w:lineRule="auto"/>
              <w:rPr>
                <w:rFonts w:asciiTheme="majorEastAsia" w:eastAsiaTheme="majorEastAsia" w:hAnsiTheme="majorEastAsia"/>
                <w:bCs/>
                <w:color w:val="000000" w:themeColor="text1"/>
                <w:sz w:val="18"/>
                <w:szCs w:val="18"/>
              </w:rPr>
            </w:pPr>
            <w:r w:rsidRPr="00F9529B">
              <w:rPr>
                <w:rFonts w:asciiTheme="majorEastAsia" w:eastAsiaTheme="majorEastAsia" w:hAnsiTheme="majorEastAsia" w:hint="eastAsia"/>
                <w:bCs/>
                <w:color w:val="000000" w:themeColor="text1"/>
                <w:sz w:val="18"/>
                <w:szCs w:val="18"/>
              </w:rPr>
              <w:t>□预约申购期：【2022】年【08】月【02】日11:00至【2022】年【08】月【08】日15:45；投资周期【175】天；</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（2）申购的确认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C6DC4">
              <w:trPr>
                <w:trHeight w:val="278"/>
                <w:jc w:val="center"/>
              </w:trPr>
              <w:tc>
                <w:tcPr>
                  <w:tcW w:w="1559"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预约申购申请日</w:t>
                  </w:r>
                </w:p>
              </w:tc>
              <w:tc>
                <w:tcPr>
                  <w:tcW w:w="1559" w:type="dxa"/>
                  <w:vAlign w:val="center"/>
                </w:tcPr>
                <w:p w:rsidR="00FC6DC4" w:rsidRDefault="00F86856">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申购日</w:t>
                  </w:r>
                </w:p>
              </w:tc>
              <w:tc>
                <w:tcPr>
                  <w:tcW w:w="1843"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2229"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w:t>
                  </w:r>
                  <w:r>
                    <w:rPr>
                      <w:rFonts w:asciiTheme="minorEastAsia" w:hAnsiTheme="minorEastAsia" w:cs="Times New Roman"/>
                      <w:b/>
                      <w:bCs/>
                      <w:color w:val="auto"/>
                      <w:sz w:val="18"/>
                      <w:szCs w:val="18"/>
                    </w:rPr>
                    <w:t>方式</w:t>
                  </w:r>
                </w:p>
              </w:tc>
            </w:tr>
            <w:tr w:rsidR="00FC6DC4">
              <w:trPr>
                <w:trHeight w:val="557"/>
                <w:jc w:val="center"/>
              </w:trPr>
              <w:tc>
                <w:tcPr>
                  <w:tcW w:w="1559" w:type="dxa"/>
                </w:tcPr>
                <w:p w:rsidR="00FC6DC4" w:rsidRDefault="00F86856">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为预约申购期内任意一日</w:t>
                  </w:r>
                </w:p>
              </w:tc>
              <w:tc>
                <w:tcPr>
                  <w:tcW w:w="1559" w:type="dxa"/>
                </w:tcPr>
                <w:p w:rsidR="00FC6DC4" w:rsidRDefault="00F86856">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为预约申购期内最后一个工作日</w:t>
                  </w:r>
                </w:p>
              </w:tc>
              <w:tc>
                <w:tcPr>
                  <w:tcW w:w="1843" w:type="dxa"/>
                </w:tcPr>
                <w:p w:rsidR="00FC6DC4" w:rsidRDefault="00F86856">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申购日后【2】个工作日内</w:t>
                  </w:r>
                </w:p>
              </w:tc>
              <w:tc>
                <w:tcPr>
                  <w:tcW w:w="2229" w:type="dxa"/>
                </w:tcPr>
                <w:p w:rsidR="00FC6DC4" w:rsidRDefault="00F86856">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产品管理人在申购确认日对投资者的申购申请的有效性进行确认，并登记理财份额。</w:t>
                  </w:r>
                </w:p>
              </w:tc>
            </w:tr>
          </w:tbl>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inorEastAsia" w:hAnsiTheme="minorEastAsia" w:cs="Times New Roman" w:hint="eastAsia"/>
                <w:sz w:val="18"/>
                <w:szCs w:val="18"/>
              </w:rPr>
              <w:t>本产品在一个完整投资周期结束前，设置一个预约申购期；在一个完整投资周期结束后，再设置多个预约申购期。</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3</w:t>
            </w:r>
            <w:r>
              <w:rPr>
                <w:rFonts w:asciiTheme="majorEastAsia" w:eastAsiaTheme="majorEastAsia" w:hAnsiTheme="majorEastAsia"/>
                <w:bCs/>
                <w:color w:val="000000" w:themeColor="text1"/>
                <w:sz w:val="18"/>
                <w:szCs w:val="18"/>
              </w:rPr>
              <w:t>.预约</w:t>
            </w:r>
            <w:r>
              <w:rPr>
                <w:rFonts w:asciiTheme="majorEastAsia" w:eastAsiaTheme="majorEastAsia" w:hAnsiTheme="majorEastAsia" w:hint="eastAsia"/>
                <w:bCs/>
                <w:color w:val="000000" w:themeColor="text1"/>
                <w:sz w:val="18"/>
                <w:szCs w:val="18"/>
              </w:rPr>
              <w:t>赎回具体安排如下：</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lastRenderedPageBreak/>
              <w:t>（1）赎回的时间</w:t>
            </w:r>
          </w:p>
          <w:p w:rsidR="00FC6DC4" w:rsidRDefault="00F9529B">
            <w:pPr>
              <w:spacing w:line="360" w:lineRule="auto"/>
              <w:rPr>
                <w:rFonts w:asciiTheme="majorEastAsia" w:eastAsiaTheme="majorEastAsia" w:hAnsiTheme="majorEastAsia"/>
                <w:bCs/>
                <w:color w:val="000000" w:themeColor="text1"/>
                <w:sz w:val="18"/>
                <w:szCs w:val="18"/>
              </w:rPr>
            </w:pPr>
            <w:r w:rsidRPr="00F9529B">
              <w:rPr>
                <w:rFonts w:asciiTheme="majorEastAsia" w:eastAsiaTheme="majorEastAsia" w:hAnsiTheme="majorEastAsia" w:hint="eastAsia"/>
                <w:bCs/>
                <w:color w:val="000000" w:themeColor="text1"/>
                <w:sz w:val="18"/>
                <w:szCs w:val="18"/>
              </w:rPr>
              <w:t>预约赎回期：【2023】年【01】月【17】日00:00至【2023】年【01】月【30】日15:45</w:t>
            </w:r>
            <w:r w:rsidR="00F86856">
              <w:rPr>
                <w:rFonts w:asciiTheme="majorEastAsia" w:eastAsiaTheme="majorEastAsia" w:hAnsiTheme="majorEastAsia" w:hint="eastAsia"/>
                <w:bCs/>
                <w:color w:val="000000" w:themeColor="text1"/>
                <w:sz w:val="18"/>
                <w:szCs w:val="18"/>
              </w:rPr>
              <w:t>。</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（2）赎回的确认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C6DC4">
              <w:trPr>
                <w:trHeight w:val="278"/>
                <w:jc w:val="center"/>
              </w:trPr>
              <w:tc>
                <w:tcPr>
                  <w:tcW w:w="1559"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预约赎回申请日</w:t>
                  </w:r>
                </w:p>
              </w:tc>
              <w:tc>
                <w:tcPr>
                  <w:tcW w:w="1559" w:type="dxa"/>
                  <w:vAlign w:val="center"/>
                </w:tcPr>
                <w:p w:rsidR="00FC6DC4" w:rsidRDefault="00F86856">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赎回日</w:t>
                  </w:r>
                </w:p>
              </w:tc>
              <w:tc>
                <w:tcPr>
                  <w:tcW w:w="1843"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赎回确认日</w:t>
                  </w:r>
                </w:p>
              </w:tc>
              <w:tc>
                <w:tcPr>
                  <w:tcW w:w="2229" w:type="dxa"/>
                  <w:vAlign w:val="center"/>
                </w:tcPr>
                <w:p w:rsidR="00FC6DC4" w:rsidRDefault="00F86856">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w:t>
                  </w:r>
                  <w:r>
                    <w:rPr>
                      <w:rFonts w:asciiTheme="minorEastAsia" w:hAnsiTheme="minorEastAsia" w:cs="Times New Roman"/>
                      <w:b/>
                      <w:bCs/>
                      <w:color w:val="auto"/>
                      <w:sz w:val="18"/>
                      <w:szCs w:val="18"/>
                    </w:rPr>
                    <w:t>方式</w:t>
                  </w:r>
                </w:p>
              </w:tc>
            </w:tr>
            <w:tr w:rsidR="00FC6DC4">
              <w:trPr>
                <w:trHeight w:val="557"/>
                <w:jc w:val="center"/>
              </w:trPr>
              <w:tc>
                <w:tcPr>
                  <w:tcW w:w="1559" w:type="dxa"/>
                </w:tcPr>
                <w:p w:rsidR="00FC6DC4" w:rsidRDefault="00F86856">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为预约赎回期内任意一日</w:t>
                  </w:r>
                </w:p>
              </w:tc>
              <w:tc>
                <w:tcPr>
                  <w:tcW w:w="1559" w:type="dxa"/>
                </w:tcPr>
                <w:p w:rsidR="00FC6DC4" w:rsidRDefault="00F86856">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为预约赎回期内最后一个工作日</w:t>
                  </w:r>
                </w:p>
              </w:tc>
              <w:tc>
                <w:tcPr>
                  <w:tcW w:w="1843" w:type="dxa"/>
                </w:tcPr>
                <w:p w:rsidR="00FC6DC4" w:rsidRDefault="00F86856">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赎回日后【2】个工作日内</w:t>
                  </w:r>
                </w:p>
              </w:tc>
              <w:tc>
                <w:tcPr>
                  <w:tcW w:w="2229" w:type="dxa"/>
                </w:tcPr>
                <w:p w:rsidR="00FC6DC4" w:rsidRDefault="00F86856">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产品管理人在赎回</w:t>
                  </w:r>
                  <w:r>
                    <w:rPr>
                      <w:rFonts w:asciiTheme="minorEastAsia" w:eastAsiaTheme="minorEastAsia" w:hAnsiTheme="minorEastAsia" w:cs="Times New Roman"/>
                      <w:bCs/>
                      <w:sz w:val="18"/>
                      <w:szCs w:val="18"/>
                    </w:rPr>
                    <w:t>确认日</w:t>
                  </w:r>
                  <w:r>
                    <w:rPr>
                      <w:rFonts w:asciiTheme="minorEastAsia" w:eastAsiaTheme="minorEastAsia" w:hAnsiTheme="minorEastAsia" w:cs="Times New Roman" w:hint="eastAsia"/>
                      <w:bCs/>
                      <w:sz w:val="18"/>
                      <w:szCs w:val="18"/>
                    </w:rPr>
                    <w:t>对投资者的赎回申请的有效性进行确认，并注销理财份额。</w:t>
                  </w:r>
                </w:p>
              </w:tc>
            </w:tr>
          </w:tbl>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日后【5】个工作日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4.预约申购期/</w:t>
            </w:r>
            <w:r>
              <w:rPr>
                <w:rFonts w:asciiTheme="majorEastAsia" w:eastAsiaTheme="majorEastAsia" w:hAnsiTheme="majorEastAsia" w:hint="eastAsia"/>
                <w:bCs/>
                <w:color w:val="000000" w:themeColor="text1"/>
                <w:sz w:val="18"/>
                <w:szCs w:val="18"/>
              </w:rPr>
              <w:t>预约赎回期的起始日和终止日如遇非工作日，则产品管理人做相应调整。</w:t>
            </w:r>
          </w:p>
          <w:p w:rsidR="00FC6DC4" w:rsidRDefault="00F8685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w:t>
            </w:r>
            <w:r>
              <w:rPr>
                <w:rFonts w:asciiTheme="minorEastAsia" w:hAnsiTheme="minorEastAsia" w:cs="Times New Roman" w:hint="eastAsia"/>
                <w:sz w:val="18"/>
                <w:szCs w:val="18"/>
              </w:rPr>
              <w:t>本产品在一个完整投资周期结束前，由产品</w:t>
            </w:r>
            <w:r>
              <w:rPr>
                <w:rFonts w:asciiTheme="minorEastAsia" w:hAnsiTheme="minorEastAsia" w:cs="Times New Roman"/>
                <w:sz w:val="18"/>
                <w:szCs w:val="18"/>
              </w:rPr>
              <w:t>管理人</w:t>
            </w:r>
            <w:r>
              <w:rPr>
                <w:rFonts w:asciiTheme="minorEastAsia" w:hAnsiTheme="minorEastAsia" w:cs="Times New Roman" w:hint="eastAsia"/>
                <w:sz w:val="18"/>
                <w:szCs w:val="18"/>
              </w:rPr>
              <w:t>更新产品说明书，约定下一个完整投资周期对应的</w:t>
            </w:r>
            <w:r>
              <w:rPr>
                <w:rFonts w:asciiTheme="majorEastAsia" w:eastAsiaTheme="majorEastAsia" w:hAnsiTheme="majorEastAsia"/>
                <w:bCs/>
                <w:color w:val="000000" w:themeColor="text1"/>
                <w:sz w:val="18"/>
                <w:szCs w:val="18"/>
              </w:rPr>
              <w:t>预约申购期/</w:t>
            </w:r>
            <w:r>
              <w:rPr>
                <w:rFonts w:asciiTheme="majorEastAsia" w:eastAsiaTheme="majorEastAsia" w:hAnsiTheme="majorEastAsia" w:hint="eastAsia"/>
                <w:bCs/>
                <w:color w:val="000000" w:themeColor="text1"/>
                <w:sz w:val="18"/>
                <w:szCs w:val="18"/>
              </w:rPr>
              <w:t>预约赎回期。</w:t>
            </w:r>
          </w:p>
          <w:p w:rsidR="00FC6DC4" w:rsidRDefault="00F86856">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注：关于代理销售机构的实际工作服务时段的提示</w:t>
            </w:r>
          </w:p>
          <w:p w:rsidR="00FC6DC4" w:rsidRDefault="00F86856">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C6DC4" w:rsidRDefault="00F86856">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②代理销售机构的实际工作服务时段，最早不得早于销售文件约定</w:t>
            </w:r>
            <w:r>
              <w:rPr>
                <w:rFonts w:ascii="黑体" w:eastAsia="黑体" w:hAnsi="黑体"/>
                <w:bCs/>
                <w:color w:val="000000" w:themeColor="text1"/>
                <w:sz w:val="18"/>
                <w:szCs w:val="18"/>
              </w:rPr>
              <w:t>的</w:t>
            </w:r>
            <w:r>
              <w:rPr>
                <w:rFonts w:ascii="黑体" w:eastAsia="黑体" w:hAnsi="黑体" w:hint="eastAsia"/>
                <w:bCs/>
                <w:color w:val="000000" w:themeColor="text1"/>
                <w:sz w:val="18"/>
                <w:szCs w:val="18"/>
              </w:rPr>
              <w:t>起始时点、最晚不得晚于销售文件</w:t>
            </w:r>
            <w:r>
              <w:rPr>
                <w:rFonts w:ascii="黑体" w:eastAsia="黑体" w:hAnsi="黑体"/>
                <w:bCs/>
                <w:color w:val="000000" w:themeColor="text1"/>
                <w:sz w:val="18"/>
                <w:szCs w:val="18"/>
              </w:rPr>
              <w:t>约定的</w:t>
            </w:r>
            <w:r>
              <w:rPr>
                <w:rFonts w:ascii="黑体" w:eastAsia="黑体" w:hAnsi="黑体" w:hint="eastAsia"/>
                <w:bCs/>
                <w:color w:val="000000" w:themeColor="text1"/>
                <w:sz w:val="18"/>
                <w:szCs w:val="18"/>
              </w:rPr>
              <w:t>终止时点</w:t>
            </w:r>
            <w:r>
              <w:rPr>
                <w:rFonts w:ascii="黑体" w:eastAsia="黑体" w:hAnsi="黑体"/>
                <w:bCs/>
                <w:color w:val="000000" w:themeColor="text1"/>
                <w:sz w:val="18"/>
                <w:szCs w:val="18"/>
              </w:rPr>
              <w:t>。</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购买起点金额为【1.00】元；超出起点金额的部分以【0.01】元的整数倍递增。</w:t>
            </w:r>
          </w:p>
          <w:p w:rsidR="00FC6DC4" w:rsidRDefault="00F86856">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FC6DC4" w:rsidRDefault="00F86856">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C6DC4" w:rsidRDefault="00F86856">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FC6DC4">
        <w:trPr>
          <w:trHeight w:val="275"/>
          <w:jc w:val="center"/>
        </w:trPr>
        <w:tc>
          <w:tcPr>
            <w:tcW w:w="1945" w:type="dxa"/>
            <w:shd w:val="solid" w:color="FFFFFF" w:fill="FFFFFF"/>
            <w:vAlign w:val="center"/>
          </w:tcPr>
          <w:p w:rsidR="00FC6DC4" w:rsidRDefault="00F86856">
            <w:pPr>
              <w:autoSpaceDE w:val="0"/>
              <w:autoSpaceDN w:val="0"/>
              <w:adjustRightInd w:val="0"/>
              <w:spacing w:line="360" w:lineRule="auto"/>
              <w:jc w:val="left"/>
              <w:rPr>
                <w:rFonts w:hAnsi="宋体"/>
                <w:b/>
                <w:sz w:val="18"/>
                <w:szCs w:val="18"/>
              </w:rPr>
            </w:pPr>
            <w:r>
              <w:rPr>
                <w:rFonts w:hAnsi="宋体" w:hint="eastAsia"/>
                <w:b/>
                <w:sz w:val="18"/>
                <w:szCs w:val="18"/>
              </w:rPr>
              <w:t>★认购、申购与赎回的数量限制</w:t>
            </w:r>
            <w:r>
              <w:rPr>
                <w:rFonts w:hAnsi="宋体" w:hint="eastAsia"/>
                <w:b/>
                <w:sz w:val="18"/>
                <w:szCs w:val="18"/>
              </w:rPr>
              <w:t xml:space="preserve"> </w:t>
            </w:r>
            <w:r>
              <w:rPr>
                <w:rFonts w:hAnsi="宋体"/>
                <w:b/>
                <w:sz w:val="18"/>
                <w:szCs w:val="18"/>
              </w:rPr>
              <w:t xml:space="preserve"> </w:t>
            </w:r>
          </w:p>
        </w:tc>
        <w:tc>
          <w:tcPr>
            <w:tcW w:w="7704" w:type="dxa"/>
            <w:shd w:val="solid" w:color="FFFFFF" w:fill="FFFFFF"/>
            <w:vAlign w:val="center"/>
          </w:tcPr>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1.认购的数量限制</w:t>
            </w:r>
          </w:p>
          <w:p w:rsidR="00FC6DC4" w:rsidRDefault="00F86856">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FC6DC4" w:rsidRDefault="00F86856">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 xml:space="preserve">如需突破上限，请与产品管理人或销售机构客户经理联系。 </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FC6DC4" w:rsidRDefault="00F8685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rsidR="00FC6DC4" w:rsidRDefault="00F86856">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FC6DC4" w:rsidRDefault="00F86856">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FC6DC4" w:rsidRDefault="00F86856">
            <w:pPr>
              <w:pStyle w:val="Default"/>
              <w:spacing w:line="360" w:lineRule="auto"/>
              <w:rPr>
                <w:rFonts w:asciiTheme="minorEastAsia" w:eastAsiaTheme="minorEastAsia" w:hAnsiTheme="minorEastAsia"/>
                <w:color w:val="auto"/>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FC6DC4">
        <w:trPr>
          <w:trHeight w:val="275"/>
          <w:jc w:val="center"/>
        </w:trPr>
        <w:tc>
          <w:tcPr>
            <w:tcW w:w="1945" w:type="dxa"/>
            <w:shd w:val="solid" w:color="FFFFFF" w:fill="FFFFFF"/>
          </w:tcPr>
          <w:p w:rsidR="00FC6DC4" w:rsidRDefault="00F86856">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FC6DC4" w:rsidRDefault="00F86856">
            <w:pPr>
              <w:pStyle w:val="Default"/>
              <w:spacing w:line="360" w:lineRule="auto"/>
              <w:rPr>
                <w:rFonts w:asciiTheme="minorEastAsia" w:eastAsiaTheme="minorEastAsia" w:hAnsiTheme="minorEastAsia"/>
                <w:color w:val="auto"/>
                <w:sz w:val="18"/>
                <w:szCs w:val="18"/>
              </w:rPr>
            </w:pPr>
            <w:r>
              <w:rPr>
                <w:rFonts w:asciiTheme="majorEastAsia" w:eastAsiaTheme="majorEastAsia" w:hAnsiTheme="majorEastAsia" w:hint="eastAsia"/>
                <w:bCs/>
                <w:sz w:val="18"/>
                <w:szCs w:val="18"/>
              </w:rPr>
              <w:t>预约赎回期中，本产品的累计产品份额净预约赎回申请（预约赎回申请总份额扣除预约申购总份额后的余额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下同）之和达到赎回日上一日产品总份额的【10】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，为巨额赎回。</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FC6DC4" w:rsidRDefault="00F86856">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FC6DC4" w:rsidRDefault="00F86856">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FC6DC4" w:rsidRDefault="00F86856">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日之前的估值日公布的产品份额净值已扣除交易手续费、销售服务费、产品托管费、投资管理费。</w:t>
            </w:r>
          </w:p>
          <w:p w:rsidR="00FC6DC4" w:rsidRDefault="00F86856">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FC6DC4">
        <w:trPr>
          <w:trHeight w:val="1078"/>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FC6DC4" w:rsidRDefault="00F86856">
            <w:pPr>
              <w:spacing w:line="360" w:lineRule="auto"/>
              <w:rPr>
                <w:rFonts w:asciiTheme="majorEastAsia" w:hAnsiTheme="majorEastAsia"/>
                <w:bCs/>
                <w:sz w:val="18"/>
                <w:szCs w:val="18"/>
              </w:rPr>
            </w:pPr>
            <w:r>
              <w:rPr>
                <w:rFonts w:ascii="宋体" w:hAnsi="宋体" w:hint="eastAsia"/>
                <w:b/>
                <w:bCs/>
                <w:sz w:val="18"/>
                <w:szCs w:val="18"/>
              </w:rPr>
              <w:t>1.业绩比较基准的说明：</w:t>
            </w:r>
            <w:r>
              <w:rPr>
                <w:rFonts w:asciiTheme="majorEastAsia" w:eastAsiaTheme="majorEastAsia" w:hAnsiTheme="majorEastAsia" w:hint="eastAsia"/>
                <w:bCs/>
                <w:sz w:val="18"/>
                <w:szCs w:val="18"/>
              </w:rPr>
              <w:t>以一年期定期存款利率为无风险利率，基于当前对未来市场的判断，根据拟投资固定收益类资产的信用利差、久期敞口以及流动性溢价，预判组合的波动幅度，设定业绩基准。</w:t>
            </w:r>
          </w:p>
          <w:p w:rsidR="00FC6DC4" w:rsidRDefault="00F8685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2.业绩比较基准的设定</w:t>
            </w:r>
            <w:r>
              <w:rPr>
                <w:rFonts w:asciiTheme="majorEastAsia" w:eastAsiaTheme="majorEastAsia" w:hAnsiTheme="majorEastAsia" w:hint="eastAsia"/>
                <w:bCs/>
                <w:sz w:val="18"/>
                <w:szCs w:val="18"/>
              </w:rPr>
              <w:t>：</w:t>
            </w:r>
            <w:r>
              <w:rPr>
                <w:rFonts w:asciiTheme="majorEastAsia" w:hAnsiTheme="majorEastAsia" w:hint="eastAsia"/>
                <w:b/>
                <w:sz w:val="18"/>
              </w:rPr>
              <w:t>管理人对</w:t>
            </w:r>
            <w:r>
              <w:rPr>
                <w:rFonts w:asciiTheme="majorEastAsia" w:hAnsiTheme="majorEastAsia"/>
                <w:b/>
                <w:sz w:val="18"/>
              </w:rPr>
              <w:t>本产品设定</w:t>
            </w:r>
            <w:r>
              <w:rPr>
                <w:rFonts w:asciiTheme="majorEastAsia" w:hAnsiTheme="majorEastAsia" w:hint="eastAsia"/>
                <w:b/>
                <w:sz w:val="18"/>
              </w:rPr>
              <w:t>业绩比较基准：年化</w:t>
            </w:r>
            <w:r>
              <w:rPr>
                <w:rFonts w:ascii="宋体" w:hAnsi="宋体" w:hint="eastAsia"/>
                <w:b/>
                <w:bCs/>
                <w:sz w:val="18"/>
                <w:szCs w:val="18"/>
              </w:rPr>
              <w:t>【3.00-4.00%</w:t>
            </w:r>
            <w:r>
              <w:rPr>
                <w:rFonts w:ascii="宋体" w:hAnsi="宋体"/>
                <w:b/>
                <w:bCs/>
                <w:sz w:val="18"/>
                <w:szCs w:val="18"/>
              </w:rPr>
              <w:t>】</w:t>
            </w:r>
            <w:r>
              <w:rPr>
                <w:rFonts w:ascii="宋体" w:hAnsi="宋体" w:hint="eastAsia"/>
                <w:b/>
                <w:bCs/>
                <w:sz w:val="18"/>
                <w:szCs w:val="18"/>
              </w:rPr>
              <w:t>。</w:t>
            </w:r>
          </w:p>
          <w:p w:rsidR="00FC6DC4" w:rsidRDefault="00F8685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3.业绩比较基准的提示：</w:t>
            </w:r>
          </w:p>
          <w:p w:rsidR="00FC6DC4" w:rsidRDefault="00F8685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FC6DC4" w:rsidRDefault="00F86856">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w:t>
            </w:r>
            <w:r>
              <w:rPr>
                <w:rFonts w:asciiTheme="majorEastAsia" w:eastAsiaTheme="majorEastAsia" w:hAnsiTheme="majorEastAsia" w:hint="eastAsia"/>
                <w:kern w:val="0"/>
                <w:sz w:val="18"/>
                <w:szCs w:val="18"/>
              </w:rPr>
              <w:lastRenderedPageBreak/>
              <w:t>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FC6DC4">
        <w:trPr>
          <w:trHeight w:val="1078"/>
          <w:jc w:val="center"/>
        </w:trPr>
        <w:tc>
          <w:tcPr>
            <w:tcW w:w="1945" w:type="dxa"/>
            <w:shd w:val="solid" w:color="FFFFFF" w:fill="FFFFFF"/>
            <w:vAlign w:val="center"/>
          </w:tcPr>
          <w:p w:rsidR="00FC6DC4" w:rsidRDefault="00F86856">
            <w:pPr>
              <w:spacing w:line="360" w:lineRule="auto"/>
              <w:jc w:val="left"/>
              <w:rPr>
                <w:sz w:val="18"/>
                <w:szCs w:val="18"/>
              </w:rPr>
            </w:pPr>
            <w:r>
              <w:rPr>
                <w:rFonts w:hint="eastAsia"/>
                <w:sz w:val="18"/>
                <w:szCs w:val="18"/>
              </w:rPr>
              <w:lastRenderedPageBreak/>
              <w:t>★</w:t>
            </w:r>
            <w:r>
              <w:rPr>
                <w:rFonts w:hint="eastAsia"/>
                <w:b/>
                <w:sz w:val="18"/>
                <w:szCs w:val="18"/>
              </w:rPr>
              <w:t>业绩报酬计提基准</w:t>
            </w:r>
          </w:p>
        </w:tc>
        <w:tc>
          <w:tcPr>
            <w:tcW w:w="7704" w:type="dxa"/>
            <w:shd w:val="solid" w:color="FFFFFF" w:fill="FFFFFF"/>
            <w:vAlign w:val="center"/>
          </w:tcPr>
          <w:p w:rsidR="00FC6DC4" w:rsidRDefault="00F86856">
            <w:pPr>
              <w:spacing w:line="360" w:lineRule="auto"/>
              <w:jc w:val="left"/>
              <w:rPr>
                <w:rFonts w:ascii="宋体" w:hAnsi="宋体"/>
                <w:bCs/>
                <w:sz w:val="18"/>
                <w:szCs w:val="18"/>
              </w:rPr>
            </w:pPr>
            <w:r>
              <w:rPr>
                <w:rFonts w:ascii="宋体" w:hAnsi="宋体" w:hint="eastAsia"/>
                <w:bCs/>
                <w:sz w:val="18"/>
                <w:szCs w:val="18"/>
              </w:rPr>
              <w:t>管理人对本产品设定业绩报酬计提基准：【</w:t>
            </w:r>
            <w:r w:rsidR="00F9529B">
              <w:rPr>
                <w:rFonts w:ascii="宋体" w:hAnsi="宋体" w:hint="eastAsia"/>
                <w:bCs/>
                <w:sz w:val="18"/>
                <w:szCs w:val="18"/>
              </w:rPr>
              <w:t>业绩比较基准上限</w:t>
            </w:r>
            <w:r>
              <w:rPr>
                <w:rFonts w:ascii="宋体" w:hAnsi="宋体" w:hint="eastAsia"/>
                <w:bCs/>
                <w:sz w:val="18"/>
                <w:szCs w:val="18"/>
              </w:rPr>
              <w:t>】。</w:t>
            </w:r>
          </w:p>
          <w:p w:rsidR="00FC6DC4" w:rsidRDefault="00F86856">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FC6DC4" w:rsidRDefault="00F86856">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w:t>
            </w:r>
          </w:p>
          <w:p w:rsidR="00FC6DC4" w:rsidRDefault="00F86856">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w:t>
            </w:r>
            <w:r>
              <w:rPr>
                <w:rFonts w:ascii="宋体" w:hAnsi="宋体"/>
                <w:bCs/>
                <w:color w:val="000000" w:themeColor="text1"/>
                <w:sz w:val="18"/>
                <w:szCs w:val="18"/>
              </w:rPr>
              <w:t>。</w:t>
            </w:r>
          </w:p>
          <w:p w:rsidR="00FC6DC4" w:rsidRDefault="00F86856">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w:t>
            </w:r>
          </w:p>
          <w:p w:rsidR="00FC6DC4" w:rsidRDefault="00F86856">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4.销售服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【0.40】%</w:t>
            </w:r>
            <w:r>
              <w:rPr>
                <w:rFonts w:ascii="宋体" w:hAnsi="宋体" w:hint="eastAsia"/>
                <w:bCs/>
                <w:color w:val="000000" w:themeColor="text1"/>
                <w:sz w:val="18"/>
                <w:szCs w:val="18"/>
              </w:rPr>
              <w:t>。</w:t>
            </w:r>
          </w:p>
          <w:p w:rsidR="00FC6DC4" w:rsidRDefault="00F86856">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20】</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C6DC4" w:rsidRDefault="00F86856">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C6DC4" w:rsidRDefault="00F86856">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7</w:t>
            </w:r>
            <w:r>
              <w:rPr>
                <w:rFonts w:ascii="宋体" w:hAnsi="宋体"/>
                <w:b/>
                <w:bCs/>
                <w:color w:val="000000" w:themeColor="text1"/>
                <w:sz w:val="18"/>
                <w:szCs w:val="18"/>
              </w:rPr>
              <w:t>.</w:t>
            </w:r>
            <w:r>
              <w:rPr>
                <w:rFonts w:ascii="宋体" w:hAnsi="宋体" w:hint="eastAsia"/>
                <w:b/>
                <w:bCs/>
                <w:color w:val="000000" w:themeColor="text1"/>
                <w:sz w:val="18"/>
                <w:szCs w:val="18"/>
              </w:rPr>
              <w:t>超额业绩报酬：</w:t>
            </w:r>
          </w:p>
          <w:p w:rsidR="00FC6DC4" w:rsidRDefault="00F86856">
            <w:pPr>
              <w:widowControl/>
              <w:spacing w:line="360" w:lineRule="auto"/>
              <w:jc w:val="left"/>
              <w:rPr>
                <w:rFonts w:ascii="宋体" w:hAnsi="宋体"/>
                <w:sz w:val="18"/>
                <w:szCs w:val="18"/>
              </w:rPr>
            </w:pPr>
            <w:r>
              <w:rPr>
                <w:rFonts w:ascii="宋体" w:hAnsi="宋体" w:hint="eastAsia"/>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rsidR="00FC6DC4" w:rsidRDefault="00F86856">
            <w:pPr>
              <w:spacing w:line="360" w:lineRule="auto"/>
              <w:rPr>
                <w:rFonts w:ascii="黑体" w:eastAsia="黑体" w:hAnsi="黑体"/>
                <w:bCs/>
                <w:sz w:val="18"/>
                <w:szCs w:val="18"/>
              </w:rPr>
            </w:pPr>
            <w:r>
              <w:rPr>
                <w:rFonts w:ascii="宋体" w:hAnsi="宋体"/>
                <w:bCs/>
                <w:sz w:val="18"/>
                <w:szCs w:val="18"/>
              </w:rPr>
              <w:t>8</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hAnsi="宋体"/>
                <w:sz w:val="18"/>
                <w:szCs w:val="18"/>
              </w:rPr>
            </w:pPr>
            <w:r>
              <w:rPr>
                <w:rFonts w:ascii="宋体" w:hAnsi="宋体" w:hint="eastAsia"/>
                <w:b/>
                <w:bCs/>
                <w:kern w:val="0"/>
                <w:sz w:val="18"/>
                <w:szCs w:val="18"/>
              </w:rPr>
              <w:t>税收</w:t>
            </w:r>
          </w:p>
        </w:tc>
        <w:tc>
          <w:tcPr>
            <w:tcW w:w="7704" w:type="dxa"/>
            <w:shd w:val="solid" w:color="FFFFFF" w:fill="FFFFFF"/>
            <w:vAlign w:val="center"/>
          </w:tcPr>
          <w:p w:rsidR="00FC6DC4" w:rsidRDefault="00F86856">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FC6DC4" w:rsidRDefault="00F86856">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FC6DC4">
        <w:trPr>
          <w:trHeight w:val="275"/>
          <w:jc w:val="center"/>
        </w:trPr>
        <w:tc>
          <w:tcPr>
            <w:tcW w:w="1945" w:type="dxa"/>
            <w:shd w:val="solid" w:color="FFFFFF" w:fill="FFFFFF"/>
            <w:vAlign w:val="center"/>
          </w:tcPr>
          <w:p w:rsidR="00FC6DC4" w:rsidRDefault="00F8685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FC6DC4" w:rsidRDefault="00F86856">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FC6DC4" w:rsidRDefault="00FC6DC4">
      <w:pPr>
        <w:pStyle w:val="Default"/>
        <w:spacing w:line="360" w:lineRule="auto"/>
        <w:rPr>
          <w:rFonts w:hAnsi="宋体"/>
          <w:sz w:val="18"/>
          <w:szCs w:val="18"/>
        </w:rPr>
      </w:pPr>
    </w:p>
    <w:p w:rsidR="00FC6DC4" w:rsidRDefault="00F86856">
      <w:pPr>
        <w:widowControl/>
        <w:spacing w:line="360" w:lineRule="auto"/>
        <w:jc w:val="left"/>
        <w:rPr>
          <w:rFonts w:ascii="宋体" w:hAnsi="宋体"/>
          <w:color w:val="000000"/>
          <w:kern w:val="0"/>
          <w:sz w:val="18"/>
          <w:szCs w:val="18"/>
        </w:rPr>
      </w:pPr>
      <w:r>
        <w:rPr>
          <w:rFonts w:hAnsi="宋体"/>
          <w:sz w:val="18"/>
          <w:szCs w:val="18"/>
        </w:rPr>
        <w:br w:type="page"/>
      </w:r>
    </w:p>
    <w:p w:rsidR="00FC6DC4" w:rsidRDefault="00F86856">
      <w:pPr>
        <w:pStyle w:val="1"/>
        <w:spacing w:before="0" w:after="0" w:line="360" w:lineRule="auto"/>
        <w:jc w:val="center"/>
        <w:rPr>
          <w:rFonts w:ascii="Times New Roman"/>
          <w:sz w:val="30"/>
        </w:rPr>
      </w:pPr>
      <w:bookmarkStart w:id="6" w:name="_Toc15862"/>
      <w:bookmarkStart w:id="7" w:name="_Toc79154666"/>
      <w:bookmarkStart w:id="8" w:name="_Toc92377132"/>
      <w:r>
        <w:rPr>
          <w:rFonts w:ascii="Times New Roman"/>
          <w:sz w:val="30"/>
        </w:rPr>
        <w:lastRenderedPageBreak/>
        <w:t>第</w:t>
      </w:r>
      <w:r>
        <w:rPr>
          <w:rFonts w:ascii="Times New Roman" w:hint="eastAsia"/>
          <w:sz w:val="30"/>
        </w:rPr>
        <w:t>三条</w:t>
      </w:r>
      <w:r>
        <w:rPr>
          <w:rFonts w:ascii="Times New Roman"/>
          <w:sz w:val="30"/>
        </w:rPr>
        <w:t xml:space="preserve">  </w:t>
      </w:r>
      <w:bookmarkStart w:id="9" w:name="_Toc79392573"/>
      <w:r>
        <w:rPr>
          <w:rFonts w:ascii="Times New Roman" w:hint="eastAsia"/>
          <w:sz w:val="30"/>
        </w:rPr>
        <w:t>理财产品的认购</w:t>
      </w:r>
      <w:bookmarkEnd w:id="6"/>
      <w:bookmarkEnd w:id="7"/>
      <w:bookmarkEnd w:id="8"/>
    </w:p>
    <w:p w:rsidR="00FC6DC4" w:rsidRDefault="00F86856">
      <w:pPr>
        <w:spacing w:line="360" w:lineRule="auto"/>
        <w:ind w:firstLineChars="200" w:firstLine="361"/>
        <w:rPr>
          <w:rFonts w:asciiTheme="minorEastAsia" w:hAnsiTheme="minorEastAsia"/>
          <w:b/>
          <w:bCs/>
          <w:sz w:val="18"/>
          <w:szCs w:val="18"/>
        </w:rPr>
      </w:pPr>
      <w:bookmarkStart w:id="10" w:name="_Hlt88031774"/>
      <w:bookmarkStart w:id="11" w:name="_Hlt88031741"/>
      <w:bookmarkEnd w:id="10"/>
      <w:r>
        <w:rPr>
          <w:rFonts w:asciiTheme="minorEastAsia" w:hAnsiTheme="minorEastAsia" w:hint="eastAsia"/>
          <w:b/>
          <w:bCs/>
          <w:sz w:val="18"/>
          <w:szCs w:val="18"/>
        </w:rPr>
        <w:t>（一）理财产品的认购</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4"/>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FC6DC4">
        <w:trPr>
          <w:jc w:val="center"/>
        </w:trPr>
        <w:tc>
          <w:tcPr>
            <w:tcW w:w="1984" w:type="dxa"/>
            <w:vAlign w:val="center"/>
          </w:tcPr>
          <w:p w:rsidR="00FC6DC4" w:rsidRDefault="00F86856">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FC6DC4" w:rsidRDefault="00F86856">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FC6DC4" w:rsidRDefault="00F86856">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FC6DC4">
        <w:trPr>
          <w:jc w:val="center"/>
        </w:trPr>
        <w:tc>
          <w:tcPr>
            <w:tcW w:w="1984" w:type="dxa"/>
            <w:vAlign w:val="center"/>
          </w:tcPr>
          <w:p w:rsidR="00FC6DC4" w:rsidRDefault="00F86856">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FC6DC4" w:rsidRDefault="00F86856">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FC6DC4" w:rsidRDefault="00F86856">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FC6DC4" w:rsidRDefault="00F86856">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FC6DC4" w:rsidRDefault="00F86856">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p>
    <w:p w:rsidR="00FC6DC4" w:rsidRDefault="00F8685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FC6DC4" w:rsidRDefault="00F8685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FC6DC4" w:rsidRDefault="00F8685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FC6DC4" w:rsidRDefault="00F8685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FC6DC4" w:rsidRDefault="00F86856">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进入理财运作，不计算理财利益。</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C6DC4" w:rsidRDefault="00F86856">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FC6DC4" w:rsidRDefault="00F86856">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C6DC4" w:rsidRDefault="00FC6DC4">
      <w:pPr>
        <w:spacing w:line="360" w:lineRule="auto"/>
        <w:ind w:firstLineChars="200" w:firstLine="360"/>
        <w:rPr>
          <w:rFonts w:asciiTheme="minorEastAsia" w:hAnsiTheme="minorEastAsia"/>
          <w:bCs/>
          <w:sz w:val="18"/>
          <w:szCs w:val="18"/>
        </w:rPr>
      </w:pPr>
    </w:p>
    <w:p w:rsidR="00FC6DC4" w:rsidRDefault="00F86856">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FC6DC4" w:rsidRDefault="00F86856">
      <w:pPr>
        <w:pStyle w:val="1"/>
        <w:spacing w:before="0" w:after="0" w:line="360" w:lineRule="auto"/>
        <w:jc w:val="center"/>
        <w:rPr>
          <w:rFonts w:ascii="Times New Roman"/>
          <w:sz w:val="30"/>
        </w:rPr>
      </w:pPr>
      <w:bookmarkStart w:id="12" w:name="_Toc92377133"/>
      <w:bookmarkStart w:id="13" w:name="_Toc79154667"/>
      <w:bookmarkStart w:id="14" w:name="_Toc28040"/>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bookmarkEnd w:id="12"/>
      <w:bookmarkEnd w:id="13"/>
      <w:bookmarkEnd w:id="14"/>
    </w:p>
    <w:bookmarkEnd w:id="11"/>
    <w:p w:rsidR="00FC6DC4" w:rsidRDefault="00FC6DC4">
      <w:pPr>
        <w:spacing w:line="360" w:lineRule="auto"/>
        <w:ind w:firstLineChars="200" w:firstLine="420"/>
      </w:pP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本产品设置预约申购期，具体的预约申购期时间以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本产品预约申购期内提出预约申购申请。</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FC6DC4" w:rsidRDefault="00F86856">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inorEastAsia" w:hAnsiTheme="minorEastAsia" w:hint="eastAsia"/>
          <w:bCs/>
          <w:color w:val="auto"/>
          <w:sz w:val="18"/>
          <w:szCs w:val="18"/>
        </w:rPr>
        <w:t>预约申购期内产品管理人可受理投资者提交的预约申购申请。</w:t>
      </w:r>
      <w:r>
        <w:rPr>
          <w:rFonts w:asciiTheme="majorEastAsia" w:eastAsiaTheme="majorEastAsia" w:hAnsiTheme="majorEastAsia" w:hint="eastAsia"/>
          <w:color w:val="auto"/>
          <w:sz w:val="18"/>
          <w:szCs w:val="18"/>
        </w:rPr>
        <w:t>提交预约申购申请并不代表申购成功，产品管理人将在申购确认日确认投资者是否申购成功。申购是否成功以管理人的确认结果为准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FC6DC4" w:rsidRDefault="00F86856">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申购份额=净申购金额/申购日产品份额净值</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lastRenderedPageBreak/>
        <w:t>1.</w:t>
      </w:r>
      <w:r>
        <w:rPr>
          <w:rFonts w:asciiTheme="minorEastAsia" w:hAnsiTheme="minorEastAsia" w:hint="eastAsia"/>
          <w:b/>
          <w:bCs/>
          <w:color w:val="auto"/>
          <w:sz w:val="18"/>
          <w:szCs w:val="18"/>
        </w:rPr>
        <w:t>赎回的时间</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本产品设置预约赎回期，具体的预约赎回期时间以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本产品预约赎回期内提出预约赎回申请。</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FC6DC4" w:rsidRDefault="00F86856">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预约赎回期内产品管理人可受理投资者提交的预约赎回申请。</w:t>
      </w:r>
      <w:r>
        <w:rPr>
          <w:rFonts w:asciiTheme="majorEastAsia" w:eastAsiaTheme="majorEastAsia" w:hAnsiTheme="majorEastAsia" w:hint="eastAsia"/>
          <w:color w:val="auto"/>
          <w:sz w:val="18"/>
          <w:szCs w:val="18"/>
        </w:rPr>
        <w:t>提交预约赎回申请并不代表赎回成功，产品管理人将在赎回确认日确认投资者是否赎回成功。赎回是否成功以管理人的确认结果为准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FC6DC4" w:rsidRDefault="00F8685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FC6DC4" w:rsidRDefault="00F86856">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赎回总金额=赎回份额×赎回日该产品份额净值</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原则，即本产品申购申请和赎回申请提交时，适用的产品份额净值都是未知的。</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FC6DC4" w:rsidRDefault="00F86856">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lastRenderedPageBreak/>
        <w:t>（五）拒绝或暂停申购的情形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FC6DC4" w:rsidRDefault="00F86856">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C6DC4" w:rsidRDefault="00F86856">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FC6DC4" w:rsidRDefault="00F86856">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出现巨额赎回时，产品管理人有权决定：（1）</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超出部分的净预约赎回申请，但投资者可于下一预约赎回期重新进行预约赎回申请；（</w:t>
      </w:r>
      <w:r>
        <w:rPr>
          <w:rFonts w:asciiTheme="majorEastAsia" w:eastAsiaTheme="majorEastAsia" w:hAnsiTheme="majorEastAsia"/>
          <w:bCs/>
          <w:sz w:val="18"/>
          <w:szCs w:val="18"/>
        </w:rPr>
        <w:t>2）延缓支付赎回款项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。（3）法律法规规定或监管机构规定的其他措施。</w:t>
      </w:r>
    </w:p>
    <w:p w:rsidR="00FC6DC4" w:rsidRDefault="00F86856">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在发生巨额赎回产品管理人暂停接受投资者预约赎回申请时，产品管理人将依约定发布相关公告信息。</w:t>
      </w:r>
    </w:p>
    <w:p w:rsidR="00FC6DC4" w:rsidRDefault="00F86856">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FC6DC4" w:rsidRDefault="00F8685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FC6DC4" w:rsidRDefault="00F8685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C6DC4" w:rsidRDefault="00F86856">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FC6DC4" w:rsidRDefault="00F86856">
      <w:pPr>
        <w:pStyle w:val="1"/>
        <w:spacing w:before="0" w:after="0" w:line="360" w:lineRule="auto"/>
        <w:jc w:val="center"/>
        <w:rPr>
          <w:rFonts w:ascii="Times New Roman"/>
          <w:sz w:val="30"/>
        </w:rPr>
      </w:pPr>
      <w:bookmarkStart w:id="15" w:name="_Toc29948"/>
      <w:bookmarkStart w:id="16" w:name="_Toc16265"/>
      <w:bookmarkStart w:id="17" w:name="_Toc22074"/>
      <w:bookmarkStart w:id="18" w:name="_Toc74065741"/>
      <w:bookmarkStart w:id="19" w:name="_Toc29784"/>
      <w:bookmarkStart w:id="20" w:name="_Toc90742321"/>
      <w:bookmarkStart w:id="21" w:name="_Toc24722"/>
      <w:bookmarkStart w:id="22" w:name="_Toc92377134"/>
      <w:bookmarkStart w:id="23" w:name="_Toc27226"/>
      <w:bookmarkStart w:id="24" w:name="_Toc79154668"/>
      <w:bookmarkStart w:id="25" w:name="_Toc3266"/>
      <w:bookmarkStart w:id="26" w:name="_Toc7151"/>
      <w:bookmarkStart w:id="27" w:name="_Toc90742390"/>
      <w:bookmarkStart w:id="28" w:name="_Toc90742688"/>
      <w:bookmarkStart w:id="29" w:name="_Toc6714"/>
      <w:bookmarkStart w:id="30" w:name="_Toc27189"/>
      <w:bookmarkStart w:id="31" w:name="_Toc15203"/>
      <w:bookmarkEnd w:id="9"/>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在严格控制组合风险的前提下，通过不断优化组合，力争实现超越业绩比较基准的收益。</w:t>
      </w:r>
    </w:p>
    <w:p w:rsidR="00FC6DC4" w:rsidRDefault="00F86856">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（实际投资范围可根据法律法规及监管规定进行调整）</w:t>
      </w:r>
      <w:r>
        <w:rPr>
          <w:rFonts w:asciiTheme="majorEastAsia" w:eastAsiaTheme="majorEastAsia" w:hAnsiTheme="majorEastAsia"/>
          <w:bCs/>
          <w:sz w:val="18"/>
          <w:szCs w:val="18"/>
        </w:rPr>
        <w:t>：</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（1）银行存款、债券逆回购、货币基金等货币市场工具及其它银行间和交易所资金融通工具；</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（3）符合监管要求的债权类资产。</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（4）以套期保值为目的的国债期货、利率互换、</w:t>
      </w:r>
      <w:r>
        <w:rPr>
          <w:rFonts w:asciiTheme="majorEastAsia" w:eastAsiaTheme="majorEastAsia" w:hAnsiTheme="majorEastAsia" w:hint="eastAsia"/>
          <w:bCs/>
          <w:color w:val="000000" w:themeColor="text1"/>
          <w:sz w:val="18"/>
          <w:szCs w:val="18"/>
        </w:rPr>
        <w:t>信用风险缓释工具、</w:t>
      </w:r>
      <w:r>
        <w:rPr>
          <w:rFonts w:asciiTheme="majorEastAsia" w:eastAsiaTheme="majorEastAsia" w:hAnsiTheme="majorEastAsia" w:hint="eastAsia"/>
          <w:bCs/>
          <w:sz w:val="18"/>
          <w:szCs w:val="18"/>
        </w:rPr>
        <w:t>债券借贷。</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（6）其他风险不高于前述资产的资产。</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本产品投资于固定收益类资产的比例不低于产品总资产的</w:t>
      </w:r>
      <w:r>
        <w:rPr>
          <w:rFonts w:asciiTheme="majorEastAsia" w:eastAsiaTheme="majorEastAsia" w:hAnsiTheme="majorEastAsia"/>
          <w:bCs/>
          <w:sz w:val="18"/>
          <w:szCs w:val="18"/>
        </w:rPr>
        <w:t>80%</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p>
    <w:p w:rsidR="00FC6DC4" w:rsidRDefault="00F86856">
      <w:pPr>
        <w:autoSpaceDE w:val="0"/>
        <w:autoSpaceDN w:val="0"/>
        <w:adjustRightInd w:val="0"/>
        <w:spacing w:line="360" w:lineRule="auto"/>
        <w:ind w:firstLineChars="235" w:firstLine="423"/>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符合监管要求的非标准化债权类资产低于产品总资产的50%。</w:t>
      </w:r>
    </w:p>
    <w:p w:rsidR="00FC6DC4" w:rsidRDefault="00F86856">
      <w:pPr>
        <w:pStyle w:val="Default"/>
        <w:spacing w:line="360" w:lineRule="auto"/>
        <w:ind w:firstLineChars="235" w:firstLine="423"/>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kern w:val="2"/>
          <w:sz w:val="18"/>
          <w:szCs w:val="18"/>
        </w:rPr>
        <w:t>（3）</w:t>
      </w:r>
      <w:r>
        <w:rPr>
          <w:rFonts w:asciiTheme="majorEastAsia" w:eastAsiaTheme="majorEastAsia" w:hAnsiTheme="majorEastAsia" w:hint="eastAsia"/>
          <w:bCs/>
          <w:sz w:val="18"/>
          <w:szCs w:val="18"/>
        </w:rPr>
        <w:t>国债期货、利率互换、信用风险缓释工具等衍生品</w:t>
      </w:r>
      <w:r>
        <w:rPr>
          <w:rFonts w:asciiTheme="majorEastAsia" w:eastAsiaTheme="majorEastAsia" w:hAnsiTheme="majorEastAsia" w:hint="eastAsia"/>
          <w:bCs/>
          <w:color w:val="000000" w:themeColor="text1"/>
          <w:kern w:val="2"/>
          <w:sz w:val="18"/>
          <w:szCs w:val="18"/>
        </w:rPr>
        <w:t>占产品总资产比例低于20%。</w:t>
      </w:r>
    </w:p>
    <w:p w:rsidR="00FC6DC4" w:rsidRDefault="00F86856">
      <w:pPr>
        <w:autoSpaceDE w:val="0"/>
        <w:autoSpaceDN w:val="0"/>
        <w:adjustRightInd w:val="0"/>
        <w:spacing w:line="360" w:lineRule="auto"/>
        <w:ind w:firstLineChars="200" w:firstLine="361"/>
        <w:jc w:val="left"/>
      </w:pPr>
      <w:r>
        <w:rPr>
          <w:rFonts w:asciiTheme="majorEastAsia" w:eastAsiaTheme="majorEastAsia" w:hAnsiTheme="majorEastAsia" w:hint="eastAsia"/>
          <w:b/>
          <w:sz w:val="18"/>
          <w:szCs w:val="18"/>
        </w:rPr>
        <w:t>注：本产品可能投资不存在活跃交易市场，并且需要采用估值技术确定公允价值的资产，且投资上述资产的比例达到理财产品净资产50%以上。</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.如果法律法规对本协议约定投资组合比例限制进行变更的，以变更后的规定为准。</w:t>
      </w:r>
    </w:p>
    <w:p w:rsidR="00FC6DC4" w:rsidRDefault="00F8685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w:t>
      </w:r>
      <w:r>
        <w:rPr>
          <w:rFonts w:asciiTheme="majorEastAsia" w:eastAsiaTheme="majorEastAsia" w:hAnsiTheme="majorEastAsia"/>
          <w:bCs/>
          <w:sz w:val="18"/>
          <w:szCs w:val="18"/>
        </w:rPr>
        <w:lastRenderedPageBreak/>
        <w:t>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FC6DC4" w:rsidRDefault="00F86856">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FC6DC4" w:rsidRDefault="00F86856">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（2）本产品管理人全部公募理财产品持有单只证券或单只公募证券投资基金的市值，不得超过该证券市值或该公募证券投资基金市值的30%。</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（3）本产品管理人全部理财产品持有单一上市公司发行的股票，不得超过该上市公司可流通股票的30%。</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（4）本产品管理人全部开放式公募理财产品投资单一上市公司发行的股票不得超过该上市公司可流通股票的15%。</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（5）本产品直接投资于流动性受限资产的市值在开放日不得超过该产品资产净值的15%。</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（8）本产品因为流动性需要可开展存单质押、债券正回购等融资业务，本产品总资产不超过净资产的</w:t>
      </w:r>
      <w:r>
        <w:rPr>
          <w:rFonts w:asciiTheme="majorEastAsia" w:eastAsiaTheme="majorEastAsia" w:hAnsiTheme="majorEastAsia" w:hint="eastAsia"/>
          <w:bCs/>
          <w:kern w:val="0"/>
          <w:sz w:val="18"/>
          <w:szCs w:val="18"/>
        </w:rPr>
        <w:lastRenderedPageBreak/>
        <w:t>140%。</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（9）本产品投资资产组合久期不超过【5】年。</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（10）本产品投资的各类债券主体（发行人或担保人）或债项评级达到AA级（含）以上。</w:t>
      </w:r>
    </w:p>
    <w:p w:rsidR="00FC6DC4" w:rsidRDefault="00F8685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bCs/>
          <w:sz w:val="18"/>
          <w:szCs w:val="18"/>
        </w:rPr>
        <w:t>10个交易日内调整至符合要求，监管机构规定的特殊情形除外。本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FC6DC4" w:rsidRDefault="00F8685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通过对经济基本面、企业盈利、无风险利率水平、资金面等因素进行定性和定量分析，根据产品的业绩目标和回撤目标制定各个阶段产品股债投资比例。</w:t>
      </w:r>
    </w:p>
    <w:p w:rsidR="00FC6DC4" w:rsidRDefault="00F8685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FC6DC4" w:rsidRDefault="00F86856">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bCs/>
          <w:sz w:val="18"/>
          <w:szCs w:val="18"/>
        </w:rPr>
        <w:t xml:space="preserve">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FC6DC4" w:rsidRDefault="00F86856">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FC6DC4" w:rsidRDefault="00F86856">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产品管理人不设置业绩比较基准。</w:t>
      </w:r>
    </w:p>
    <w:p w:rsidR="00FC6DC4" w:rsidRDefault="00F86856">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kern w:val="0"/>
          <w:sz w:val="18"/>
          <w:szCs w:val="18"/>
        </w:rPr>
        <w:t xml:space="preserve"> 产品管理人设置业绩报酬计提基准。</w:t>
      </w:r>
    </w:p>
    <w:p w:rsidR="00FC6DC4" w:rsidRDefault="00F86856">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FC6DC4" w:rsidRDefault="00F86856">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FC6DC4" w:rsidRDefault="00F86856">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产品管理人不设置业绩报酬计提基准。</w:t>
      </w:r>
    </w:p>
    <w:p w:rsidR="00FC6DC4" w:rsidRDefault="00F86856">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FC6DC4" w:rsidRDefault="00F86856">
      <w:pPr>
        <w:pStyle w:val="1"/>
        <w:spacing w:before="0" w:after="0" w:line="360" w:lineRule="auto"/>
        <w:jc w:val="center"/>
        <w:rPr>
          <w:rFonts w:ascii="Times New Roman"/>
          <w:sz w:val="30"/>
        </w:rPr>
      </w:pPr>
      <w:bookmarkStart w:id="32" w:name="_Toc1823"/>
      <w:bookmarkStart w:id="33" w:name="_Toc14893"/>
      <w:bookmarkStart w:id="34" w:name="_Toc92377135"/>
      <w:bookmarkStart w:id="35" w:name="_Toc79154669"/>
      <w:bookmarkStart w:id="36" w:name="_Toc27357"/>
      <w:bookmarkStart w:id="37" w:name="_Toc18526"/>
      <w:bookmarkStart w:id="38" w:name="_Toc18329"/>
      <w:bookmarkStart w:id="39" w:name="_Toc17912"/>
      <w:bookmarkStart w:id="40" w:name="_Toc7848"/>
      <w:bookmarkStart w:id="41" w:name="_Toc139991735"/>
      <w:bookmarkStart w:id="42" w:name="_Toc18797"/>
      <w:bookmarkStart w:id="43" w:name="_Toc4741"/>
      <w:bookmarkStart w:id="44" w:name="_Toc141703885"/>
      <w:bookmarkStart w:id="45" w:name="_Toc26986"/>
      <w:bookmarkStart w:id="46" w:name="_Toc74065742"/>
      <w:bookmarkStart w:id="47" w:name="_Toc21988"/>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bookmarkStart w:id="48" w:name="_Hlk490214295"/>
      <w:r>
        <w:rPr>
          <w:rFonts w:asciiTheme="majorEastAsia" w:eastAsiaTheme="majorEastAsia" w:hAnsiTheme="majorEastAsia" w:hint="eastAsia"/>
          <w:b/>
          <w:color w:val="auto"/>
          <w:sz w:val="18"/>
          <w:szCs w:val="18"/>
        </w:rPr>
        <w:t>（一）理财产品的资产的保管和处分</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C6DC4" w:rsidRDefault="00F8685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C6DC4" w:rsidRDefault="00F86856">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FC6DC4" w:rsidRDefault="00F86856">
      <w:pPr>
        <w:pStyle w:val="1"/>
        <w:spacing w:before="0" w:after="0" w:line="360" w:lineRule="auto"/>
        <w:jc w:val="center"/>
        <w:rPr>
          <w:rFonts w:ascii="Times New Roman"/>
          <w:sz w:val="28"/>
          <w:szCs w:val="28"/>
        </w:rPr>
      </w:pPr>
      <w:bookmarkStart w:id="49" w:name="_Toc10162"/>
      <w:bookmarkStart w:id="50" w:name="_Toc83391971"/>
      <w:bookmarkStart w:id="51" w:name="_Toc92377136"/>
      <w:bookmarkStart w:id="52" w:name="_Toc1270"/>
      <w:bookmarkStart w:id="53" w:name="_Toc23822"/>
      <w:bookmarkStart w:id="54" w:name="_Toc10463"/>
      <w:bookmarkStart w:id="55" w:name="_Toc123112234"/>
      <w:bookmarkStart w:id="56" w:name="_Toc4003"/>
      <w:bookmarkStart w:id="57" w:name="_Toc74065743"/>
      <w:bookmarkStart w:id="58" w:name="_Toc98560352"/>
      <w:bookmarkStart w:id="59" w:name="_Toc79392606"/>
      <w:bookmarkStart w:id="60" w:name="_Toc141703886"/>
      <w:bookmarkStart w:id="61" w:name="_Toc123051452"/>
      <w:bookmarkStart w:id="62" w:name="_Toc17244"/>
      <w:bookmarkStart w:id="63" w:name="_Toc20733"/>
      <w:bookmarkStart w:id="64" w:name="_Toc139991736"/>
      <w:bookmarkStart w:id="65" w:name="_Toc48649707"/>
      <w:bookmarkStart w:id="66" w:name="_Toc610"/>
      <w:bookmarkStart w:id="67" w:name="_Toc123102453"/>
      <w:bookmarkStart w:id="68" w:name="_Toc23261"/>
      <w:bookmarkStart w:id="69" w:name="_Toc79154670"/>
      <w:bookmarkStart w:id="70" w:name="_Toc1427"/>
      <w:bookmarkStart w:id="71" w:name="_Toc7920"/>
      <w:bookmarkEnd w:id="48"/>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bookmarkEnd w:id="49"/>
      <w:bookmarkEnd w:id="50"/>
      <w:bookmarkEnd w:id="51"/>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FC6DC4" w:rsidRDefault="00F86856">
      <w:pPr>
        <w:pStyle w:val="HTML"/>
        <w:spacing w:line="360" w:lineRule="auto"/>
        <w:ind w:firstLineChars="200" w:firstLine="360"/>
        <w:rPr>
          <w:rFonts w:asciiTheme="minorEastAsia" w:eastAsiaTheme="minorEastAsia" w:hAnsiTheme="minorEastAsia"/>
          <w:color w:val="2E3033"/>
          <w:sz w:val="18"/>
          <w:szCs w:val="18"/>
        </w:rPr>
      </w:pPr>
      <w:r>
        <w:rPr>
          <w:rFonts w:asciiTheme="minorEastAsia" w:eastAsiaTheme="minorEastAsia" w:hAnsiTheme="minorEastAsia" w:hint="eastAsia"/>
          <w:sz w:val="18"/>
          <w:szCs w:val="18"/>
        </w:rPr>
        <w:t>本产品存续期间</w:t>
      </w:r>
      <w:r>
        <w:rPr>
          <w:rFonts w:asciiTheme="minorEastAsia" w:eastAsiaTheme="minorEastAsia" w:hAnsiTheme="minorEastAsia" w:cs="Times New Roman" w:hint="eastAsia"/>
          <w:sz w:val="18"/>
          <w:szCs w:val="18"/>
        </w:rPr>
        <w:t>，每周进行一次估值。如遇产品</w:t>
      </w:r>
      <w:r>
        <w:rPr>
          <w:rFonts w:asciiTheme="minorEastAsia" w:eastAsiaTheme="minorEastAsia" w:hAnsiTheme="minorEastAsia" w:cs="Times New Roman"/>
          <w:sz w:val="18"/>
          <w:szCs w:val="18"/>
        </w:rPr>
        <w:t>申购</w:t>
      </w:r>
      <w:r>
        <w:rPr>
          <w:rFonts w:asciiTheme="minorEastAsia" w:eastAsiaTheme="minorEastAsia" w:hAnsiTheme="minorEastAsia" w:cs="Times New Roman" w:hint="eastAsia"/>
          <w:sz w:val="18"/>
          <w:szCs w:val="18"/>
        </w:rPr>
        <w:t>日</w:t>
      </w:r>
      <w:r>
        <w:rPr>
          <w:rFonts w:asciiTheme="minorEastAsia" w:eastAsiaTheme="minorEastAsia" w:hAnsiTheme="minorEastAsia" w:cs="Times New Roman"/>
          <w:sz w:val="18"/>
          <w:szCs w:val="18"/>
        </w:rPr>
        <w:t>/赎回</w:t>
      </w:r>
      <w:r>
        <w:rPr>
          <w:rFonts w:asciiTheme="minorEastAsia" w:eastAsiaTheme="minorEastAsia" w:hAnsiTheme="minorEastAsia" w:cs="Times New Roman" w:hint="eastAsia"/>
          <w:sz w:val="18"/>
          <w:szCs w:val="18"/>
        </w:rPr>
        <w:t>日、季度</w:t>
      </w:r>
      <w:r>
        <w:rPr>
          <w:rFonts w:asciiTheme="minorEastAsia" w:eastAsiaTheme="minorEastAsia" w:hAnsiTheme="minorEastAsia" w:cs="Times New Roman"/>
          <w:sz w:val="18"/>
          <w:szCs w:val="18"/>
        </w:rPr>
        <w:t>、半年度、年度</w:t>
      </w:r>
      <w:r>
        <w:rPr>
          <w:rFonts w:asciiTheme="minorEastAsia" w:eastAsiaTheme="minorEastAsia" w:hAnsiTheme="minorEastAsia" w:cs="Times New Roman" w:hint="eastAsia"/>
          <w:sz w:val="18"/>
          <w:szCs w:val="18"/>
        </w:rPr>
        <w:t>末等时间节点管理</w:t>
      </w:r>
      <w:r>
        <w:rPr>
          <w:rFonts w:asciiTheme="minorEastAsia" w:eastAsiaTheme="minorEastAsia" w:hAnsiTheme="minorEastAsia" w:cs="Times New Roman"/>
          <w:sz w:val="18"/>
          <w:szCs w:val="18"/>
        </w:rPr>
        <w:t>人将</w:t>
      </w:r>
      <w:r>
        <w:rPr>
          <w:rFonts w:asciiTheme="minorEastAsia" w:eastAsiaTheme="minorEastAsia" w:hAnsiTheme="minorEastAsia" w:cs="Times New Roman" w:hint="eastAsia"/>
          <w:sz w:val="18"/>
          <w:szCs w:val="18"/>
        </w:rPr>
        <w:t>增加估值日</w:t>
      </w:r>
      <w:r>
        <w:rPr>
          <w:rFonts w:asciiTheme="minorEastAsia" w:eastAsiaTheme="minorEastAsia" w:hAnsiTheme="minorEastAsia" w:hint="eastAsia"/>
          <w:color w:val="2E3033"/>
          <w:sz w:val="18"/>
          <w:szCs w:val="18"/>
        </w:rPr>
        <w:t>。</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FC6DC4" w:rsidRDefault="00F86856">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3.非标准化债权类资产</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非标准化债权类资产，是指不满足中国人民银行制定的标准化债权类资产认定标准的债权类资产。可选取第三方估值机构的价格数据或采用估值技术进行估值。</w:t>
      </w:r>
    </w:p>
    <w:p w:rsidR="00FC6DC4" w:rsidRDefault="00F8685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lastRenderedPageBreak/>
        <w:t>4.上市公司股票</w:t>
      </w:r>
      <w:r>
        <w:rPr>
          <w:rFonts w:asciiTheme="majorEastAsia" w:eastAsiaTheme="majorEastAsia" w:hAnsiTheme="majorEastAsia" w:hint="eastAsia"/>
          <w:b/>
          <w:bCs/>
          <w:color w:val="auto"/>
          <w:sz w:val="18"/>
          <w:szCs w:val="18"/>
        </w:rPr>
        <w:t>估值</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FC6DC4" w:rsidRDefault="00F8685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5.未上市公司股权</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6.</w:t>
      </w:r>
      <w:r>
        <w:rPr>
          <w:rFonts w:asciiTheme="minorEastAsia" w:eastAsiaTheme="minorEastAsia" w:hAnsiTheme="minorEastAsia" w:hint="eastAsia"/>
          <w:b/>
          <w:color w:val="auto"/>
          <w:sz w:val="18"/>
          <w:szCs w:val="18"/>
        </w:rPr>
        <w:t>优先股</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eastAsiaTheme="minorEastAsia" w:hAnsiTheme="minorEastAsia" w:hint="eastAsia"/>
          <w:b/>
          <w:color w:val="auto"/>
          <w:sz w:val="18"/>
          <w:szCs w:val="18"/>
        </w:rPr>
        <w:t>证券投资基金估值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1）非上市基金估值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2）上市基金估值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1)本产品投资的ETF基金、境内上市定期开放式基金、封闭式基金，按照所投资基金估值日的收盘价估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lastRenderedPageBreak/>
        <w:t>2)本产品投资的境内上市开放式基金（LOF），按所投资基金估值日的基金份额净值估值；估值日基金净值未公布的，以基金管理人公布的最近一个工作日基金份额净值计算。</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其他资产管理产品的估值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9.衍生金融工具估值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10.</w:t>
      </w:r>
      <w:r>
        <w:rPr>
          <w:rFonts w:asciiTheme="minorEastAsia" w:eastAsiaTheme="minorEastAsia" w:hAnsiTheme="minorEastAsia" w:hint="eastAsia"/>
          <w:b/>
          <w:color w:val="auto"/>
          <w:sz w:val="18"/>
          <w:szCs w:val="18"/>
        </w:rPr>
        <w:t>存款、拆借、回购等货币市场工具的估值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rsidR="00FC6DC4" w:rsidRDefault="00F86856">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FC6DC4" w:rsidRDefault="00F86856">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FC6DC4" w:rsidRDefault="00F8685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（五）估值程序</w:t>
      </w:r>
    </w:p>
    <w:p w:rsidR="00FC6DC4" w:rsidRDefault="00F86856">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四舍五入保留5位小数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FC6DC4" w:rsidRDefault="00F86856">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2.产品管理人对理财资产估值后，将产品份额净值发送产品托管人，经产品托管人复核无误后，由产</w:t>
      </w:r>
      <w:r>
        <w:rPr>
          <w:rFonts w:asciiTheme="minorEastAsia" w:eastAsiaTheme="minorEastAsia" w:hAnsiTheme="minorEastAsia"/>
          <w:sz w:val="18"/>
          <w:szCs w:val="18"/>
        </w:rPr>
        <w:lastRenderedPageBreak/>
        <w:t xml:space="preserve">品管理人按规定对外公布。 </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FC6DC4" w:rsidRDefault="00F86856">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FC6DC4" w:rsidRDefault="00F8685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FC6DC4" w:rsidRDefault="00F8685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FC6DC4" w:rsidRDefault="00F86856">
      <w:pPr>
        <w:widowControl/>
        <w:spacing w:line="360" w:lineRule="auto"/>
        <w:jc w:val="left"/>
        <w:rPr>
          <w:rFonts w:ascii="宋体" w:hAnsi="宋体"/>
          <w:kern w:val="0"/>
          <w:sz w:val="18"/>
          <w:szCs w:val="18"/>
        </w:rPr>
      </w:pPr>
      <w:r>
        <w:rPr>
          <w:rFonts w:hAnsi="宋体"/>
          <w:sz w:val="18"/>
          <w:szCs w:val="18"/>
        </w:rPr>
        <w:br w:type="page"/>
      </w:r>
    </w:p>
    <w:p w:rsidR="00FC6DC4" w:rsidRDefault="00F86856">
      <w:pPr>
        <w:pStyle w:val="1"/>
        <w:spacing w:before="0" w:after="0" w:line="360" w:lineRule="auto"/>
        <w:ind w:left="60" w:firstLine="10"/>
        <w:jc w:val="center"/>
        <w:rPr>
          <w:rFonts w:ascii="Times New Roman"/>
          <w:sz w:val="30"/>
        </w:rPr>
      </w:pPr>
      <w:bookmarkStart w:id="72" w:name="_Hlt70481650"/>
      <w:bookmarkStart w:id="73" w:name="_Toc139991737"/>
      <w:bookmarkStart w:id="74" w:name="_Toc123102454"/>
      <w:bookmarkStart w:id="75" w:name="_Toc98560353"/>
      <w:bookmarkStart w:id="76" w:name="_Toc26207"/>
      <w:bookmarkStart w:id="77" w:name="_Toc123051453"/>
      <w:bookmarkStart w:id="78" w:name="_Toc3138"/>
      <w:bookmarkStart w:id="79" w:name="_Toc31644"/>
      <w:bookmarkStart w:id="80" w:name="_Toc6405"/>
      <w:bookmarkStart w:id="81" w:name="_Toc31235"/>
      <w:bookmarkStart w:id="82" w:name="_Toc14835"/>
      <w:bookmarkStart w:id="83" w:name="_Toc3601"/>
      <w:bookmarkStart w:id="84" w:name="_Toc12245"/>
      <w:bookmarkStart w:id="85" w:name="_Toc31653"/>
      <w:bookmarkStart w:id="86" w:name="_Toc123112235"/>
      <w:bookmarkStart w:id="87" w:name="_Toc79154671"/>
      <w:bookmarkStart w:id="88" w:name="_Toc92377137"/>
      <w:bookmarkStart w:id="89" w:name="_Toc29251"/>
      <w:bookmarkStart w:id="90" w:name="_Toc74065744"/>
      <w:bookmarkStart w:id="91" w:name="_Toc15143"/>
      <w:bookmarkStart w:id="92" w:name="_Toc14170388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bookmarkStart w:id="93" w:name="_Hlt55355235"/>
      <w:bookmarkStart w:id="94" w:name="_Toc523711668"/>
      <w:bookmarkStart w:id="95" w:name="_Toc79392580"/>
      <w:bookmarkStart w:id="96" w:name="_Toc57530239"/>
      <w:bookmarkStart w:id="97" w:name="_Toc1511823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FC6DC4" w:rsidRDefault="00F86856">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FC6DC4" w:rsidRDefault="00F86856">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FC6DC4" w:rsidRDefault="00F86856">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FC6DC4" w:rsidRDefault="00F86856">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FC6DC4" w:rsidRDefault="00F86856">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FC6DC4" w:rsidRDefault="00F86856">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FC6DC4" w:rsidRDefault="00F86856">
      <w:pPr>
        <w:spacing w:line="360" w:lineRule="auto"/>
        <w:ind w:firstLine="360"/>
        <w:rPr>
          <w:rFonts w:ascii="宋体" w:hAnsi="宋体"/>
          <w:b/>
          <w:sz w:val="18"/>
          <w:szCs w:val="18"/>
        </w:rPr>
      </w:pPr>
      <w:r>
        <w:rPr>
          <w:rFonts w:ascii="宋体" w:hAnsi="宋体" w:hint="eastAsia"/>
          <w:b/>
          <w:kern w:val="0"/>
          <w:sz w:val="18"/>
          <w:szCs w:val="18"/>
        </w:rPr>
        <w:t>（四）理财利益的分配</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1.理财利益的分配日</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FC6DC4" w:rsidRDefault="00F86856">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w:t>
      </w:r>
      <w:r>
        <w:rPr>
          <w:rFonts w:hAnsi="宋体" w:hint="eastAsia"/>
          <w:color w:val="auto"/>
          <w:sz w:val="18"/>
          <w:szCs w:val="18"/>
        </w:rPr>
        <w:t>具体的理财利益分配以实际情况为准。</w:t>
      </w:r>
    </w:p>
    <w:p w:rsidR="00FC6DC4" w:rsidRDefault="00F86856">
      <w:pPr>
        <w:widowControl/>
        <w:spacing w:line="360" w:lineRule="auto"/>
        <w:jc w:val="left"/>
        <w:rPr>
          <w:rFonts w:ascii="宋体" w:hAnsi="宋体"/>
          <w:kern w:val="0"/>
          <w:sz w:val="18"/>
          <w:szCs w:val="18"/>
        </w:rPr>
      </w:pPr>
      <w:r>
        <w:rPr>
          <w:rFonts w:hAnsi="宋体"/>
          <w:sz w:val="18"/>
          <w:szCs w:val="18"/>
        </w:rPr>
        <w:br w:type="page"/>
      </w:r>
    </w:p>
    <w:p w:rsidR="00FC6DC4" w:rsidRDefault="00F86856">
      <w:pPr>
        <w:pStyle w:val="1"/>
        <w:spacing w:before="0" w:after="0" w:line="360" w:lineRule="auto"/>
        <w:jc w:val="center"/>
        <w:rPr>
          <w:rFonts w:ascii="Times New Roman"/>
          <w:sz w:val="30"/>
        </w:rPr>
      </w:pPr>
      <w:bookmarkStart w:id="98" w:name="_Hlt88897298"/>
      <w:bookmarkStart w:id="99" w:name="_Hlt88825574"/>
      <w:bookmarkStart w:id="100" w:name="_Toc7058"/>
      <w:bookmarkStart w:id="101" w:name="_Toc79392583"/>
      <w:bookmarkStart w:id="102" w:name="_Toc123102455"/>
      <w:bookmarkStart w:id="103" w:name="_Toc17110"/>
      <w:bookmarkStart w:id="104" w:name="_Toc139991738"/>
      <w:bookmarkStart w:id="105" w:name="_Toc6447"/>
      <w:bookmarkStart w:id="106" w:name="_Toc123051454"/>
      <w:bookmarkStart w:id="107" w:name="_Toc92377138"/>
      <w:bookmarkStart w:id="108" w:name="_Toc79154672"/>
      <w:bookmarkStart w:id="109" w:name="_Toc74065745"/>
      <w:bookmarkStart w:id="110" w:name="_Toc11030"/>
      <w:bookmarkStart w:id="111" w:name="_Toc123112236"/>
      <w:bookmarkStart w:id="112" w:name="_Toc3321"/>
      <w:bookmarkStart w:id="113" w:name="_Toc98560354"/>
      <w:bookmarkStart w:id="114" w:name="_Toc4559"/>
      <w:bookmarkStart w:id="115" w:name="_Toc25783"/>
      <w:bookmarkStart w:id="116" w:name="_Toc141703888"/>
      <w:bookmarkStart w:id="117" w:name="_Toc18567"/>
      <w:bookmarkStart w:id="118" w:name="_Toc3771"/>
      <w:bookmarkStart w:id="119" w:name="_Toc10650"/>
      <w:bookmarkStart w:id="120" w:name="_Toc9706"/>
      <w:bookmarkEnd w:id="94"/>
      <w:bookmarkEnd w:id="95"/>
      <w:bookmarkEnd w:id="96"/>
      <w:bookmarkEnd w:id="97"/>
      <w:bookmarkEnd w:id="98"/>
      <w:bookmarkEnd w:id="99"/>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FC6DC4" w:rsidRDefault="00F86856">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FC6DC4" w:rsidRDefault="00F8685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C6DC4" w:rsidRDefault="00F86856">
      <w:pPr>
        <w:widowControl/>
        <w:spacing w:line="360" w:lineRule="auto"/>
        <w:ind w:firstLineChars="200" w:firstLine="360"/>
        <w:jc w:val="left"/>
        <w:rPr>
          <w:rStyle w:val="af2"/>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C6DC4" w:rsidRDefault="00F86856">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FC6DC4" w:rsidRDefault="00F86856">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FC6DC4" w:rsidRDefault="00F86856">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超额业绩报酬的具体比例数值以《产品说明书》“第二条 理财产品基本情况”为准。</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1）收取超额业绩报酬的原则：</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①按投资者每份产品份额分别计算年化收益率并计提超额业绩报酬；</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②在超额业绩报酬计提日，本产品对符合超额业绩报酬提取条件的产品份额计提超额业绩报酬；</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③在每个赎回日提取超额业绩报酬的，超额业绩报酬从理财资金中扣除；在产品终止日提取超额业绩报酬的，超额业绩报酬从清算资金中扣除。</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2）超额业绩报酬计提方法</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①超额业绩报酬计提日</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每份产品份额超额业绩报酬计提日为每个赎回日或产品终止日。</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②超额业绩报酬的计算</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产品管理人对每份产品份额年化收益率（R）超过当期业绩报酬计提基准的部分，按比例（N）以及该份产品份额当期投资周期天数（D）提取超额业绩报酬，计算方法如下：</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当R≤当期业绩报酬计提基准，超额业绩报酬=0；</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当R＞当期业绩报酬计提基准，超额业绩报酬=投资者持有的产品份额数量×产品成立日或当期投资周期产品份额申购日的产品份额净值×（R-当期业绩报酬计提基准）×N×D/365；</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FC6DC4" w:rsidRDefault="00F86856">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FC6DC4" w:rsidRDefault="00F8685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FC6DC4" w:rsidRDefault="00F86856">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FC6DC4" w:rsidRDefault="00F86856">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FC6DC4" w:rsidRDefault="00F86856">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FC6DC4" w:rsidRDefault="00F8685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FC6DC4" w:rsidRDefault="00F8685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FC6DC4" w:rsidRDefault="00F86856">
      <w:pPr>
        <w:pStyle w:val="1"/>
        <w:spacing w:line="360" w:lineRule="auto"/>
        <w:jc w:val="center"/>
      </w:pPr>
      <w:bookmarkStart w:id="121" w:name="_Toc3963"/>
      <w:bookmarkStart w:id="122" w:name="_Toc1745"/>
      <w:r>
        <w:br w:type="page"/>
      </w:r>
      <w:bookmarkStart w:id="123" w:name="_Toc10398"/>
      <w:bookmarkStart w:id="124" w:name="_Toc725"/>
      <w:bookmarkStart w:id="125" w:name="_Toc123051455"/>
      <w:bookmarkStart w:id="126" w:name="_Toc3080"/>
      <w:bookmarkStart w:id="127" w:name="_Toc141703889"/>
      <w:bookmarkStart w:id="128" w:name="_Toc16164"/>
      <w:bookmarkStart w:id="129" w:name="_Toc4606"/>
      <w:bookmarkStart w:id="130" w:name="_Toc74065746"/>
      <w:bookmarkStart w:id="131" w:name="_Toc21735"/>
      <w:bookmarkStart w:id="132" w:name="_Toc139991739"/>
      <w:bookmarkStart w:id="133" w:name="_Toc98560355"/>
      <w:bookmarkStart w:id="134" w:name="_Toc92377139"/>
      <w:bookmarkStart w:id="135" w:name="_Toc18206"/>
      <w:bookmarkStart w:id="136" w:name="_Toc31821"/>
      <w:bookmarkStart w:id="137" w:name="_Toc79154673"/>
      <w:bookmarkStart w:id="138" w:name="_Toc123112237"/>
      <w:bookmarkStart w:id="139" w:name="_Toc3572"/>
      <w:bookmarkStart w:id="140" w:name="_Toc123102456"/>
      <w:r>
        <w:rPr>
          <w:rFonts w:hint="eastAsia"/>
          <w:sz w:val="30"/>
        </w:rPr>
        <w:lastRenderedPageBreak/>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FC6DC4" w:rsidRDefault="00F86856">
      <w:pPr>
        <w:spacing w:line="360" w:lineRule="auto"/>
        <w:ind w:firstLineChars="200" w:firstLine="361"/>
        <w:rPr>
          <w:rFonts w:asciiTheme="majorEastAsia" w:eastAsiaTheme="majorEastAsia" w:hAnsiTheme="majorEastAsia"/>
          <w:b/>
          <w:bCs/>
          <w:sz w:val="18"/>
          <w:szCs w:val="18"/>
        </w:rPr>
      </w:pPr>
      <w:bookmarkStart w:id="141" w:name="_Toc79392593"/>
      <w:bookmarkStart w:id="142" w:name="_Toc57530252"/>
      <w:bookmarkStart w:id="143" w:name="_Toc15118245"/>
      <w:r>
        <w:rPr>
          <w:rFonts w:asciiTheme="majorEastAsia" w:eastAsiaTheme="majorEastAsia" w:hAnsiTheme="majorEastAsia" w:hint="eastAsia"/>
          <w:b/>
          <w:bCs/>
          <w:sz w:val="18"/>
          <w:szCs w:val="18"/>
        </w:rPr>
        <w:t>（一）理财产品的终止</w:t>
      </w:r>
    </w:p>
    <w:p w:rsidR="00FC6DC4" w:rsidRDefault="00F86856">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FC6DC4" w:rsidRDefault="00F86856">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FC6DC4" w:rsidRDefault="00F86856">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FC6DC4" w:rsidRDefault="00F8685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w:t>
      </w:r>
      <w:r>
        <w:rPr>
          <w:rFonts w:asciiTheme="majorEastAsia" w:eastAsiaTheme="majorEastAsia" w:hAnsiTheme="majorEastAsia" w:hint="eastAsia"/>
          <w:bCs/>
          <w:sz w:val="18"/>
          <w:szCs w:val="18"/>
        </w:rPr>
        <w:lastRenderedPageBreak/>
        <w:t>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FC6DC4" w:rsidRDefault="00F8685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bookmarkEnd w:id="141"/>
    <w:bookmarkEnd w:id="142"/>
    <w:bookmarkEnd w:id="143"/>
    <w:p w:rsidR="00FC6DC4" w:rsidRDefault="00F86856">
      <w:pPr>
        <w:pStyle w:val="1"/>
        <w:spacing w:before="0" w:after="0" w:line="360" w:lineRule="auto"/>
        <w:jc w:val="center"/>
        <w:rPr>
          <w:rFonts w:ascii="Times New Roman"/>
          <w:sz w:val="18"/>
          <w:szCs w:val="18"/>
        </w:rPr>
      </w:pPr>
      <w:r>
        <w:rPr>
          <w:rFonts w:ascii="Times New Roman"/>
          <w:b w:val="0"/>
          <w:bCs w:val="0"/>
          <w:kern w:val="2"/>
        </w:rPr>
        <w:br w:type="page"/>
      </w:r>
      <w:bookmarkStart w:id="144" w:name="_Toc11469"/>
      <w:bookmarkStart w:id="145" w:name="_Toc92377140"/>
      <w:bookmarkStart w:id="146" w:name="_Toc17198"/>
      <w:bookmarkStart w:id="147" w:name="_Toc123112238"/>
      <w:bookmarkStart w:id="148" w:name="_Toc32584"/>
      <w:bookmarkStart w:id="149" w:name="_Toc74065747"/>
      <w:bookmarkStart w:id="150" w:name="_Toc123102457"/>
      <w:bookmarkStart w:id="151" w:name="_Toc3329"/>
      <w:bookmarkStart w:id="152" w:name="_Toc141703890"/>
      <w:bookmarkStart w:id="153" w:name="_Toc123051456"/>
      <w:bookmarkStart w:id="154" w:name="_Toc17920"/>
      <w:bookmarkStart w:id="155" w:name="_Toc79392622"/>
      <w:bookmarkStart w:id="156" w:name="_Toc79154674"/>
      <w:bookmarkStart w:id="157" w:name="_Toc8791"/>
      <w:bookmarkStart w:id="158" w:name="_Toc739"/>
      <w:bookmarkStart w:id="159" w:name="_Toc32092"/>
      <w:bookmarkStart w:id="160" w:name="_Toc139991740"/>
      <w:bookmarkStart w:id="161" w:name="_Toc5170"/>
      <w:bookmarkStart w:id="162" w:name="_Toc29408"/>
      <w:bookmarkStart w:id="163" w:name="_Toc48649708"/>
      <w:bookmarkStart w:id="164" w:name="_Toc83391975"/>
      <w:bookmarkStart w:id="165" w:name="_Toc98560356"/>
      <w:bookmarkStart w:id="166" w:name="_Toc21237"/>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bookmarkEnd w:id="144"/>
      <w:bookmarkEnd w:id="145"/>
    </w:p>
    <w:p w:rsidR="00FC6DC4" w:rsidRDefault="00F86856">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FC6DC4" w:rsidRDefault="00F86856">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FC6DC4" w:rsidRDefault="00F86856">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rsidR="00FC6DC4" w:rsidRDefault="00F86856">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FC6DC4" w:rsidRDefault="00F86856">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rsidR="00FC6DC4" w:rsidRDefault="00F86856">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1.产品成立公告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3.定期报告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4.到期公告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5.开放日公告</w:t>
      </w:r>
    </w:p>
    <w:p w:rsidR="00FC6DC4" w:rsidRDefault="00F86856">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/赎回日结束后2个工作日内披露开放日公告，公告内容包括申购日/赎回日</w:t>
      </w:r>
      <w:r>
        <w:rPr>
          <w:rFonts w:ascii="宋体" w:hAnsi="宋体" w:hint="eastAsia"/>
          <w:bCs/>
          <w:sz w:val="18"/>
          <w:szCs w:val="18"/>
        </w:rPr>
        <w:t>的产品份额净值、产品份额累计净值、业绩比较基准（如有）、业绩报酬计提基准（如有）等。</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.估值日公告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ascii="宋体" w:hAnsi="宋体" w:hint="eastAsia"/>
          <w:bCs/>
          <w:sz w:val="18"/>
          <w:szCs w:val="18"/>
        </w:rPr>
        <w:t>基准</w:t>
      </w:r>
      <w:r>
        <w:rPr>
          <w:rFonts w:ascii="宋体" w:hAnsi="宋体"/>
          <w:bCs/>
          <w:sz w:val="18"/>
          <w:szCs w:val="18"/>
        </w:rPr>
        <w:t>（</w:t>
      </w:r>
      <w:r>
        <w:rPr>
          <w:rFonts w:ascii="宋体" w:hAnsi="宋体" w:hint="eastAsia"/>
          <w:bCs/>
          <w:sz w:val="18"/>
          <w:szCs w:val="18"/>
        </w:rPr>
        <w:t>如有</w:t>
      </w:r>
      <w:r>
        <w:rPr>
          <w:rFonts w:ascii="宋体" w:hAnsi="宋体"/>
          <w:bCs/>
          <w:sz w:val="18"/>
          <w:szCs w:val="18"/>
        </w:rPr>
        <w:t>）</w:t>
      </w:r>
      <w:r>
        <w:rPr>
          <w:rFonts w:ascii="宋体" w:hAnsi="宋体" w:hint="eastAsia"/>
          <w:bCs/>
          <w:sz w:val="18"/>
          <w:szCs w:val="18"/>
        </w:rPr>
        <w:t>等。如遇法定节假日顺延。此外，如遇其他特殊情况，以产品管理人信息披露为准。</w:t>
      </w:r>
      <w:r>
        <w:rPr>
          <w:rFonts w:ascii="宋体" w:hAnsi="宋体"/>
          <w:bCs/>
          <w:sz w:val="18"/>
          <w:szCs w:val="18"/>
        </w:rPr>
        <w:t xml:space="preserve"> </w:t>
      </w:r>
    </w:p>
    <w:p w:rsidR="00FC6DC4" w:rsidRDefault="00F86856">
      <w:pPr>
        <w:spacing w:line="360" w:lineRule="auto"/>
        <w:ind w:firstLineChars="200" w:firstLine="360"/>
        <w:rPr>
          <w:rFonts w:ascii="宋体" w:hAnsi="宋体"/>
          <w:bCs/>
          <w:sz w:val="18"/>
          <w:szCs w:val="18"/>
        </w:rPr>
      </w:pPr>
      <w:r>
        <w:rPr>
          <w:rFonts w:ascii="宋体" w:hAnsi="宋体"/>
          <w:bCs/>
          <w:sz w:val="18"/>
          <w:szCs w:val="18"/>
        </w:rPr>
        <w:t>7.临时公告</w:t>
      </w:r>
    </w:p>
    <w:p w:rsidR="00FC6DC4" w:rsidRDefault="00F86856">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FC6DC4" w:rsidRDefault="00F86856">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FC6DC4" w:rsidRDefault="00F86856">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FC6DC4" w:rsidRDefault="00F86856">
      <w:pPr>
        <w:spacing w:line="360" w:lineRule="auto"/>
        <w:ind w:firstLineChars="200" w:firstLine="361"/>
        <w:rPr>
          <w:bCs/>
          <w:sz w:val="24"/>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w:t>
      </w:r>
      <w:r>
        <w:rPr>
          <w:rFonts w:ascii="黑体" w:eastAsia="黑体" w:hAnsi="黑体" w:hint="eastAsia"/>
          <w:b/>
          <w:bCs/>
          <w:sz w:val="18"/>
          <w:szCs w:val="18"/>
        </w:rPr>
        <w:lastRenderedPageBreak/>
        <w:t>财产品的，在符合法律法规及监管政策的前提下，可由管理人另行决定投资者的退出方式）。若投资者未选择退出本产品的，则视为已理解并接受管理人的相应变更。</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Pr>
          <w:sz w:val="24"/>
        </w:rPr>
        <w:br w:type="page"/>
      </w:r>
    </w:p>
    <w:p w:rsidR="00FC6DC4" w:rsidRDefault="00F86856">
      <w:pPr>
        <w:pStyle w:val="1"/>
        <w:spacing w:before="0" w:after="0" w:line="360" w:lineRule="auto"/>
        <w:jc w:val="center"/>
        <w:rPr>
          <w:rFonts w:ascii="Times New Roman"/>
          <w:b w:val="0"/>
          <w:sz w:val="30"/>
        </w:rPr>
      </w:pPr>
      <w:bookmarkStart w:id="167" w:name="_Toc92377141"/>
      <w:bookmarkStart w:id="168" w:name="_Toc79154675"/>
      <w:bookmarkStart w:id="169" w:name="_Toc24766"/>
      <w:bookmarkStart w:id="170" w:name="_GoBack"/>
      <w:bookmarkEnd w:id="170"/>
      <w:r>
        <w:rPr>
          <w:rFonts w:ascii="Times New Roman" w:hint="eastAsia"/>
          <w:sz w:val="30"/>
        </w:rPr>
        <w:lastRenderedPageBreak/>
        <w:t>第十二条</w:t>
      </w:r>
      <w:r>
        <w:rPr>
          <w:rFonts w:ascii="Times New Roman"/>
          <w:sz w:val="30"/>
        </w:rPr>
        <w:t xml:space="preserve">  </w:t>
      </w:r>
      <w:r>
        <w:rPr>
          <w:rFonts w:ascii="Times New Roman" w:hint="eastAsia"/>
          <w:sz w:val="30"/>
        </w:rPr>
        <w:t>理财产品</w:t>
      </w:r>
      <w:r>
        <w:rPr>
          <w:rFonts w:ascii="Times New Roman"/>
          <w:sz w:val="30"/>
        </w:rPr>
        <w:t>的风险揭示</w:t>
      </w:r>
      <w:bookmarkEnd w:id="167"/>
      <w:bookmarkEnd w:id="168"/>
      <w:bookmarkEnd w:id="169"/>
    </w:p>
    <w:p w:rsidR="00FC6DC4" w:rsidRDefault="00F86856">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1.拟投资市场和资产的风险：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（1）投资固定收益类资产的风险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1）投资标准化债权类资产的风险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2）投资非标准化债权类资产的风险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 xml:space="preserve">（2）投资权益类资产的风险 </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1）投资股票类资产的风险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2）投资股权类资产的风险</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 xml:space="preserve">（3）投资商品和金融衍生品类资产的风险 </w:t>
      </w:r>
    </w:p>
    <w:p w:rsidR="00FC6DC4" w:rsidRDefault="00F86856">
      <w:pPr>
        <w:spacing w:line="360" w:lineRule="auto"/>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w:t>
      </w:r>
      <w:r>
        <w:rPr>
          <w:rFonts w:ascii="宋体" w:hAnsi="宋体" w:hint="eastAsia"/>
          <w:bCs/>
          <w:sz w:val="18"/>
          <w:szCs w:val="18"/>
        </w:rPr>
        <w:lastRenderedPageBreak/>
        <w:t>失以及交易成本损失的情况，对投资产生不利影响；当本产品投资的衍生品保证金不足时，可能使所持有的头寸面临被强制平仓的风险。</w:t>
      </w:r>
    </w:p>
    <w:p w:rsidR="00FC6DC4" w:rsidRDefault="00F86856">
      <w:pPr>
        <w:spacing w:line="360" w:lineRule="auto"/>
        <w:ind w:firstLineChars="200" w:firstLine="361"/>
        <w:rPr>
          <w:rFonts w:ascii="宋体" w:hAnsi="宋体"/>
          <w:b/>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p>
    <w:p w:rsidR="00FC6DC4" w:rsidRDefault="00F86856">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FC6DC4" w:rsidRDefault="00F8685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FC6DC4" w:rsidRDefault="00F86856">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FC6DC4" w:rsidRDefault="00F86856">
      <w:pPr>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FC6DC4" w:rsidRDefault="00F86856">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FC6DC4" w:rsidRDefault="00F86856">
      <w:pPr>
        <w:spacing w:line="360" w:lineRule="auto"/>
        <w:ind w:firstLineChars="200" w:firstLine="360"/>
        <w:rPr>
          <w:rFonts w:ascii="宋体" w:hAnsi="宋体"/>
          <w:sz w:val="18"/>
          <w:szCs w:val="18"/>
        </w:rPr>
      </w:pPr>
      <w:r>
        <w:rPr>
          <w:rFonts w:ascii="宋体" w:hAnsi="宋体"/>
          <w:sz w:val="18"/>
          <w:szCs w:val="18"/>
        </w:rPr>
        <w:t>5</w:t>
      </w:r>
      <w:r>
        <w:rPr>
          <w:rFonts w:ascii="宋体" w:hAnsi="宋体" w:hint="eastAsia"/>
          <w:sz w:val="18"/>
          <w:szCs w:val="18"/>
        </w:rPr>
        <w:t>.</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FC6DC4" w:rsidRDefault="00F86856">
      <w:pPr>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FC6DC4" w:rsidRDefault="00F86856">
      <w:pPr>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FC6DC4" w:rsidRDefault="00F86856">
      <w:pPr>
        <w:spacing w:line="360" w:lineRule="auto"/>
        <w:ind w:firstLineChars="200" w:firstLine="360"/>
        <w:rPr>
          <w:rFonts w:ascii="黑体" w:eastAsia="黑体" w:hAnsi="黑体"/>
          <w:sz w:val="18"/>
          <w:szCs w:val="18"/>
        </w:rPr>
      </w:pPr>
      <w:r>
        <w:rPr>
          <w:rFonts w:ascii="黑体" w:eastAsia="黑体" w:hAnsi="黑体"/>
          <w:sz w:val="18"/>
          <w:szCs w:val="18"/>
        </w:rPr>
        <w:t>8.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w:t>
      </w:r>
      <w:r>
        <w:rPr>
          <w:rFonts w:ascii="黑体" w:eastAsia="黑体" w:hAnsi="黑体"/>
          <w:sz w:val="18"/>
          <w:szCs w:val="18"/>
        </w:rPr>
        <w:lastRenderedPageBreak/>
        <w:t>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FC6DC4" w:rsidRDefault="00F86856">
      <w:pPr>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FC6DC4" w:rsidRDefault="00F86856">
      <w:pPr>
        <w:spacing w:line="360" w:lineRule="auto"/>
        <w:ind w:firstLineChars="200" w:firstLine="360"/>
        <w:rPr>
          <w:rFonts w:ascii="宋体" w:hAnsi="宋体"/>
          <w:bCs/>
          <w:sz w:val="18"/>
          <w:szCs w:val="18"/>
        </w:rPr>
      </w:pPr>
      <w:r>
        <w:rPr>
          <w:rFonts w:ascii="宋体" w:hAnsi="宋体"/>
          <w:sz w:val="18"/>
          <w:szCs w:val="18"/>
        </w:rPr>
        <w:t>10</w:t>
      </w:r>
      <w:r>
        <w:rPr>
          <w:rFonts w:ascii="宋体" w:hAnsi="宋体" w:hint="eastAsia"/>
          <w:sz w:val="18"/>
          <w:szCs w:val="18"/>
        </w:rPr>
        <w:t>.</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FC6DC4" w:rsidRDefault="00F86856">
      <w:pPr>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FC6DC4" w:rsidRDefault="00F86856">
      <w:pPr>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FC6DC4" w:rsidRDefault="00F86856">
      <w:pPr>
        <w:spacing w:line="360" w:lineRule="auto"/>
        <w:ind w:firstLineChars="200" w:firstLine="360"/>
        <w:rPr>
          <w:rFonts w:ascii="宋体" w:hAnsi="宋体"/>
          <w:sz w:val="18"/>
          <w:szCs w:val="18"/>
        </w:rPr>
      </w:pPr>
      <w:r>
        <w:rPr>
          <w:rFonts w:ascii="宋体" w:hAnsi="宋体"/>
          <w:sz w:val="18"/>
          <w:szCs w:val="18"/>
        </w:rPr>
        <w:t>13.估值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FC6DC4" w:rsidRDefault="00F86856">
      <w:pPr>
        <w:spacing w:line="360" w:lineRule="auto"/>
        <w:ind w:firstLineChars="200" w:firstLine="360"/>
        <w:rPr>
          <w:rFonts w:ascii="宋体" w:hAnsi="宋体"/>
          <w:sz w:val="18"/>
          <w:szCs w:val="18"/>
        </w:rPr>
      </w:pPr>
      <w:r>
        <w:rPr>
          <w:rFonts w:ascii="宋体" w:hAnsi="宋体"/>
          <w:sz w:val="18"/>
          <w:szCs w:val="18"/>
        </w:rPr>
        <w:t>14</w:t>
      </w:r>
      <w:r>
        <w:rPr>
          <w:rFonts w:ascii="宋体" w:hAnsi="宋体" w:hint="eastAsia"/>
          <w:sz w:val="18"/>
          <w:szCs w:val="18"/>
        </w:rPr>
        <w:t>.</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FC6DC4" w:rsidRDefault="00F86856">
      <w:pPr>
        <w:spacing w:line="360" w:lineRule="auto"/>
        <w:ind w:firstLineChars="200" w:firstLine="360"/>
        <w:rPr>
          <w:rFonts w:ascii="宋体" w:hAnsi="宋体"/>
          <w:sz w:val="18"/>
          <w:szCs w:val="18"/>
        </w:rPr>
      </w:pPr>
      <w:r>
        <w:rPr>
          <w:rFonts w:ascii="宋体" w:hAnsi="宋体"/>
          <w:sz w:val="18"/>
          <w:szCs w:val="18"/>
        </w:rPr>
        <w:t>15</w:t>
      </w:r>
      <w:r>
        <w:rPr>
          <w:rFonts w:ascii="宋体" w:hAnsi="宋体" w:hint="eastAsia"/>
          <w:sz w:val="18"/>
          <w:szCs w:val="18"/>
        </w:rPr>
        <w:t>.★</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FC6DC4" w:rsidRDefault="00F86856">
      <w:pPr>
        <w:spacing w:line="360" w:lineRule="auto"/>
        <w:ind w:firstLineChars="200" w:firstLine="360"/>
        <w:rPr>
          <w:rFonts w:ascii="黑体" w:eastAsia="黑体" w:hAnsi="黑体"/>
          <w:sz w:val="18"/>
          <w:szCs w:val="18"/>
        </w:rPr>
      </w:pPr>
      <w:r>
        <w:rPr>
          <w:rFonts w:ascii="黑体" w:eastAsia="黑体" w:hAnsi="黑体"/>
          <w:sz w:val="18"/>
          <w:szCs w:val="18"/>
        </w:rPr>
        <w:t>16.</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FC6DC4" w:rsidRDefault="00F86856">
      <w:pPr>
        <w:spacing w:line="360" w:lineRule="auto"/>
        <w:ind w:firstLineChars="200" w:firstLine="360"/>
        <w:rPr>
          <w:rFonts w:ascii="宋体" w:hAnsi="宋体"/>
          <w:sz w:val="18"/>
          <w:szCs w:val="18"/>
        </w:rPr>
      </w:pPr>
      <w:r>
        <w:rPr>
          <w:rFonts w:ascii="宋体" w:hAnsi="宋体"/>
          <w:sz w:val="18"/>
          <w:szCs w:val="18"/>
        </w:rPr>
        <w:lastRenderedPageBreak/>
        <w:t>17.</w:t>
      </w:r>
      <w:r>
        <w:rPr>
          <w:rFonts w:ascii="黑体" w:eastAsia="黑体" w:hAnsi="黑体" w:hint="eastAsia"/>
          <w:sz w:val="18"/>
          <w:szCs w:val="18"/>
        </w:rPr>
        <w:t xml:space="preserve"> 关联交易风险</w:t>
      </w: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FC6DC4" w:rsidRDefault="00F86856">
      <w:pPr>
        <w:spacing w:line="360" w:lineRule="auto"/>
        <w:ind w:firstLineChars="200" w:firstLine="361"/>
        <w:rPr>
          <w:rFonts w:ascii="黑体" w:eastAsia="黑体" w:hAnsi="黑体"/>
          <w:b/>
          <w:sz w:val="18"/>
          <w:szCs w:val="18"/>
        </w:rPr>
      </w:pPr>
      <w:r>
        <w:rPr>
          <w:rFonts w:ascii="黑体" w:eastAsia="黑体" w:hAnsi="黑体" w:hint="eastAsia"/>
          <w:b/>
          <w:sz w:val="18"/>
          <w:szCs w:val="18"/>
        </w:rPr>
        <w:t>（</w:t>
      </w:r>
      <w:r>
        <w:rPr>
          <w:rFonts w:ascii="黑体" w:eastAsia="黑体" w:hAnsi="黑体"/>
          <w:b/>
          <w:sz w:val="18"/>
          <w:szCs w:val="18"/>
        </w:rPr>
        <w:t>三</w:t>
      </w:r>
      <w:r>
        <w:rPr>
          <w:rFonts w:ascii="黑体" w:eastAsia="黑体" w:hAnsi="黑体" w:hint="eastAsia"/>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b/>
          <w:sz w:val="18"/>
          <w:szCs w:val="18"/>
        </w:rPr>
        <w:t>，甚至投资者的投资本金将遭受损失，在最不利的极端情况下，投资者可能损失全部本金。</w:t>
      </w:r>
    </w:p>
    <w:p w:rsidR="00FC6DC4" w:rsidRDefault="00FC6DC4">
      <w:pPr>
        <w:spacing w:line="360" w:lineRule="auto"/>
        <w:ind w:firstLineChars="200" w:firstLine="360"/>
        <w:rPr>
          <w:rFonts w:ascii="宋体" w:hAnsi="宋体"/>
          <w:sz w:val="18"/>
          <w:szCs w:val="18"/>
        </w:rPr>
      </w:pPr>
    </w:p>
    <w:p w:rsidR="00FC6DC4" w:rsidRDefault="00FC6DC4">
      <w:pPr>
        <w:pStyle w:val="Default"/>
        <w:spacing w:line="360" w:lineRule="auto"/>
        <w:rPr>
          <w:rFonts w:hAnsi="宋体"/>
          <w:sz w:val="18"/>
          <w:szCs w:val="18"/>
        </w:rPr>
      </w:pPr>
    </w:p>
    <w:sectPr w:rsidR="00FC6DC4">
      <w:footerReference w:type="default" r:id="rId31"/>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AF0" w:rsidRDefault="00750AF0">
      <w:r>
        <w:separator/>
      </w:r>
    </w:p>
  </w:endnote>
  <w:endnote w:type="continuationSeparator" w:id="0">
    <w:p w:rsidR="00750AF0" w:rsidRDefault="0075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9B" w:rsidRDefault="00F9529B">
    <w:pPr>
      <w:pStyle w:val="a4"/>
      <w:jc w:val="both"/>
      <w:rPr>
        <w:rFonts w:ascii="黑体" w:eastAsia="黑体" w:hAnsi="黑体"/>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9B" w:rsidRDefault="00F9529B">
    <w:pPr>
      <w:pStyle w:val="a4"/>
      <w:jc w:val="both"/>
      <w:rPr>
        <w:rFonts w:ascii="黑体" w:eastAsia="黑体" w:hAnsi="黑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9B" w:rsidRDefault="00F9529B">
    <w:pPr>
      <w:pStyle w:val="a4"/>
      <w:jc w:val="both"/>
      <w:rPr>
        <w:rFonts w:ascii="黑体" w:eastAsia="黑体" w:hAnsi="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F9529B" w:rsidRDefault="00F9529B">
        <w:pPr>
          <w:pStyle w:val="aa"/>
          <w:jc w:val="center"/>
        </w:pPr>
        <w:r>
          <w:fldChar w:fldCharType="begin"/>
        </w:r>
        <w:r>
          <w:instrText xml:space="preserve"> PAGE   \* MERGEFORMAT </w:instrText>
        </w:r>
        <w:r>
          <w:fldChar w:fldCharType="separate"/>
        </w:r>
        <w:r w:rsidR="00A870EE" w:rsidRPr="00A870EE">
          <w:rPr>
            <w:noProof/>
            <w:lang w:val="zh-CN"/>
          </w:rPr>
          <w:t>36</w:t>
        </w:r>
        <w:r>
          <w:fldChar w:fldCharType="end"/>
        </w:r>
      </w:p>
    </w:sdtContent>
  </w:sdt>
  <w:p w:rsidR="00F9529B" w:rsidRDefault="00F9529B">
    <w:pPr>
      <w:pStyle w:val="a4"/>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AF0" w:rsidRDefault="00750AF0">
      <w:r>
        <w:separator/>
      </w:r>
    </w:p>
  </w:footnote>
  <w:footnote w:type="continuationSeparator" w:id="0">
    <w:p w:rsidR="00750AF0" w:rsidRDefault="00750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9B" w:rsidRDefault="00F9529B">
    <w:pPr>
      <w:pStyle w:val="ab"/>
      <w:pBdr>
        <w:bottom w:val="thickThinLargeGap" w:sz="24" w:space="0" w:color="auto"/>
      </w:pBdr>
      <w:tabs>
        <w:tab w:val="right" w:pos="8280"/>
      </w:tabs>
      <w:wordWrap w:val="0"/>
      <w:adjustRightInd w:val="0"/>
      <w:jc w:val="right"/>
      <w:rPr>
        <w:b/>
      </w:rPr>
    </w:pPr>
    <w:r>
      <w:rPr>
        <w:rFonts w:hint="eastAsia"/>
      </w:rPr>
      <w:t xml:space="preserve"> </w:t>
    </w:r>
    <w:r>
      <w:rPr>
        <w:rFonts w:hint="eastAsia"/>
        <w:b/>
      </w:rPr>
      <w:t>产品说明书</w:t>
    </w:r>
  </w:p>
  <w:p w:rsidR="00F9529B" w:rsidRDefault="00F9529B">
    <w:pPr>
      <w:pStyle w:val="ab"/>
      <w:pBdr>
        <w:bottom w:val="thickThinLargeGap" w:sz="24" w:space="0"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E7124"/>
    <w:rsid w:val="0000208C"/>
    <w:rsid w:val="00002480"/>
    <w:rsid w:val="00004D12"/>
    <w:rsid w:val="00006848"/>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10FD"/>
    <w:rsid w:val="00033D3E"/>
    <w:rsid w:val="000360AD"/>
    <w:rsid w:val="00036724"/>
    <w:rsid w:val="0004119D"/>
    <w:rsid w:val="0004124F"/>
    <w:rsid w:val="00042C76"/>
    <w:rsid w:val="00042CE7"/>
    <w:rsid w:val="000438E6"/>
    <w:rsid w:val="00044823"/>
    <w:rsid w:val="00044AE2"/>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47F9"/>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20153"/>
    <w:rsid w:val="003224C7"/>
    <w:rsid w:val="00327E26"/>
    <w:rsid w:val="00330DD8"/>
    <w:rsid w:val="00330E24"/>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03E"/>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239"/>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4F75E3"/>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3C44"/>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1E76"/>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0AF0"/>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76A"/>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3EAC"/>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3C4"/>
    <w:rsid w:val="00A7660D"/>
    <w:rsid w:val="00A776D2"/>
    <w:rsid w:val="00A836BF"/>
    <w:rsid w:val="00A83C4D"/>
    <w:rsid w:val="00A83D4C"/>
    <w:rsid w:val="00A84317"/>
    <w:rsid w:val="00A85490"/>
    <w:rsid w:val="00A85845"/>
    <w:rsid w:val="00A86707"/>
    <w:rsid w:val="00A86794"/>
    <w:rsid w:val="00A870E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0F5"/>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6270"/>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64E9"/>
    <w:rsid w:val="00B67A2A"/>
    <w:rsid w:val="00B70610"/>
    <w:rsid w:val="00B70789"/>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32A6"/>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5DB"/>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0C12"/>
    <w:rsid w:val="00DE295D"/>
    <w:rsid w:val="00DE2B95"/>
    <w:rsid w:val="00DE45E9"/>
    <w:rsid w:val="00DE51F9"/>
    <w:rsid w:val="00DE52FB"/>
    <w:rsid w:val="00DE56BC"/>
    <w:rsid w:val="00DE7F8F"/>
    <w:rsid w:val="00DF03B9"/>
    <w:rsid w:val="00DF0C4B"/>
    <w:rsid w:val="00DF0F34"/>
    <w:rsid w:val="00DF1657"/>
    <w:rsid w:val="00DF36FD"/>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696"/>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967"/>
    <w:rsid w:val="00F67CF6"/>
    <w:rsid w:val="00F72651"/>
    <w:rsid w:val="00F7301E"/>
    <w:rsid w:val="00F8175E"/>
    <w:rsid w:val="00F81B05"/>
    <w:rsid w:val="00F81F15"/>
    <w:rsid w:val="00F82049"/>
    <w:rsid w:val="00F82C9F"/>
    <w:rsid w:val="00F8388A"/>
    <w:rsid w:val="00F84E80"/>
    <w:rsid w:val="00F86856"/>
    <w:rsid w:val="00F87537"/>
    <w:rsid w:val="00F947DC"/>
    <w:rsid w:val="00F9529B"/>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3307"/>
    <w:rsid w:val="00FC42A3"/>
    <w:rsid w:val="00FC55F9"/>
    <w:rsid w:val="00FC60D4"/>
    <w:rsid w:val="00FC6DC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654C82"/>
    <w:rsid w:val="01A31AE7"/>
    <w:rsid w:val="020A6A96"/>
    <w:rsid w:val="0356786B"/>
    <w:rsid w:val="03C96CBB"/>
    <w:rsid w:val="043A3FD8"/>
    <w:rsid w:val="046E31C1"/>
    <w:rsid w:val="04D02CE5"/>
    <w:rsid w:val="056C4F65"/>
    <w:rsid w:val="06F4696E"/>
    <w:rsid w:val="07245E56"/>
    <w:rsid w:val="096812AC"/>
    <w:rsid w:val="0C023D8C"/>
    <w:rsid w:val="0C225D7B"/>
    <w:rsid w:val="0E94232E"/>
    <w:rsid w:val="0F1306D5"/>
    <w:rsid w:val="11295396"/>
    <w:rsid w:val="163E2FB7"/>
    <w:rsid w:val="17622796"/>
    <w:rsid w:val="19B81368"/>
    <w:rsid w:val="1A48157B"/>
    <w:rsid w:val="1BD70953"/>
    <w:rsid w:val="1BF87698"/>
    <w:rsid w:val="1D73517C"/>
    <w:rsid w:val="1E585AB7"/>
    <w:rsid w:val="1EB160C2"/>
    <w:rsid w:val="1FF145B9"/>
    <w:rsid w:val="2193546F"/>
    <w:rsid w:val="26F50BA9"/>
    <w:rsid w:val="27BD5E26"/>
    <w:rsid w:val="285E4249"/>
    <w:rsid w:val="29026D00"/>
    <w:rsid w:val="293556EA"/>
    <w:rsid w:val="2AAC6EE9"/>
    <w:rsid w:val="2C243C94"/>
    <w:rsid w:val="2EA644DF"/>
    <w:rsid w:val="2FB532A0"/>
    <w:rsid w:val="319C4BEA"/>
    <w:rsid w:val="34C829B2"/>
    <w:rsid w:val="35381804"/>
    <w:rsid w:val="358D60A8"/>
    <w:rsid w:val="386A3F56"/>
    <w:rsid w:val="38D50832"/>
    <w:rsid w:val="39B27394"/>
    <w:rsid w:val="3A810EF7"/>
    <w:rsid w:val="3ACF0F3F"/>
    <w:rsid w:val="3C3802E9"/>
    <w:rsid w:val="3E586AB8"/>
    <w:rsid w:val="3E5C1B1D"/>
    <w:rsid w:val="3EAE14E9"/>
    <w:rsid w:val="3FD261A6"/>
    <w:rsid w:val="42EB2F9C"/>
    <w:rsid w:val="43F76571"/>
    <w:rsid w:val="4407698D"/>
    <w:rsid w:val="45226963"/>
    <w:rsid w:val="49756458"/>
    <w:rsid w:val="4D39606F"/>
    <w:rsid w:val="4F8E3D4D"/>
    <w:rsid w:val="53063B85"/>
    <w:rsid w:val="533C1961"/>
    <w:rsid w:val="53B3493A"/>
    <w:rsid w:val="5418588F"/>
    <w:rsid w:val="5537323C"/>
    <w:rsid w:val="555A43BF"/>
    <w:rsid w:val="55855837"/>
    <w:rsid w:val="56503211"/>
    <w:rsid w:val="598B567E"/>
    <w:rsid w:val="5C624734"/>
    <w:rsid w:val="5C7C0704"/>
    <w:rsid w:val="5FE91ABC"/>
    <w:rsid w:val="61386B66"/>
    <w:rsid w:val="61732124"/>
    <w:rsid w:val="628E734C"/>
    <w:rsid w:val="6580603B"/>
    <w:rsid w:val="6811538A"/>
    <w:rsid w:val="68C7223A"/>
    <w:rsid w:val="68EF6886"/>
    <w:rsid w:val="6BC34FBB"/>
    <w:rsid w:val="6EAA7DFD"/>
    <w:rsid w:val="6FDD1093"/>
    <w:rsid w:val="709C0126"/>
    <w:rsid w:val="746E58DB"/>
    <w:rsid w:val="76022652"/>
    <w:rsid w:val="768501BE"/>
    <w:rsid w:val="76C8601E"/>
    <w:rsid w:val="785F6471"/>
    <w:rsid w:val="78AB3944"/>
    <w:rsid w:val="79952C43"/>
    <w:rsid w:val="7BEA1CFE"/>
    <w:rsid w:val="7D803772"/>
    <w:rsid w:val="7D80556D"/>
    <w:rsid w:val="7E3713F1"/>
    <w:rsid w:val="7E9D5B85"/>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EAC8D9-24EB-4342-B6EB-6836F1D5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pPr>
      <w:widowControl w:val="0"/>
    </w:pPr>
    <w:rPr>
      <w:rFonts w:ascii="Calibri" w:hAnsi="Calibri"/>
      <w:b/>
      <w:bCs/>
      <w:kern w:val="2"/>
      <w:sz w:val="21"/>
      <w:szCs w:val="22"/>
    </w:rPr>
  </w:style>
  <w:style w:type="paragraph" w:styleId="a4">
    <w:name w:val="annotation text"/>
    <w:basedOn w:val="a"/>
    <w:link w:val="Char0"/>
    <w:uiPriority w:val="99"/>
    <w:qFormat/>
    <w:pPr>
      <w:widowControl/>
      <w:jc w:val="left"/>
    </w:pPr>
    <w:rPr>
      <w:rFonts w:ascii="宋体" w:hAnsi="宋体"/>
      <w:kern w:val="0"/>
      <w:sz w:val="24"/>
      <w:szCs w:val="24"/>
    </w:rPr>
  </w:style>
  <w:style w:type="paragraph" w:styleId="a5">
    <w:name w:val="Normal Indent"/>
    <w:basedOn w:val="a"/>
    <w:qFormat/>
    <w:pPr>
      <w:ind w:firstLineChars="200" w:firstLine="420"/>
    </w:pPr>
    <w:rPr>
      <w:rFonts w:ascii="Times New Roman" w:hAnsi="Times New Roman" w:cs="Times New Roman"/>
      <w:szCs w:val="20"/>
    </w:rPr>
  </w:style>
  <w:style w:type="paragraph" w:styleId="a6">
    <w:name w:val="Document Map"/>
    <w:basedOn w:val="a"/>
    <w:link w:val="Char1"/>
    <w:qFormat/>
    <w:pPr>
      <w:shd w:val="clear" w:color="auto" w:fill="000080"/>
    </w:pPr>
    <w:rPr>
      <w:rFonts w:ascii="Times New Roman" w:hAnsi="Times New Roman" w:cs="Times New Roman"/>
      <w:szCs w:val="20"/>
    </w:rPr>
  </w:style>
  <w:style w:type="paragraph" w:styleId="a7">
    <w:name w:val="Body Text"/>
    <w:basedOn w:val="a"/>
    <w:link w:val="Char2"/>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8">
    <w:name w:val="Plain Text"/>
    <w:basedOn w:val="a"/>
    <w:link w:val="Char3"/>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9">
    <w:name w:val="Balloon Text"/>
    <w:basedOn w:val="a"/>
    <w:link w:val="Char4"/>
    <w:uiPriority w:val="99"/>
    <w:qFormat/>
    <w:rPr>
      <w:sz w:val="18"/>
      <w:szCs w:val="18"/>
    </w:rPr>
  </w:style>
  <w:style w:type="paragraph" w:styleId="aa">
    <w:name w:val="footer"/>
    <w:basedOn w:val="a"/>
    <w:link w:val="Char5"/>
    <w:uiPriority w:val="99"/>
    <w:qFormat/>
    <w:pPr>
      <w:tabs>
        <w:tab w:val="center" w:pos="4153"/>
        <w:tab w:val="right" w:pos="8306"/>
      </w:tabs>
      <w:snapToGrid w:val="0"/>
      <w:jc w:val="left"/>
    </w:pPr>
    <w:rPr>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c">
    <w:name w:val="footnote text"/>
    <w:basedOn w:val="a"/>
    <w:link w:val="Char7"/>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d">
    <w:name w:val="Normal (Web)"/>
    <w:basedOn w:val="a"/>
    <w:qFormat/>
    <w:pPr>
      <w:widowControl/>
      <w:spacing w:before="100" w:beforeAutospacing="1" w:after="100" w:afterAutospacing="1"/>
      <w:jc w:val="left"/>
    </w:pPr>
    <w:rPr>
      <w:rFonts w:ascii="宋体" w:hAnsi="宋体"/>
      <w:kern w:val="0"/>
      <w:sz w:val="24"/>
      <w:szCs w:val="24"/>
    </w:rPr>
  </w:style>
  <w:style w:type="paragraph" w:styleId="ae">
    <w:name w:val="Title"/>
    <w:basedOn w:val="a"/>
    <w:next w:val="a"/>
    <w:link w:val="Char8"/>
    <w:qFormat/>
    <w:pPr>
      <w:spacing w:before="240" w:after="60"/>
      <w:jc w:val="center"/>
      <w:outlineLvl w:val="0"/>
    </w:pPr>
    <w:rPr>
      <w:rFonts w:ascii="Cambria" w:hAnsi="Cambria"/>
      <w:b/>
      <w:sz w:val="32"/>
      <w:szCs w:val="20"/>
    </w:rPr>
  </w:style>
  <w:style w:type="character" w:styleId="af">
    <w:name w:val="Strong"/>
    <w:uiPriority w:val="22"/>
    <w:qFormat/>
    <w:rPr>
      <w:b/>
      <w:bCs/>
    </w:rPr>
  </w:style>
  <w:style w:type="character" w:styleId="af0">
    <w:name w:val="page number"/>
    <w:basedOn w:val="a0"/>
    <w:qFormat/>
  </w:style>
  <w:style w:type="character" w:styleId="af1">
    <w:name w:val="Hyperlink"/>
    <w:basedOn w:val="a0"/>
    <w:uiPriority w:val="99"/>
    <w:unhideWhenUsed/>
    <w:qFormat/>
    <w:rPr>
      <w:color w:val="0000FF" w:themeColor="hyperlink"/>
      <w:u w:val="single"/>
    </w:rPr>
  </w:style>
  <w:style w:type="character" w:styleId="af2">
    <w:name w:val="annotation reference"/>
    <w:uiPriority w:val="99"/>
    <w:qFormat/>
    <w:rPr>
      <w:sz w:val="21"/>
      <w:szCs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6">
    <w:name w:val="页眉 Char"/>
    <w:basedOn w:val="a0"/>
    <w:link w:val="ab"/>
    <w:uiPriority w:val="99"/>
    <w:qFormat/>
    <w:rPr>
      <w:sz w:val="18"/>
      <w:szCs w:val="18"/>
    </w:rPr>
  </w:style>
  <w:style w:type="character" w:customStyle="1" w:styleId="Char5">
    <w:name w:val="页脚 Char"/>
    <w:basedOn w:val="a0"/>
    <w:link w:val="aa"/>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4"/>
    <w:uiPriority w:val="99"/>
    <w:qFormat/>
    <w:rPr>
      <w:rFonts w:ascii="宋体" w:eastAsia="宋体" w:hAnsi="宋体" w:cs="宋体"/>
      <w:kern w:val="0"/>
      <w:sz w:val="24"/>
      <w:szCs w:val="24"/>
    </w:rPr>
  </w:style>
  <w:style w:type="character" w:customStyle="1" w:styleId="Char4">
    <w:name w:val="批注框文本 Char"/>
    <w:basedOn w:val="a0"/>
    <w:link w:val="a9"/>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
    <w:name w:val="批注主题 Char"/>
    <w:basedOn w:val="Char0"/>
    <w:link w:val="a3"/>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8">
    <w:name w:val="标题 Char"/>
    <w:link w:val="ae"/>
    <w:qFormat/>
    <w:rPr>
      <w:rFonts w:ascii="Cambria" w:hAnsi="Cambria"/>
      <w:b/>
      <w:kern w:val="2"/>
      <w:sz w:val="32"/>
    </w:rPr>
  </w:style>
  <w:style w:type="character" w:customStyle="1" w:styleId="Char2">
    <w:name w:val="正文文本 Char"/>
    <w:link w:val="a7"/>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1">
    <w:name w:val="文档结构图 Char"/>
    <w:basedOn w:val="a0"/>
    <w:link w:val="a6"/>
    <w:qFormat/>
    <w:rPr>
      <w:rFonts w:ascii="Times New Roman" w:hAnsi="Times New Roman" w:cs="Times New Roman"/>
      <w:kern w:val="2"/>
      <w:sz w:val="21"/>
      <w:shd w:val="clear" w:color="auto" w:fill="000080"/>
    </w:rPr>
  </w:style>
  <w:style w:type="character" w:customStyle="1" w:styleId="Char3">
    <w:name w:val="纯文本 Char"/>
    <w:basedOn w:val="a0"/>
    <w:link w:val="a8"/>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7">
    <w:name w:val="脚注文本 Char"/>
    <w:basedOn w:val="a0"/>
    <w:link w:val="ac"/>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 w:type="paragraph" w:customStyle="1" w:styleId="40">
    <w:name w:val="修订4"/>
    <w:hidden/>
    <w:uiPriority w:val="99"/>
    <w:semiHidden/>
    <w:qFormat/>
    <w:rPr>
      <w:rFonts w:ascii="Calibri" w:hAnsi="Calibri" w:cs="宋体"/>
      <w:kern w:val="2"/>
      <w:sz w:val="21"/>
      <w:szCs w:val="22"/>
    </w:rPr>
  </w:style>
  <w:style w:type="paragraph" w:customStyle="1" w:styleId="5">
    <w:name w:val="修订5"/>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hyperlink" Target="http://www.chinawealth.com.cn" TargetMode="Externa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s:customData xmlns="http://www.wps.cn/officeDocument/2013/wpsCustomData" xmlns:s="http://www.wps.cn/officeDocument/2013/wpsCustomData">
  <customSectProps>
    <customSectPr/>
    <customSectPr/>
    <customSectPr/>
  </customSectProps>
</s: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0.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1.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2.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3.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8.xml><?xml version="1.0" encoding="utf-8"?>
<ds:datastoreItem xmlns:ds="http://schemas.openxmlformats.org/officeDocument/2006/customXml" ds:itemID="{CB356700-7FB9-4494-A947-C58454D99524}">
  <ds:schemaRefs>
    <ds:schemaRef ds:uri="http://schemas.openxmlformats.org/officeDocument/2006/bibliography"/>
  </ds:schemaRefs>
</ds:datastoreItem>
</file>

<file path=customXml/itemProps2.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3.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4.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5.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6.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8.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9.xml><?xml version="1.0" encoding="utf-8"?>
<ds:datastoreItem xmlns:ds="http://schemas.openxmlformats.org/officeDocument/2006/customXml" ds:itemID="{AC86F3EB-DB57-4B60-8A7E-BBB67A22EE0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4658</Words>
  <Characters>26553</Characters>
  <Application>Microsoft Office Word</Application>
  <DocSecurity>0</DocSecurity>
  <Lines>221</Lines>
  <Paragraphs>62</Paragraphs>
  <ScaleCrop>false</ScaleCrop>
  <Company>Microsoft</Company>
  <LinksUpToDate>false</LinksUpToDate>
  <CharactersWithSpaces>31149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113</cp:revision>
  <cp:lastPrinted>2022-01-18T08:37:00Z</cp:lastPrinted>
  <dcterms:created xsi:type="dcterms:W3CDTF">2021-09-06T06:01:00Z</dcterms:created>
  <dcterms:modified xsi:type="dcterms:W3CDTF">2022-07-22T07:11:00Z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5466F5ED04264CD88390FDC4DDCA6BAE</vt:lpwstr>
  </property>
</Properties>
</file>