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苏银理财恒源封闭债权226期优选2年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苏银理财恒源封闭债权226期优选2年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25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10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7"/>
        <w:tblW w:w="96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01"/>
        <w:gridCol w:w="7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产品名称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苏银理财恒源封闭债权226期优选2年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ind w:left="57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理财产品登记编码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Z7003125000250，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投资者可依据该编码在中国理财网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begin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instrText xml:space="preserve"> HYPERLINK "http://www.chinawealth.com.cn/" </w:instrTex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separate"/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t>www.chinawealth.com.cn</w:t>
            </w:r>
            <w:r>
              <w:rPr>
                <w:rFonts w:ascii="楷体" w:hAnsi="楷体" w:eastAsia="楷体" w:cs="宋体"/>
                <w:color w:val="auto"/>
                <w:spacing w:val="-2"/>
                <w:sz w:val="18"/>
                <w:szCs w:val="18"/>
              </w:rPr>
              <w:fldChar w:fldCharType="end"/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查询产品信息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销售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名称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/销售代码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right="57" w:rightChars="0"/>
              <w:jc w:val="both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JS份额：苏银理财恒源封闭债权226期优选2年JS鑫福款/J08332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产品类型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产品内部风险评级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本理财产品经苏银理财内部风险评级为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</w:rPr>
              <w:t>★★二级，适合中低风险型投资者，适合投资策略为稳健发展</w:t>
            </w:r>
            <w:r>
              <w:rPr>
                <w:rFonts w:hint="eastAsia" w:ascii="楷体" w:hAnsi="楷体" w:eastAsia="楷体"/>
                <w:b/>
                <w:color w:val="auto"/>
                <w:sz w:val="18"/>
                <w:szCs w:val="18"/>
                <w:u w:val="single"/>
                <w:lang w:val="en-US" w:eastAsia="zh-CN"/>
              </w:rPr>
              <w:t>的投资者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。本评级为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内部评级，由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管理人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根据理财产品的投资组合、同类产品过往业绩和风险状况等因素，对理财产品进行评级，仅供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投资者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参考。</w:t>
            </w:r>
          </w:p>
          <w:tbl>
            <w:tblPr>
              <w:tblStyle w:val="7"/>
              <w:tblW w:w="4291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04"/>
              <w:gridCol w:w="1489"/>
              <w:gridCol w:w="2030"/>
              <w:gridCol w:w="167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风险星级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风险级别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适合的投资者类别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适合投资策略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tcBorders>
                    <w:bottom w:val="single" w:color="auto" w:sz="4" w:space="0"/>
                  </w:tcBorders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</w:t>
                  </w:r>
                </w:p>
              </w:tc>
              <w:tc>
                <w:tcPr>
                  <w:tcW w:w="1095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一级（PR1）</w:t>
                  </w:r>
                </w:p>
              </w:tc>
              <w:tc>
                <w:tcPr>
                  <w:tcW w:w="1493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低风险型</w:t>
                  </w:r>
                </w:p>
              </w:tc>
              <w:tc>
                <w:tcPr>
                  <w:tcW w:w="1229" w:type="pct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风险控制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二级（PR2）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中低风险型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b/>
                      <w:color w:val="auto"/>
                      <w:kern w:val="0"/>
                      <w:sz w:val="18"/>
                      <w:szCs w:val="18"/>
                    </w:rPr>
                    <w:t>稳健发展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三级（PR3）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均衡发展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四级（PR4）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中高风险型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积极成长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" w:hRule="atLeast"/>
                <w:jc w:val="center"/>
              </w:trPr>
              <w:tc>
                <w:tcPr>
                  <w:tcW w:w="1181" w:type="pct"/>
                  <w:vAlign w:val="bottom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★★★★★</w:t>
                  </w:r>
                </w:p>
              </w:tc>
              <w:tc>
                <w:tcPr>
                  <w:tcW w:w="1095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五级（PR5）</w:t>
                  </w:r>
                </w:p>
              </w:tc>
              <w:tc>
                <w:tcPr>
                  <w:tcW w:w="1493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高风险型</w:t>
                  </w:r>
                </w:p>
              </w:tc>
              <w:tc>
                <w:tcPr>
                  <w:tcW w:w="1229" w:type="pct"/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ordWrap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ind w:left="0" w:right="0" w:firstLine="0" w:firstLineChars="0"/>
                    <w:jc w:val="center"/>
                    <w:textAlignment w:val="auto"/>
                    <w:rPr>
                      <w:rFonts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楷体" w:hAnsi="楷体" w:eastAsia="楷体" w:cs="浠垮畫"/>
                      <w:color w:val="auto"/>
                      <w:kern w:val="0"/>
                      <w:sz w:val="18"/>
                      <w:szCs w:val="18"/>
                    </w:rPr>
                    <w:t>风险承受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numPr>
                <w:ilvl w:val="-1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left="57" w:leftChars="0" w:right="57" w:firstLine="0" w:firstLineChars="0"/>
              <w:textAlignment w:val="auto"/>
              <w:rPr>
                <w:rFonts w:ascii="楷体" w:hAnsi="楷体" w:eastAsia="楷体"/>
                <w:b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2.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销售评级与苏银理财产品评级结果不一致的，代理销售机构应当采用对应较高风险等级的评级结果并予以披露。</w:t>
            </w:r>
            <w:r>
              <w:rPr>
                <w:rFonts w:hint="eastAsia" w:ascii="楷体" w:hAnsi="楷体" w:eastAsia="楷体"/>
                <w:b/>
                <w:bCs/>
                <w:sz w:val="18"/>
                <w:szCs w:val="18"/>
                <w:highlight w:val="none"/>
                <w:u w:val="single"/>
              </w:rPr>
              <w:t>如本产品通过代理销售机构渠道销售，</w:t>
            </w:r>
            <w:r>
              <w:rPr>
                <w:rFonts w:hint="eastAsia" w:ascii="楷体" w:hAnsi="楷体" w:eastAsia="楷体"/>
                <w:b/>
                <w:sz w:val="18"/>
                <w:szCs w:val="18"/>
                <w:highlight w:val="none"/>
                <w:u w:val="single"/>
              </w:rPr>
              <w:t>理财产品评级以代理销售机构最终披露的评级结果为准。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 w:val="0"/>
              <w:spacing w:line="240" w:lineRule="auto"/>
              <w:ind w:left="57" w:leftChars="0" w:right="57" w:rightChars="0" w:firstLine="0" w:firstLineChars="0"/>
              <w:jc w:val="both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3.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</w:rPr>
              <w:t>销售机构负责完成投资者风险承受能力评估，并在遵循投资者适当性原则的前提下进行本理财产品的销售活动。</w:t>
            </w:r>
          </w:p>
          <w:p>
            <w:pPr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color w:val="FF000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</w:rPr>
              <w:t>紫金农商银行对本产品的风险评级为中低风险。</w:t>
            </w: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销售对象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面向个人和机构投资者销售。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币种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份额面值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  <w:t>计划发行规模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b w:val="0"/>
                <w:color w:val="auto"/>
                <w:spacing w:val="-2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本产品计划发行规模为20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亿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元，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  <w:lang w:val="en-US" w:eastAsia="zh-CN"/>
              </w:rPr>
              <w:t>根据实际需要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kern w:val="0"/>
                <w:sz w:val="18"/>
                <w:szCs w:val="18"/>
                <w:highlight w:val="none"/>
              </w:rPr>
              <w:t>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  <w:lang w:val="en-US" w:eastAsia="zh-CN"/>
              </w:rPr>
              <w:t>最低发行规模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  <w:highlight w:val="none"/>
              </w:rPr>
              <w:t>本产品最低发行规模为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  <w:highlight w:val="none"/>
                <w:lang w:val="en-US" w:eastAsia="zh-CN"/>
              </w:rPr>
              <w:t>3000万</w:t>
            </w: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  <w:highlight w:val="none"/>
              </w:rPr>
              <w:t>元，管理人有权根据实际需要调整最低发行规模。若产品认购规模未达到最低发行规模，或新的法律、法规或监管政策导致本产品无法合法合规运行，或出现其他导致影响产品成立不可抗力因素，产品管理人有权利但无义务宣布产品不成立，并于产品募集期结束后5个工作日内将投资者认购资金返还至投资者资金账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9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购买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起点</w:t>
            </w:r>
            <w:r>
              <w:rPr>
                <w:rFonts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/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追加金额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sz w:val="18"/>
                <w:szCs w:val="18"/>
                <w:lang w:val="en-US" w:eastAsia="zh-CN"/>
              </w:rPr>
              <w:t>JS份额：1元/1元的整数倍；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/>
                <w:sz w:val="18"/>
                <w:szCs w:val="18"/>
              </w:rPr>
              <w:t>苏银理财有权对上述起点金额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和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  <w:lang w:val="en-US" w:eastAsia="zh-CN"/>
              </w:rPr>
              <w:t>追加</w:t>
            </w:r>
            <w:r>
              <w:rPr>
                <w:rFonts w:hint="eastAsia" w:ascii="楷体" w:hAnsi="楷体" w:eastAsia="楷体"/>
                <w:sz w:val="18"/>
                <w:szCs w:val="18"/>
                <w:highlight w:val="none"/>
              </w:rPr>
              <w:t>金额进行</w:t>
            </w:r>
            <w:r>
              <w:rPr>
                <w:rFonts w:hint="eastAsia" w:ascii="楷体" w:hAnsi="楷体" w:eastAsia="楷体"/>
                <w:sz w:val="18"/>
                <w:szCs w:val="18"/>
              </w:rPr>
              <w:t>调整，并在调整前进行公告。</w:t>
            </w:r>
            <w:r>
              <w:rPr>
                <w:rFonts w:hint="eastAsia" w:ascii="楷体" w:hAnsi="楷体" w:eastAsia="楷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18"/>
                <w:szCs w:val="18"/>
              </w:rPr>
              <w:t>具体以销售机构设置为准</w:t>
            </w:r>
            <w:r>
              <w:rPr>
                <w:rFonts w:hint="eastAsia" w:ascii="楷体" w:hAnsi="楷体" w:eastAsia="楷体"/>
                <w:sz w:val="18"/>
                <w:szCs w:val="1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/>
              <w:ind w:left="55" w:leftChars="0"/>
              <w:jc w:val="both"/>
              <w:textAlignment w:val="auto"/>
              <w:rPr>
                <w:rFonts w:hint="default" w:ascii="楷体" w:hAnsi="楷体" w:eastAsia="楷体" w:cs="宋体"/>
                <w:b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募集期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日至202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highlight w:val="none"/>
              </w:rPr>
            </w:pPr>
            <w:r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  <w:t>投资者可于募集期结束日交易闭市前撤销认购申请，该时点后不得撤销，募集期结束日交易闭市时间具体以销售机构设置为准。管理人在法律允许的范围内保留延长募集期或缩短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产品成立日/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份额登记日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2025年10月10日，如管理人调整募集期，则产品成立日/份额登记日将相应调整，以管理人公告为准。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</w:t>
            </w: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终止日/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到期日</w:t>
            </w:r>
          </w:p>
        </w:tc>
        <w:tc>
          <w:tcPr>
            <w:tcW w:w="7937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7" w:leftChars="0" w:right="57" w:rightChars="0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202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27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如遇节假日，顺延至下一工作日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在符合产品说明书约定的条件下，管理人有权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调整产品到期日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，产品到期日受制于提前终止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延期终止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条款。详见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“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八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、产品终止”。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产品存续期限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747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天（以理财产品实际存续天数为准）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  <w:lang w:eastAsia="zh-CN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单个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lang w:val="en-US" w:eastAsia="zh-CN"/>
              </w:rPr>
              <w:t>投资者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</w:rPr>
              <w:t>持有份额上限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18"/>
                <w:szCs w:val="18"/>
                <w:highlight w:val="none"/>
                <w:lang w:val="en-US" w:eastAsia="zh-CN" w:bidi="ar-SA"/>
              </w:rPr>
              <w:t>单一投资者持有份额不得超过总份额50%。非因主观因素导致突破前款规定比例限制的，在单一投资者持有份额占理财产品总份额比例降至50%以下之前，不再接受该单一投资者对理财产品的认购申请。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/>
              <w:ind w:left="59" w:leftChars="0" w:right="77" w:rightChars="35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业绩比较基准（年化）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1.管理人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</w:rPr>
              <w:t>收益水平，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  <w:t>在产品说明书约定的投资范围和投资比例内，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</w:rPr>
              <w:t>综合考虑各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</w:rPr>
              <w:t>份额收取的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销售服务费和投资管理费等费用情况，模拟测算得出业绩比较基准。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="57" w:leftChars="0" w:right="57" w:rightChars="0"/>
              <w:jc w:val="left"/>
              <w:textAlignment w:val="auto"/>
              <w:rPr>
                <w:rFonts w:hint="eastAsia" w:ascii="楷体" w:hAnsi="楷体" w:eastAsia="楷体" w:cs="宋体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u w:val="single"/>
                <w:lang w:val="en-US" w:eastAsia="zh-CN"/>
              </w:rPr>
              <w:t>2.</w:t>
            </w: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本产品各类份额可能因收取的销售服务费和投资管理费存在差异，业绩比较基准设置有所不同。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</w:rPr>
              <w:t>各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 w:val="0"/>
                <w:bCs/>
                <w:spacing w:val="-2"/>
                <w:sz w:val="18"/>
                <w:szCs w:val="18"/>
                <w:highlight w:val="none"/>
                <w:u w:val="none"/>
              </w:rPr>
              <w:t>份额业绩比较基准如下：</w:t>
            </w:r>
          </w:p>
          <w:p>
            <w:pPr>
              <w:pStyle w:val="15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59" w:right="77" w:rightChars="35"/>
              <w:jc w:val="both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kern w:val="2"/>
                <w:sz w:val="18"/>
                <w:szCs w:val="18"/>
                <w:lang w:val="en-US" w:eastAsia="zh-CN" w:bidi="ar-SA"/>
              </w:rPr>
              <w:t>JS份额：2.70%-3.10%。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leftChars="0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  <w:lang w:val="en-US" w:eastAsia="zh-CN"/>
              </w:rPr>
              <w:t>3.本产品为净值型产品，业绩表现将随市场波动，具有不确定性。业绩比较基准是管理人基于产品性质、投资策略、过往经验等因素对产品设定的投资目标。业绩比较基准不是预期收益率，不代表产品的未来表现和实际收益，不构成对产品收益的承诺。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4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</w:rPr>
              <w:t>产品费用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1.托管费率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：0.02%/年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default" w:ascii="楷体" w:hAnsi="楷体" w:eastAsia="楷体" w:cs="宋体"/>
                <w:color w:val="auto"/>
                <w:spacing w:val="-2"/>
                <w:sz w:val="18"/>
                <w:szCs w:val="18"/>
                <w:lang w:val="en-US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2.销售服务费率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：JS份额：0.20%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采用每日计提模式。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3.投资管理费率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年化）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：JS份额：0.15%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7" w:right="57" w:rightChars="0"/>
              <w:textAlignment w:val="auto"/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4.超额业绩报酬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如有）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：若产品各份额实际投资收益在扣除托管费、销售服务费、投资管理费等费用后超过各份额业绩比较基准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下限</w:t>
            </w: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，产品管理人将按照超出部分的50%收取超额业绩报酬。产品存续期内理财产品将每日暂估超额业绩报酬，仅用于理财产品会计核算，并将扣除“暂估超额业绩报酬”后的理财产品份额净值按照说明书约定向投资者进行披露。理财产品实际收取的超额业绩报酬以到期日计提核算的数值为准。计算超额业绩报酬时，1年按365日计算。</w:t>
            </w:r>
          </w:p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napToGrid w:val="0"/>
              <w:spacing w:line="240" w:lineRule="auto"/>
              <w:ind w:left="22" w:leftChars="10" w:right="22" w:rightChars="10"/>
              <w:jc w:val="both"/>
              <w:textAlignment w:val="auto"/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本产品设置有多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份额，各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份额按照设置的销售对象和销售起点在不同的销售机构销售，各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份额实际收取的销售服务费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率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、投资管理费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率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和超额业绩报酬（如有）可能存在差异，投资者应根据各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  <w:lang w:val="en-US" w:eastAsia="zh-CN"/>
              </w:rPr>
              <w:t>类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份额收费情况自主选择购买。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wordWrap/>
              <w:topLinePunct w:val="0"/>
              <w:bidi w:val="0"/>
              <w:snapToGrid w:val="0"/>
              <w:spacing w:line="240" w:lineRule="auto"/>
              <w:ind w:right="57" w:rightChars="0"/>
              <w:jc w:val="both"/>
              <w:textAlignment w:val="auto"/>
              <w:rPr>
                <w:rFonts w:hint="eastAsia" w:ascii="楷体" w:hAnsi="楷体" w:eastAsia="楷体" w:cs="宋体"/>
                <w:b/>
                <w:spacing w:val="-2"/>
                <w:sz w:val="18"/>
                <w:szCs w:val="18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18"/>
                <w:szCs w:val="18"/>
                <w:highlight w:val="none"/>
                <w:u w:val="single"/>
              </w:rPr>
              <w:t>产品存续期内管理人有权根据产品运行情况制定费率优惠措施，优惠后实际执行的费率以管理人公告为准。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收益分配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ordWrap/>
              <w:topLinePunct w:val="0"/>
              <w:bidi w:val="0"/>
              <w:snapToGrid w:val="0"/>
              <w:spacing w:line="240" w:lineRule="auto"/>
              <w:ind w:left="59" w:leftChars="0" w:right="77" w:rightChars="35"/>
              <w:textAlignment w:val="auto"/>
              <w:rPr>
                <w:rFonts w:hint="eastAsia" w:ascii="楷体" w:hAnsi="楷体" w:eastAsia="楷体" w:cs="宋体"/>
                <w:b/>
                <w:bCs w:val="0"/>
                <w:spacing w:val="-2"/>
                <w:kern w:val="2"/>
                <w:sz w:val="18"/>
                <w:szCs w:val="18"/>
                <w:u w:val="singl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  <w:lang w:val="en-US" w:eastAsia="zh-CN"/>
              </w:rPr>
              <w:t>本产品无分红机制，投资运作情况体现为产品净值变化。产品投资运作到期，投资收益扣除相关费用后，全部分配给投资者。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1701" w:type="dxa"/>
            <w:vAlign w:val="center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"/>
              <w:ind w:left="55" w:leftChars="0"/>
              <w:jc w:val="both"/>
              <w:textAlignment w:val="auto"/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b/>
                <w:color w:val="auto"/>
                <w:spacing w:val="-2"/>
                <w:sz w:val="18"/>
                <w:szCs w:val="18"/>
                <w:lang w:val="en-US" w:eastAsia="zh-CN"/>
              </w:rPr>
              <w:t>税款</w:t>
            </w:r>
          </w:p>
        </w:tc>
        <w:tc>
          <w:tcPr>
            <w:tcW w:w="79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snapToGrid w:val="0"/>
              <w:spacing w:line="240" w:lineRule="auto"/>
              <w:ind w:left="44" w:leftChars="20" w:right="44" w:rightChars="20"/>
              <w:textAlignment w:val="auto"/>
              <w:rPr>
                <w:rFonts w:hint="eastAsia" w:ascii="楷体" w:hAnsi="楷体" w:eastAsia="楷体" w:cs="宋体"/>
                <w:spacing w:val="-2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color w:val="auto"/>
                <w:spacing w:val="-2"/>
                <w:sz w:val="18"/>
                <w:szCs w:val="18"/>
              </w:rPr>
              <w:t>根据中国增值税等税收相关法律法规、税收政策等要求，产品应缴纳的增值税及附加税费（包括但不限于城市维护建设税、教育费附加及地方教育附加等）由管理人从理财产品财产中支付，由此可能会使理财产品净值或实际收益降低。</w:t>
            </w:r>
            <w:r>
              <w:rPr>
                <w:rFonts w:hint="eastAsia" w:ascii="楷体" w:hAnsi="楷体" w:eastAsia="楷体" w:cs="宋体"/>
                <w:b/>
                <w:bCs/>
                <w:color w:val="auto"/>
                <w:spacing w:val="-2"/>
                <w:sz w:val="18"/>
                <w:szCs w:val="18"/>
                <w:u w:val="single"/>
              </w:rPr>
              <w:t>投资者从理财产品取得的收益应缴纳的税款，由投资者自行申报及缴纳。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苏银理财恒源封闭债权226期优选2年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苏银理财恒源封闭债权226期优选2年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仿宋_GB2312" w:hAnsi="微软雅黑" w:eastAsia="仿宋_GB2312" w:cs="宋体"/>
          <w:color w:val="000000"/>
          <w:sz w:val="32"/>
          <w:szCs w:val="32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2025年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22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浠垮畫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36368"/>
    <w:rsid w:val="0003731F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B26D8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2C83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472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057A"/>
    <w:rsid w:val="009A5FF7"/>
    <w:rsid w:val="009A6871"/>
    <w:rsid w:val="009B21F1"/>
    <w:rsid w:val="009B2786"/>
    <w:rsid w:val="009B2C38"/>
    <w:rsid w:val="009D1D85"/>
    <w:rsid w:val="009D3818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05FC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5F6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1569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12F6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34A59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16F45FB"/>
    <w:rsid w:val="017003AA"/>
    <w:rsid w:val="01CC0983"/>
    <w:rsid w:val="02716889"/>
    <w:rsid w:val="02C17743"/>
    <w:rsid w:val="039E030D"/>
    <w:rsid w:val="03AC2408"/>
    <w:rsid w:val="06B70A90"/>
    <w:rsid w:val="09777728"/>
    <w:rsid w:val="09FF56E8"/>
    <w:rsid w:val="0B911F88"/>
    <w:rsid w:val="0BDC2C86"/>
    <w:rsid w:val="0D061CD4"/>
    <w:rsid w:val="0D0F7A88"/>
    <w:rsid w:val="0D637775"/>
    <w:rsid w:val="0E2941CB"/>
    <w:rsid w:val="0E5F095A"/>
    <w:rsid w:val="0EB7539D"/>
    <w:rsid w:val="11E470A0"/>
    <w:rsid w:val="1302330E"/>
    <w:rsid w:val="1304263C"/>
    <w:rsid w:val="143940BA"/>
    <w:rsid w:val="15092D84"/>
    <w:rsid w:val="18024DC4"/>
    <w:rsid w:val="19211303"/>
    <w:rsid w:val="192D2B36"/>
    <w:rsid w:val="1A1928E2"/>
    <w:rsid w:val="1C392E2B"/>
    <w:rsid w:val="1C4E296B"/>
    <w:rsid w:val="1CC77981"/>
    <w:rsid w:val="1CD01DD6"/>
    <w:rsid w:val="1F554D78"/>
    <w:rsid w:val="1FF27F0A"/>
    <w:rsid w:val="221564E3"/>
    <w:rsid w:val="22BD0682"/>
    <w:rsid w:val="23C70A3F"/>
    <w:rsid w:val="25054F52"/>
    <w:rsid w:val="259C3DDF"/>
    <w:rsid w:val="26480ADD"/>
    <w:rsid w:val="281D2B92"/>
    <w:rsid w:val="29382A8A"/>
    <w:rsid w:val="29637A76"/>
    <w:rsid w:val="2BC93191"/>
    <w:rsid w:val="2D032EEB"/>
    <w:rsid w:val="2E1F2395"/>
    <w:rsid w:val="2EAC37A0"/>
    <w:rsid w:val="2F505EBA"/>
    <w:rsid w:val="30CE7037"/>
    <w:rsid w:val="32242253"/>
    <w:rsid w:val="330A6248"/>
    <w:rsid w:val="33701575"/>
    <w:rsid w:val="346D37AA"/>
    <w:rsid w:val="349E665E"/>
    <w:rsid w:val="360B4A64"/>
    <w:rsid w:val="37D92952"/>
    <w:rsid w:val="39E61224"/>
    <w:rsid w:val="3A4F73C8"/>
    <w:rsid w:val="3A7137AE"/>
    <w:rsid w:val="3E7440B0"/>
    <w:rsid w:val="3E9C5C6C"/>
    <w:rsid w:val="3F5E6C02"/>
    <w:rsid w:val="42532033"/>
    <w:rsid w:val="437A0EFD"/>
    <w:rsid w:val="457468D3"/>
    <w:rsid w:val="471B4F9C"/>
    <w:rsid w:val="4727670F"/>
    <w:rsid w:val="488B669C"/>
    <w:rsid w:val="498D2846"/>
    <w:rsid w:val="4BC55E91"/>
    <w:rsid w:val="4DC360A2"/>
    <w:rsid w:val="4ED430B4"/>
    <w:rsid w:val="4F1F46B7"/>
    <w:rsid w:val="4FAB39C4"/>
    <w:rsid w:val="51DF1C32"/>
    <w:rsid w:val="52C1180B"/>
    <w:rsid w:val="532B0103"/>
    <w:rsid w:val="53A7561E"/>
    <w:rsid w:val="549B2CC3"/>
    <w:rsid w:val="54F476EE"/>
    <w:rsid w:val="55301A66"/>
    <w:rsid w:val="569A1942"/>
    <w:rsid w:val="573E6F54"/>
    <w:rsid w:val="57962938"/>
    <w:rsid w:val="58A96CFC"/>
    <w:rsid w:val="59526AAF"/>
    <w:rsid w:val="599469F4"/>
    <w:rsid w:val="5A2D214F"/>
    <w:rsid w:val="5CDE2755"/>
    <w:rsid w:val="5D645228"/>
    <w:rsid w:val="5D6B5C61"/>
    <w:rsid w:val="5DD0768E"/>
    <w:rsid w:val="5E0B78D6"/>
    <w:rsid w:val="5F763953"/>
    <w:rsid w:val="62D1432C"/>
    <w:rsid w:val="65ED6841"/>
    <w:rsid w:val="66093535"/>
    <w:rsid w:val="6CE678C6"/>
    <w:rsid w:val="6DE74F9B"/>
    <w:rsid w:val="6F753C32"/>
    <w:rsid w:val="707F71F1"/>
    <w:rsid w:val="725222D3"/>
    <w:rsid w:val="73053858"/>
    <w:rsid w:val="730E7BA1"/>
    <w:rsid w:val="7409326A"/>
    <w:rsid w:val="7617396F"/>
    <w:rsid w:val="78950A33"/>
    <w:rsid w:val="7CD75C71"/>
    <w:rsid w:val="7DD325A0"/>
    <w:rsid w:val="7E2C223A"/>
    <w:rsid w:val="7FCD57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character" w:customStyle="1" w:styleId="13">
    <w:name w:val="apple-converted-space"/>
    <w:basedOn w:val="8"/>
    <w:qFormat/>
    <w:uiPriority w:val="0"/>
  </w:style>
  <w:style w:type="character" w:customStyle="1" w:styleId="14">
    <w:name w:val="批注框文本 Char"/>
    <w:basedOn w:val="8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5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400</Words>
  <Characters>2280</Characters>
  <Lines>19</Lines>
  <Paragraphs>5</Paragraphs>
  <TotalTime>0</TotalTime>
  <ScaleCrop>false</ScaleCrop>
  <LinksUpToDate>false</LinksUpToDate>
  <CharactersWithSpaces>2675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user</cp:lastModifiedBy>
  <cp:lastPrinted>2021-06-03T04:20:00Z</cp:lastPrinted>
  <dcterms:modified xsi:type="dcterms:W3CDTF">2025-09-22T01:42:18Z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