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adjustRightInd w:val="0"/>
        <w:snapToGrid w:val="0"/>
        <w:spacing w:line="400" w:lineRule="exact"/>
        <w:ind w:firstLine="0"/>
        <w:jc w:val="center"/>
        <w:rPr>
          <w:rFonts w:eastAsia="黑体"/>
          <w:bCs/>
          <w:kern w:val="2"/>
          <w:sz w:val="36"/>
          <w:szCs w:val="36"/>
        </w:rPr>
      </w:pPr>
      <w:r>
        <w:rPr>
          <w:rFonts w:hint="eastAsia" w:eastAsia="黑体"/>
          <w:bCs/>
          <w:kern w:val="2"/>
          <w:sz w:val="36"/>
          <w:szCs w:val="36"/>
        </w:rPr>
        <w:t>华夏理财固定收益纯债型一年定开理财产品</w:t>
      </w:r>
      <w:r>
        <w:rPr>
          <w:rFonts w:eastAsia="黑体"/>
          <w:bCs/>
          <w:kern w:val="2"/>
          <w:sz w:val="36"/>
          <w:szCs w:val="36"/>
        </w:rPr>
        <w:t>7</w:t>
      </w:r>
      <w:r>
        <w:rPr>
          <w:rFonts w:hint="eastAsia" w:eastAsia="黑体"/>
          <w:bCs/>
          <w:kern w:val="2"/>
          <w:sz w:val="36"/>
          <w:szCs w:val="36"/>
        </w:rPr>
        <w:t>号</w:t>
      </w:r>
    </w:p>
    <w:p>
      <w:pPr>
        <w:pStyle w:val="6"/>
        <w:adjustRightInd w:val="0"/>
        <w:snapToGrid w:val="0"/>
        <w:spacing w:line="400" w:lineRule="exact"/>
        <w:ind w:firstLine="0"/>
        <w:jc w:val="center"/>
        <w:rPr>
          <w:rFonts w:hint="eastAsia"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投资者如需进行业务咨询或投诉，请拨打华夏银行客户服务热线95577或其他代理销售机构客户服务热线。</w:t>
            </w:r>
          </w:p>
        </w:tc>
      </w:tr>
    </w:tbl>
    <w:p>
      <w:pPr>
        <w:pStyle w:val="6"/>
        <w:adjustRightInd w:val="0"/>
        <w:snapToGrid w:val="0"/>
        <w:spacing w:line="400" w:lineRule="exact"/>
        <w:ind w:firstLine="0"/>
        <w:jc w:val="center"/>
        <w:rPr>
          <w:rFonts w:hint="eastAsia" w:eastAsia="黑体"/>
          <w:bCs/>
          <w:kern w:val="2"/>
          <w:sz w:val="36"/>
          <w:szCs w:val="36"/>
        </w:rPr>
      </w:pPr>
    </w:p>
    <w:p>
      <w:pPr>
        <w:pStyle w:val="6"/>
        <w:adjustRightInd w:val="0"/>
        <w:snapToGrid w:val="0"/>
        <w:spacing w:line="400" w:lineRule="exact"/>
        <w:ind w:firstLine="0"/>
        <w:jc w:val="center"/>
        <w:rPr>
          <w:rFonts w:hint="eastAsia" w:eastAsia="黑体"/>
          <w:bCs/>
          <w:kern w:val="2"/>
          <w:sz w:val="36"/>
          <w:szCs w:val="36"/>
        </w:rPr>
      </w:pPr>
    </w:p>
    <w:p>
      <w:pPr>
        <w:pStyle w:val="22"/>
        <w:snapToGrid w:val="0"/>
        <w:spacing w:after="156" w:afterLines="50" w:line="400" w:lineRule="exact"/>
        <w:ind w:firstLine="482" w:firstLineChars="200"/>
        <w:jc w:val="both"/>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rPr>
              <w:t>华夏理财固定收益纯债型一年定开理财产品</w:t>
            </w:r>
            <w:r>
              <w:rPr>
                <w:rFonts w:ascii="仿宋" w:hAnsi="仿宋" w:eastAsia="仿宋"/>
                <w:b/>
                <w:bCs/>
                <w:szCs w:val="21"/>
              </w:rPr>
              <w:t>7</w:t>
            </w:r>
            <w:r>
              <w:rPr>
                <w:rFonts w:hint="eastAsia" w:ascii="仿宋" w:hAnsi="仿宋" w:eastAsia="仿宋"/>
                <w:b/>
                <w:bCs/>
                <w:szCs w:val="21"/>
              </w:rPr>
              <w:t>号</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rPr>
              <w:t>A份额简称：“华夏理财固收纯债一年定开</w:t>
            </w:r>
            <w:r>
              <w:rPr>
                <w:rFonts w:ascii="仿宋" w:hAnsi="仿宋" w:eastAsia="仿宋"/>
                <w:b/>
                <w:bCs/>
                <w:szCs w:val="21"/>
              </w:rPr>
              <w:t>7</w:t>
            </w:r>
            <w:r>
              <w:rPr>
                <w:rFonts w:hint="eastAsia" w:ascii="仿宋" w:hAnsi="仿宋" w:eastAsia="仿宋"/>
                <w:b/>
                <w:bCs/>
                <w:szCs w:val="21"/>
              </w:rPr>
              <w:t>号A”</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rPr>
              <w:t>B份额简称：“华夏理财固收纯债一年定开</w:t>
            </w:r>
            <w:r>
              <w:rPr>
                <w:rFonts w:ascii="仿宋" w:hAnsi="仿宋" w:eastAsia="仿宋"/>
                <w:b/>
                <w:bCs/>
                <w:szCs w:val="21"/>
              </w:rPr>
              <w:t>7</w:t>
            </w:r>
            <w:r>
              <w:rPr>
                <w:rFonts w:hint="eastAsia" w:ascii="仿宋" w:hAnsi="仿宋" w:eastAsia="仿宋"/>
                <w:b/>
                <w:bCs/>
                <w:szCs w:val="21"/>
              </w:rPr>
              <w:t>号B”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highlight w:val="lightGray"/>
              </w:rPr>
            </w:pPr>
            <w:r>
              <w:rPr>
                <w:rFonts w:ascii="仿宋" w:hAnsi="仿宋" w:eastAsia="仿宋"/>
                <w:bCs/>
                <w:szCs w:val="21"/>
              </w:rPr>
              <w:t>21113307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A份额代码：</w:t>
            </w:r>
            <w:r>
              <w:rPr>
                <w:rFonts w:ascii="仿宋" w:hAnsi="仿宋" w:eastAsia="仿宋"/>
                <w:bCs/>
                <w:szCs w:val="21"/>
              </w:rPr>
              <w:t>21113307</w:t>
            </w:r>
            <w:r>
              <w:rPr>
                <w:rFonts w:hint="eastAsia" w:ascii="仿宋" w:hAnsi="仿宋" w:eastAsia="仿宋"/>
                <w:bCs/>
                <w:szCs w:val="21"/>
              </w:rPr>
              <w:t>A</w:t>
            </w:r>
          </w:p>
          <w:p>
            <w:pPr>
              <w:adjustRightInd w:val="0"/>
              <w:snapToGrid w:val="0"/>
              <w:spacing w:line="240" w:lineRule="atLeast"/>
              <w:jc w:val="center"/>
              <w:rPr>
                <w:rFonts w:ascii="仿宋" w:hAnsi="仿宋" w:eastAsia="仿宋"/>
                <w:bCs/>
                <w:szCs w:val="21"/>
                <w:highlight w:val="lightGray"/>
              </w:rPr>
            </w:pPr>
            <w:r>
              <w:rPr>
                <w:rFonts w:hint="eastAsia" w:ascii="仿宋" w:hAnsi="仿宋" w:eastAsia="仿宋"/>
                <w:bCs/>
                <w:szCs w:val="21"/>
              </w:rPr>
              <w:t>B份额代码：</w:t>
            </w:r>
            <w:r>
              <w:rPr>
                <w:rFonts w:ascii="仿宋" w:hAnsi="仿宋" w:eastAsia="仿宋"/>
                <w:bCs/>
                <w:szCs w:val="21"/>
              </w:rPr>
              <w:t>21113307</w:t>
            </w:r>
            <w:r>
              <w:rPr>
                <w:rFonts w:hint="eastAsia" w:ascii="仿宋" w:hAnsi="仿宋" w:eastAsia="仿宋"/>
                <w:bCs/>
                <w:szCs w:val="21"/>
              </w:rPr>
              <w:t>B（招商银行销售代码：HX02020</w:t>
            </w:r>
            <w:r>
              <w:rPr>
                <w:rFonts w:ascii="仿宋" w:hAnsi="仿宋" w:eastAsia="仿宋"/>
                <w:bCs/>
                <w:szCs w:val="21"/>
              </w:rPr>
              <w:t>8</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Z7003921000487</w:t>
            </w:r>
          </w:p>
          <w:p>
            <w:pPr>
              <w:adjustRightInd w:val="0"/>
              <w:snapToGrid w:val="0"/>
              <w:spacing w:line="240" w:lineRule="atLeast"/>
              <w:jc w:val="center"/>
              <w:rPr>
                <w:rFonts w:hint="eastAsia" w:ascii="仿宋" w:hAnsi="仿宋" w:eastAsia="仿宋"/>
                <w:bCs/>
                <w:szCs w:val="21"/>
                <w:highlight w:val="lightGray"/>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产品管理人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bookmarkStart w:id="4" w:name="_GoBack"/>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bookmarkEnd w:id="4"/>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hint="eastAsia"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color w:val="000000"/>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color w:val="000000"/>
                <w:szCs w:val="21"/>
                <w:u w:val="single"/>
              </w:rPr>
              <w:t>CR2（稳健型）、</w:t>
            </w:r>
            <w:r>
              <w:rPr>
                <w:rFonts w:hint="eastAsia" w:ascii="仿宋" w:hAnsi="仿宋" w:eastAsia="仿宋"/>
                <w:bCs/>
                <w:szCs w:val="21"/>
                <w:u w:val="single"/>
              </w:rPr>
              <w:t>CR3（平衡型）、CR4（进取型）、CR5（激进型）</w:t>
            </w:r>
            <w:r>
              <w:rPr>
                <w:rFonts w:ascii="仿宋" w:hAnsi="仿宋" w:eastAsia="仿宋"/>
                <w:bCs/>
                <w:szCs w:val="21"/>
                <w:u w:val="single"/>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hint="eastAsia"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hint="eastAsia"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业绩基准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A份额：业绩基准为3.90%-4.10%（年化）；B份额：业绩基准为4.00%-4.20%（年化）。以产品投资利率债仓位0-10%，信用债仓位90%-100%，组合杠杆率110%为例，参考中债-国债总财富（1-3年）指数、中债-高信用等级债券指数，结合产品投资策略并扣除各项费用后，综合测算得出上述业绩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业绩基准是管理人基于产品性质、投资策略、过往经验等因素对产品设定的投资目标，不代表产品的未来表现和实际收益，不构成对产品收益的承诺。</w:t>
            </w:r>
          </w:p>
          <w:p>
            <w:pPr>
              <w:adjustRightInd w:val="0"/>
              <w:snapToGrid w:val="0"/>
              <w:spacing w:line="240" w:lineRule="atLeast"/>
              <w:ind w:firstLine="420" w:firstLineChars="200"/>
              <w:rPr>
                <w:rFonts w:hint="eastAsia" w:ascii="仿宋" w:hAnsi="仿宋" w:eastAsia="仿宋"/>
                <w:bCs/>
                <w:color w:val="000000"/>
                <w:szCs w:val="21"/>
              </w:rPr>
            </w:pPr>
            <w:r>
              <w:rPr>
                <w:rFonts w:hint="eastAsia" w:ascii="仿宋" w:hAnsi="仿宋" w:eastAsia="仿宋"/>
                <w:bCs/>
                <w:color w:val="000000"/>
                <w:szCs w:val="21"/>
              </w:rPr>
              <w:t>华夏理财有权根据市场情况及产品运作情况调整业绩基准，</w:t>
            </w:r>
            <w:r>
              <w:rPr>
                <w:rFonts w:hint="eastAsia" w:ascii="仿宋" w:hAnsi="仿宋" w:eastAsia="仿宋"/>
                <w:bCs/>
                <w:szCs w:val="21"/>
              </w:rPr>
              <w:t>并至少于新业绩基准启用前3个工作日公告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hint="eastAsia"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hint="eastAsia" w:ascii="仿宋" w:hAnsi="仿宋" w:eastAsia="仿宋"/>
                <w:b/>
                <w:bCs/>
                <w:szCs w:val="21"/>
              </w:rPr>
            </w:pPr>
            <w:r>
              <w:rPr>
                <w:rFonts w:hint="eastAsia" w:ascii="仿宋" w:hAnsi="仿宋" w:eastAsia="仿宋"/>
                <w:b/>
                <w:bCs/>
                <w:szCs w:val="21"/>
              </w:rPr>
              <w:t>2.本业绩基准不构成华夏理财/代销机构对本理财产品的任何收益承诺。</w:t>
            </w:r>
          </w:p>
          <w:p>
            <w:pPr>
              <w:adjustRightInd w:val="0"/>
              <w:snapToGrid w:val="0"/>
              <w:spacing w:line="240" w:lineRule="atLeast"/>
              <w:ind w:firstLine="422" w:firstLineChars="200"/>
              <w:rPr>
                <w:rFonts w:hint="eastAsia"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2022年</w:t>
            </w:r>
            <w:r>
              <w:rPr>
                <w:rFonts w:ascii="仿宋" w:hAnsi="仿宋" w:eastAsia="仿宋"/>
                <w:bCs/>
                <w:szCs w:val="21"/>
              </w:rPr>
              <w:t>6</w:t>
            </w:r>
            <w:r>
              <w:rPr>
                <w:rFonts w:hint="eastAsia" w:ascii="仿宋" w:hAnsi="仿宋" w:eastAsia="仿宋"/>
                <w:bCs/>
                <w:szCs w:val="21"/>
              </w:rPr>
              <w:t>月</w:t>
            </w:r>
            <w:r>
              <w:rPr>
                <w:rFonts w:ascii="仿宋" w:hAnsi="仿宋" w:eastAsia="仿宋"/>
                <w:bCs/>
                <w:szCs w:val="21"/>
              </w:rPr>
              <w:t>17</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2022年</w:t>
            </w:r>
            <w:r>
              <w:rPr>
                <w:rFonts w:ascii="仿宋" w:hAnsi="仿宋" w:eastAsia="仿宋"/>
                <w:bCs/>
                <w:szCs w:val="21"/>
              </w:rPr>
              <w:t>6</w:t>
            </w:r>
            <w:r>
              <w:rPr>
                <w:rFonts w:hint="eastAsia" w:ascii="仿宋" w:hAnsi="仿宋" w:eastAsia="仿宋"/>
                <w:bCs/>
                <w:szCs w:val="21"/>
              </w:rPr>
              <w:t>月</w:t>
            </w:r>
            <w:r>
              <w:rPr>
                <w:rFonts w:ascii="仿宋" w:hAnsi="仿宋" w:eastAsia="仿宋"/>
                <w:bCs/>
                <w:szCs w:val="21"/>
              </w:rPr>
              <w:t>23</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2022年</w:t>
            </w:r>
            <w:r>
              <w:rPr>
                <w:rFonts w:ascii="仿宋" w:hAnsi="仿宋" w:eastAsia="仿宋"/>
                <w:bCs/>
                <w:szCs w:val="21"/>
              </w:rPr>
              <w:t>6</w:t>
            </w:r>
            <w:r>
              <w:rPr>
                <w:rFonts w:hint="eastAsia" w:ascii="仿宋" w:hAnsi="仿宋" w:eastAsia="仿宋"/>
                <w:bCs/>
                <w:szCs w:val="21"/>
              </w:rPr>
              <w:t>月</w:t>
            </w:r>
            <w:r>
              <w:rPr>
                <w:rFonts w:ascii="仿宋" w:hAnsi="仿宋" w:eastAsia="仿宋"/>
                <w:bCs/>
                <w:szCs w:val="21"/>
              </w:rPr>
              <w:t>24</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rPr>
              <w:t>产品成立日至产品首个</w:t>
            </w:r>
            <w:r>
              <w:rPr>
                <w:rFonts w:ascii="仿宋" w:hAnsi="仿宋" w:eastAsia="仿宋"/>
                <w:bCs/>
                <w:szCs w:val="21"/>
              </w:rPr>
              <w:t>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w:t>
            </w:r>
            <w:r>
              <w:rPr>
                <w:rFonts w:hint="eastAsia" w:ascii="仿宋" w:hAnsi="仿宋" w:eastAsia="仿宋"/>
                <w:bCs/>
                <w:szCs w:val="21"/>
              </w:rPr>
              <w:t>、产品</w:t>
            </w:r>
            <w:r>
              <w:rPr>
                <w:rFonts w:ascii="仿宋" w:hAnsi="仿宋" w:eastAsia="仿宋"/>
                <w:bCs/>
                <w:szCs w:val="21"/>
              </w:rPr>
              <w:t>上</w:t>
            </w:r>
            <w:r>
              <w:rPr>
                <w:rFonts w:hint="eastAsia" w:ascii="仿宋" w:hAnsi="仿宋" w:eastAsia="仿宋"/>
                <w:bCs/>
                <w:szCs w:val="21"/>
              </w:rPr>
              <w:t>一</w:t>
            </w:r>
            <w:r>
              <w:rPr>
                <w:rFonts w:ascii="仿宋" w:hAnsi="仿宋" w:eastAsia="仿宋"/>
                <w:bCs/>
                <w:szCs w:val="21"/>
              </w:rPr>
              <w:t>开放</w:t>
            </w:r>
            <w:r>
              <w:rPr>
                <w:rFonts w:hint="eastAsia" w:ascii="仿宋" w:hAnsi="仿宋" w:eastAsia="仿宋"/>
                <w:bCs/>
                <w:szCs w:val="21"/>
              </w:rPr>
              <w:t>期的下一日</w:t>
            </w:r>
            <w:r>
              <w:rPr>
                <w:rFonts w:ascii="仿宋" w:hAnsi="仿宋" w:eastAsia="仿宋"/>
                <w:bCs/>
                <w:szCs w:val="21"/>
              </w:rPr>
              <w:t>至</w:t>
            </w:r>
            <w:r>
              <w:rPr>
                <w:rFonts w:hint="eastAsia" w:ascii="仿宋" w:hAnsi="仿宋" w:eastAsia="仿宋"/>
                <w:bCs/>
                <w:szCs w:val="21"/>
              </w:rPr>
              <w:t>产品</w:t>
            </w:r>
            <w:r>
              <w:rPr>
                <w:rFonts w:ascii="仿宋" w:hAnsi="仿宋" w:eastAsia="仿宋"/>
                <w:bCs/>
                <w:szCs w:val="21"/>
              </w:rPr>
              <w:t>下一开放</w:t>
            </w:r>
            <w:r>
              <w:rPr>
                <w:rFonts w:hint="eastAsia" w:ascii="仿宋" w:hAnsi="仿宋" w:eastAsia="仿宋"/>
                <w:bCs/>
                <w:szCs w:val="21"/>
              </w:rPr>
              <w:t>期</w:t>
            </w:r>
            <w:r>
              <w:rPr>
                <w:rFonts w:ascii="仿宋" w:hAnsi="仿宋" w:eastAsia="仿宋"/>
                <w:bCs/>
                <w:szCs w:val="21"/>
              </w:rPr>
              <w:t>的</w:t>
            </w:r>
            <w:r>
              <w:rPr>
                <w:rFonts w:hint="eastAsia" w:ascii="仿宋" w:hAnsi="仿宋" w:eastAsia="仿宋"/>
                <w:bCs/>
                <w:szCs w:val="21"/>
              </w:rPr>
              <w:t>前一</w:t>
            </w:r>
            <w:r>
              <w:rPr>
                <w:rFonts w:ascii="仿宋" w:hAnsi="仿宋" w:eastAsia="仿宋"/>
                <w:bCs/>
                <w:szCs w:val="21"/>
              </w:rPr>
              <w:t>日、产品最后一个</w:t>
            </w:r>
            <w:r>
              <w:rPr>
                <w:rFonts w:hint="eastAsia" w:ascii="仿宋" w:hAnsi="仿宋" w:eastAsia="仿宋"/>
                <w:bCs/>
                <w:szCs w:val="21"/>
              </w:rPr>
              <w:t>开放期的下一</w:t>
            </w:r>
            <w:r>
              <w:rPr>
                <w:rFonts w:ascii="仿宋" w:hAnsi="仿宋" w:eastAsia="仿宋"/>
                <w:bCs/>
                <w:szCs w:val="21"/>
              </w:rPr>
              <w:t>日至产品</w:t>
            </w:r>
            <w:r>
              <w:rPr>
                <w:rFonts w:hint="eastAsia" w:ascii="仿宋" w:hAnsi="仿宋" w:eastAsia="仿宋"/>
                <w:bCs/>
                <w:szCs w:val="21"/>
              </w:rPr>
              <w:t>到期日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240" w:lineRule="atLeast"/>
              <w:ind w:firstLine="422" w:firstLineChars="200"/>
              <w:jc w:val="left"/>
              <w:rPr>
                <w:rFonts w:hint="eastAsia"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本产品</w:t>
            </w:r>
            <w:r>
              <w:rPr>
                <w:rFonts w:hint="eastAsia" w:ascii="仿宋" w:hAnsi="仿宋" w:eastAsia="仿宋"/>
                <w:bCs/>
                <w:szCs w:val="21"/>
                <w:lang w:eastAsia="zh-CN"/>
              </w:rPr>
              <w:t>计划</w:t>
            </w:r>
            <w:r>
              <w:rPr>
                <w:rFonts w:hint="eastAsia" w:ascii="仿宋" w:hAnsi="仿宋" w:eastAsia="仿宋"/>
                <w:bCs/>
                <w:szCs w:val="21"/>
              </w:rPr>
              <w:t>发行规模</w:t>
            </w:r>
            <w:r>
              <w:rPr>
                <w:rFonts w:hint="eastAsia" w:ascii="仿宋" w:hAnsi="仿宋" w:eastAsia="仿宋"/>
                <w:bCs/>
                <w:szCs w:val="21"/>
                <w:lang w:eastAsia="zh-CN"/>
              </w:rPr>
              <w:t>上限为</w:t>
            </w:r>
            <w:r>
              <w:rPr>
                <w:rFonts w:ascii="仿宋" w:hAnsi="仿宋" w:eastAsia="仿宋"/>
                <w:bCs/>
                <w:szCs w:val="21"/>
              </w:rPr>
              <w:t>50</w:t>
            </w:r>
            <w:r>
              <w:rPr>
                <w:rFonts w:hint="eastAsia" w:ascii="仿宋" w:hAnsi="仿宋" w:eastAsia="仿宋"/>
                <w:bCs/>
                <w:szCs w:val="21"/>
              </w:rPr>
              <w:t>亿元</w:t>
            </w:r>
            <w:r>
              <w:rPr>
                <w:rFonts w:hint="eastAsia" w:ascii="仿宋" w:hAnsi="仿宋" w:eastAsia="仿宋"/>
                <w:bCs/>
                <w:szCs w:val="21"/>
                <w:lang w:eastAsia="zh-CN"/>
              </w:rPr>
              <w:t>，</w:t>
            </w:r>
            <w:r>
              <w:rPr>
                <w:rFonts w:hint="eastAsia" w:ascii="仿宋" w:hAnsi="仿宋" w:eastAsia="仿宋"/>
                <w:bCs/>
                <w:szCs w:val="21"/>
              </w:rPr>
              <w:t>发行规模下限为</w:t>
            </w:r>
            <w:r>
              <w:rPr>
                <w:rFonts w:hint="eastAsia" w:ascii="仿宋" w:hAnsi="仿宋" w:eastAsia="仿宋"/>
                <w:bCs/>
                <w:szCs w:val="21"/>
                <w:lang w:val="en-US" w:eastAsia="zh-CN"/>
              </w:rPr>
              <w:t>1</w:t>
            </w:r>
            <w:r>
              <w:rPr>
                <w:rFonts w:hint="eastAsia" w:ascii="仿宋" w:hAnsi="仿宋" w:eastAsia="仿宋"/>
                <w:bCs/>
                <w:szCs w:val="21"/>
              </w:rPr>
              <w:t>000万元。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hint="eastAsia"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A份额：1元，以1元的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B份额：1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hint="eastAsia"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高持有限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单一投资者持有产品份额数不得达到或超过产品份额总数的 50%。非因产品管理人主观因素导致突破前款规定比例限制的，在单一投资者持有比例降至50%以下之前，产品管理人将不再接受该投资者对该产品的认、申购申请。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份额净值为提取管理费、托管费、销售费等相关费用后的理财产品份额净值，投资者按该份额净值进行申购、赎回和到期/终止时的分配。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r>
              <w:rPr>
                <w:rFonts w:hint="eastAsia" w:ascii="仿宋" w:hAnsi="仿宋" w:eastAsia="仿宋"/>
                <w:bCs/>
                <w:szCs w:val="21"/>
                <w:lang w:val="en-GB"/>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hint="eastAsia"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hint="eastAsia"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开放期/开放日为产品成立后每年</w:t>
            </w:r>
            <w:r>
              <w:rPr>
                <w:rFonts w:ascii="仿宋" w:hAnsi="仿宋" w:eastAsia="仿宋"/>
                <w:bCs/>
                <w:szCs w:val="21"/>
              </w:rPr>
              <w:t>6</w:t>
            </w:r>
            <w:r>
              <w:rPr>
                <w:rFonts w:hint="eastAsia" w:ascii="仿宋" w:hAnsi="仿宋" w:eastAsia="仿宋"/>
                <w:bCs/>
                <w:szCs w:val="21"/>
              </w:rPr>
              <w:t>月</w:t>
            </w:r>
            <w:r>
              <w:rPr>
                <w:rFonts w:ascii="仿宋" w:hAnsi="仿宋" w:eastAsia="仿宋"/>
                <w:bCs/>
                <w:szCs w:val="21"/>
              </w:rPr>
              <w:t>17</w:t>
            </w:r>
            <w:r>
              <w:rPr>
                <w:rFonts w:hint="eastAsia" w:ascii="仿宋" w:hAnsi="仿宋" w:eastAsia="仿宋"/>
                <w:bCs/>
                <w:szCs w:val="21"/>
              </w:rPr>
              <w:t>日（含）起连续3个工作日，开放期/开放日如遇非工作日则顺延至下一个工作日。</w:t>
            </w:r>
          </w:p>
          <w:tbl>
            <w:tblPr>
              <w:tblStyle w:val="11"/>
              <w:tblW w:w="0" w:type="auto"/>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tcPr>
                <w:p>
                  <w:pPr>
                    <w:adjustRightInd w:val="0"/>
                    <w:snapToGrid w:val="0"/>
                    <w:spacing w:line="240" w:lineRule="atLeast"/>
                    <w:ind w:right="-44"/>
                    <w:jc w:val="center"/>
                    <w:rPr>
                      <w:rFonts w:hint="eastAsia" w:ascii="仿宋" w:hAnsi="仿宋" w:eastAsia="仿宋"/>
                      <w:b/>
                      <w:bCs/>
                      <w:szCs w:val="21"/>
                    </w:rPr>
                  </w:pPr>
                  <w:r>
                    <w:rPr>
                      <w:rFonts w:hint="eastAsia" w:ascii="仿宋" w:hAnsi="仿宋" w:eastAsia="仿宋"/>
                      <w:b/>
                      <w:bCs/>
                      <w:szCs w:val="21"/>
                    </w:rPr>
                    <w:t>交易类型</w:t>
                  </w:r>
                </w:p>
              </w:tc>
              <w:tc>
                <w:tcPr>
                  <w:tcW w:w="5406" w:type="dxa"/>
                </w:tcPr>
                <w:p>
                  <w:pPr>
                    <w:adjustRightInd w:val="0"/>
                    <w:snapToGrid w:val="0"/>
                    <w:spacing w:line="240" w:lineRule="atLeast"/>
                    <w:ind w:right="-44"/>
                    <w:jc w:val="center"/>
                    <w:rPr>
                      <w:rFonts w:hint="eastAsia"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hint="eastAsia" w:ascii="仿宋" w:hAnsi="仿宋" w:eastAsia="仿宋"/>
                      <w:bCs/>
                      <w:szCs w:val="21"/>
                    </w:rPr>
                  </w:pPr>
                  <w:r>
                    <w:rPr>
                      <w:rFonts w:hint="eastAsia" w:ascii="仿宋" w:hAnsi="仿宋" w:eastAsia="仿宋"/>
                      <w:bCs/>
                      <w:szCs w:val="21"/>
                    </w:rPr>
                    <w:t>申购</w:t>
                  </w:r>
                </w:p>
              </w:tc>
              <w:tc>
                <w:tcPr>
                  <w:tcW w:w="5406" w:type="dxa"/>
                </w:tcPr>
                <w:p>
                  <w:pPr>
                    <w:adjustRightInd w:val="0"/>
                    <w:snapToGrid w:val="0"/>
                    <w:spacing w:line="240" w:lineRule="atLeast"/>
                    <w:ind w:firstLine="420" w:firstLineChars="200"/>
                    <w:rPr>
                      <w:rFonts w:hint="eastAsia" w:ascii="仿宋" w:hAnsi="仿宋" w:eastAsia="仿宋"/>
                      <w:bCs/>
                      <w:szCs w:val="21"/>
                      <w:u w:val="single"/>
                    </w:rPr>
                  </w:pPr>
                  <w:r>
                    <w:rPr>
                      <w:rFonts w:hint="eastAsia" w:ascii="仿宋" w:hAnsi="仿宋" w:eastAsia="仿宋"/>
                      <w:bCs/>
                      <w:szCs w:val="21"/>
                    </w:rPr>
                    <w:t>通过华夏银行/华夏理财购买的，每个开放日的开放时间</w:t>
                  </w:r>
                  <w:r>
                    <w:rPr>
                      <w:rFonts w:hint="eastAsia" w:ascii="仿宋" w:hAnsi="仿宋" w:eastAsia="仿宋"/>
                    </w:rPr>
                    <w:t>9:00-17:00。投资者只能于开放日的开放时间内进行申购。投资者若在T日非开放时间提交申购，等同在下一开放时间内提交的申购申请，T日为开放日。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hint="eastAsia" w:ascii="仿宋" w:hAnsi="仿宋" w:eastAsia="仿宋"/>
                      <w:bCs/>
                      <w:szCs w:val="21"/>
                    </w:rPr>
                  </w:pPr>
                  <w:r>
                    <w:rPr>
                      <w:rFonts w:hint="eastAsia" w:ascii="仿宋" w:hAnsi="仿宋" w:eastAsia="仿宋"/>
                      <w:bCs/>
                      <w:szCs w:val="21"/>
                    </w:rPr>
                    <w:t>赎回</w:t>
                  </w:r>
                </w:p>
              </w:tc>
              <w:tc>
                <w:tcPr>
                  <w:tcW w:w="5406" w:type="dxa"/>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通过华夏银行/华夏理财购买的，每个开放日的开放时间9:00-17:00。投资者只能于开放日的开放时间内进行赎回。投资者若在T日非开放时间提交赎回，等同在下一开放时间内提交的赎回申请，T日为开放日。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hint="eastAsia" w:ascii="仿宋" w:hAnsi="仿宋" w:eastAsia="仿宋"/>
                <w:b/>
                <w:bCs/>
                <w:szCs w:val="21"/>
              </w:rPr>
            </w:pPr>
          </w:p>
          <w:p>
            <w:pPr>
              <w:adjustRightInd w:val="0"/>
              <w:snapToGrid w:val="0"/>
              <w:spacing w:line="240" w:lineRule="atLeast"/>
              <w:ind w:right="-44" w:firstLine="420" w:firstLineChars="200"/>
              <w:jc w:val="left"/>
              <w:rPr>
                <w:rFonts w:hint="eastAsia"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hint="eastAsia"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hint="eastAsia" w:ascii="仿宋" w:hAnsi="仿宋" w:eastAsia="仿宋"/>
                <w:bCs/>
                <w:szCs w:val="21"/>
              </w:rPr>
              <w:t>预约购买及</w:t>
            </w:r>
          </w:p>
          <w:p>
            <w:pPr>
              <w:keepNext/>
              <w:adjustRightInd w:val="0"/>
              <w:snapToGrid w:val="0"/>
              <w:spacing w:line="240" w:lineRule="atLeast"/>
              <w:jc w:val="center"/>
              <w:rPr>
                <w:rFonts w:hint="eastAsia" w:ascii="仿宋" w:hAnsi="仿宋" w:eastAsia="仿宋"/>
                <w:bCs/>
                <w:szCs w:val="21"/>
              </w:rPr>
            </w:pPr>
            <w:r>
              <w:rPr>
                <w:rFonts w:ascii="仿宋" w:hAnsi="仿宋" w:eastAsia="仿宋"/>
                <w:bCs/>
                <w:szCs w:val="21"/>
              </w:rPr>
              <w:t>预约赎回</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rPr>
              <w:t>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w:t>
            </w:r>
            <w:r>
              <w:rPr>
                <w:rFonts w:ascii="仿宋" w:hAnsi="仿宋" w:eastAsia="仿宋"/>
              </w:rPr>
              <w:t>3</w:t>
            </w:r>
            <w:r>
              <w:rPr>
                <w:rFonts w:hint="eastAsia" w:ascii="仿宋" w:hAnsi="仿宋" w:eastAsia="仿宋"/>
              </w:rPr>
              <w:t>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可接受通过</w:t>
            </w:r>
            <w:r>
              <w:rPr>
                <w:rFonts w:ascii="仿宋" w:hAnsi="仿宋" w:eastAsia="仿宋"/>
                <w:bCs/>
                <w:szCs w:val="21"/>
              </w:rPr>
              <w:t>华夏</w:t>
            </w:r>
            <w:r>
              <w:rPr>
                <w:rFonts w:hint="eastAsia" w:ascii="仿宋" w:hAnsi="仿宋" w:eastAsia="仿宋"/>
                <w:bCs/>
                <w:szCs w:val="21"/>
              </w:rPr>
              <w:t>银行/华夏理财</w:t>
            </w:r>
            <w:r>
              <w:rPr>
                <w:rFonts w:ascii="仿宋" w:hAnsi="仿宋" w:eastAsia="仿宋"/>
                <w:bCs/>
                <w:szCs w:val="21"/>
              </w:rPr>
              <w:t>购买的投资者</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w:t>
            </w:r>
            <w:r>
              <w:rPr>
                <w:rFonts w:ascii="仿宋" w:hAnsi="仿宋" w:eastAsia="仿宋"/>
                <w:bCs/>
                <w:szCs w:val="21"/>
              </w:rPr>
              <w:t>，</w:t>
            </w:r>
            <w:r>
              <w:rPr>
                <w:rFonts w:hint="eastAsia" w:ascii="仿宋" w:hAnsi="仿宋" w:eastAsia="仿宋"/>
                <w:bCs/>
                <w:szCs w:val="21"/>
              </w:rPr>
              <w:t>视</w:t>
            </w:r>
            <w:r>
              <w:rPr>
                <w:rFonts w:ascii="仿宋" w:hAnsi="仿宋" w:eastAsia="仿宋"/>
                <w:bCs/>
                <w:szCs w:val="21"/>
              </w:rPr>
              <w:t>同在</w:t>
            </w:r>
            <w:r>
              <w:rPr>
                <w:rFonts w:hint="eastAsia" w:ascii="仿宋" w:hAnsi="仿宋" w:eastAsia="仿宋"/>
                <w:bCs/>
                <w:szCs w:val="21"/>
              </w:rPr>
              <w:t>下</w:t>
            </w:r>
            <w:r>
              <w:rPr>
                <w:rFonts w:ascii="仿宋" w:hAnsi="仿宋" w:eastAsia="仿宋"/>
                <w:bCs/>
                <w:szCs w:val="21"/>
              </w:rPr>
              <w:t>一</w:t>
            </w:r>
            <w:r>
              <w:rPr>
                <w:rFonts w:hint="eastAsia" w:ascii="仿宋" w:hAnsi="仿宋" w:eastAsia="仿宋"/>
                <w:bCs/>
                <w:szCs w:val="21"/>
              </w:rPr>
              <w:t>个申购/赎回</w:t>
            </w:r>
            <w:r>
              <w:rPr>
                <w:rFonts w:ascii="仿宋" w:hAnsi="仿宋" w:eastAsia="仿宋"/>
                <w:bCs/>
                <w:szCs w:val="21"/>
              </w:rPr>
              <w:t>开放日开放时间内</w:t>
            </w:r>
            <w:r>
              <w:rPr>
                <w:rFonts w:hint="eastAsia" w:ascii="仿宋" w:hAnsi="仿宋" w:eastAsia="仿宋"/>
                <w:bCs/>
                <w:szCs w:val="21"/>
              </w:rPr>
              <w:t>提交</w:t>
            </w:r>
            <w:r>
              <w:rPr>
                <w:rFonts w:ascii="仿宋" w:hAnsi="仿宋" w:eastAsia="仿宋"/>
                <w:bCs/>
                <w:szCs w:val="21"/>
              </w:rPr>
              <w:t>的</w:t>
            </w:r>
            <w:r>
              <w:rPr>
                <w:rFonts w:hint="eastAsia" w:ascii="仿宋" w:hAnsi="仿宋" w:eastAsia="仿宋"/>
                <w:bCs/>
                <w:szCs w:val="21"/>
              </w:rPr>
              <w:t>申购</w:t>
            </w:r>
            <w:r>
              <w:rPr>
                <w:rFonts w:ascii="仿宋" w:hAnsi="仿宋" w:eastAsia="仿宋"/>
                <w:bCs/>
                <w:szCs w:val="21"/>
              </w:rPr>
              <w:t>、赎回申请</w:t>
            </w:r>
            <w:r>
              <w:rPr>
                <w:rFonts w:hint="eastAsia" w:ascii="仿宋" w:hAnsi="仿宋" w:eastAsia="仿宋"/>
                <w:bCs/>
                <w:szCs w:val="21"/>
              </w:rPr>
              <w:t>。</w:t>
            </w:r>
          </w:p>
          <w:p>
            <w:pPr>
              <w:keepNext/>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rPr>
              <w:t>华夏银行/华夏理财将在预约购买申请提出日之后的第一个申购开放日根据预约购买申请扣款，如扣款失败,则预约购买申请不成功。</w:t>
            </w:r>
          </w:p>
          <w:p>
            <w:pPr>
              <w:keepNext/>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hint="eastAsia"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r>
              <w:rPr>
                <w:rFonts w:hint="eastAsia" w:ascii="仿宋" w:hAnsi="仿宋" w:eastAsia="仿宋"/>
                <w:bCs/>
                <w:szCs w:val="21"/>
              </w:rPr>
              <w:t>通过华夏银行/华夏理财购买的，T日扣款；通过其他代销机构购买的，扣款以代销机构规定为准。</w:t>
            </w:r>
          </w:p>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hint="eastAsia" w:ascii="仿宋" w:hAnsi="仿宋" w:eastAsia="仿宋"/>
                <w:bCs/>
                <w:szCs w:val="21"/>
              </w:rPr>
            </w:pPr>
            <w:r>
              <w:rPr>
                <w:rFonts w:ascii="仿宋" w:hAnsi="仿宋" w:eastAsia="仿宋"/>
                <w:bCs/>
                <w:szCs w:val="21"/>
              </w:rPr>
              <w:t>T日赎回，</w:t>
            </w:r>
            <w:r>
              <w:rPr>
                <w:rFonts w:hint="eastAsia" w:ascii="仿宋" w:hAnsi="仿宋" w:eastAsia="仿宋"/>
                <w:bCs/>
                <w:szCs w:val="21"/>
                <w:u w:val="none"/>
              </w:rPr>
              <w:t>T+1日</w:t>
            </w:r>
            <w:r>
              <w:rPr>
                <w:rFonts w:ascii="仿宋" w:hAnsi="仿宋" w:eastAsia="仿宋"/>
                <w:bCs/>
                <w:szCs w:val="21"/>
                <w:u w:val="none"/>
              </w:rPr>
              <w:t>确</w:t>
            </w:r>
            <w:r>
              <w:rPr>
                <w:rFonts w:ascii="仿宋" w:hAnsi="仿宋" w:eastAsia="仿宋"/>
                <w:bCs/>
                <w:szCs w:val="21"/>
              </w:rPr>
              <w:t>认</w:t>
            </w:r>
            <w:r>
              <w:rPr>
                <w:rFonts w:hint="eastAsia" w:ascii="仿宋" w:hAnsi="仿宋" w:eastAsia="仿宋"/>
                <w:bCs/>
                <w:szCs w:val="21"/>
              </w:rPr>
              <w:t>。</w:t>
            </w:r>
          </w:p>
          <w:p>
            <w:pPr>
              <w:adjustRightInd w:val="0"/>
              <w:snapToGrid w:val="0"/>
              <w:spacing w:line="240" w:lineRule="atLeast"/>
              <w:ind w:right="-44" w:firstLine="420" w:firstLineChars="200"/>
              <w:jc w:val="left"/>
              <w:rPr>
                <w:rFonts w:hint="eastAsia"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于T+2日（内）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于T+2日（内）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hint="eastAsia"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hint="eastAsia"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hint="eastAsia"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hint="eastAsia"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2</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根据实际投资结果向华夏银行/华夏理财客户及其他代销机构一次性划付理财本金及收益（如有），其他代销机构客户的理财本金及收益（如有）的具体到账账户、到账日及到账时间以代销机构划付规定为准。</w:t>
            </w:r>
          </w:p>
          <w:p>
            <w:pPr>
              <w:spacing w:line="240" w:lineRule="atLeast"/>
              <w:ind w:firstLine="420" w:firstLineChars="200"/>
              <w:rPr>
                <w:rFonts w:hint="eastAsia"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认购/申购/赎回申请拒绝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djustRightInd w:val="0"/>
              <w:snapToGrid w:val="0"/>
              <w:spacing w:line="300" w:lineRule="exact"/>
              <w:ind w:firstLine="420" w:firstLineChars="200"/>
              <w:rPr>
                <w:rFonts w:hint="eastAsia" w:ascii="仿宋" w:hAnsi="仿宋" w:eastAsia="仿宋"/>
                <w:b/>
                <w:bCs/>
                <w:szCs w:val="21"/>
              </w:rPr>
            </w:pPr>
            <w:r>
              <w:rPr>
                <w:rFonts w:hint="eastAsia" w:ascii="仿宋" w:hAnsi="仿宋" w:eastAsia="仿宋"/>
                <w:bCs/>
                <w:szCs w:val="21"/>
              </w:rPr>
              <w:t>华夏理财根据市场情况或理财产品实际投资运作的情况确定理财产品规模上限（代销机构可控制自身销售额度），若本理财产品余额超过产品规模上限，</w:t>
            </w:r>
            <w:r>
              <w:rPr>
                <w:rFonts w:hint="eastAsia" w:ascii="仿宋" w:hAnsi="仿宋" w:eastAsia="仿宋"/>
                <w:b/>
                <w:bCs/>
                <w:szCs w:val="21"/>
              </w:rPr>
              <w:t>华夏理财有权在成立日/申购确认日采取比例确认等方式对购买申请给予部分确认。</w:t>
            </w:r>
          </w:p>
          <w:p>
            <w:pPr>
              <w:tabs>
                <w:tab w:val="left" w:pos="720"/>
              </w:tabs>
              <w:adjustRightInd w:val="0"/>
              <w:snapToGrid w:val="0"/>
              <w:spacing w:line="300" w:lineRule="exact"/>
              <w:ind w:firstLine="422" w:firstLineChars="200"/>
              <w:rPr>
                <w:rFonts w:hint="eastAsia" w:ascii="仿宋" w:hAnsi="仿宋" w:eastAsia="仿宋"/>
                <w:bCs/>
                <w:szCs w:val="21"/>
              </w:rPr>
            </w:pPr>
            <w:r>
              <w:rPr>
                <w:rFonts w:hint="eastAsia" w:ascii="仿宋" w:hAnsi="仿宋" w:eastAsia="仿宋"/>
                <w:b/>
                <w:szCs w:val="21"/>
              </w:rPr>
              <w:t>华夏理财认为接受大额认购/申购申请可能会影响或损害理财产品投资者权益时，有权拒绝或暂停该认购/申购申请。</w:t>
            </w:r>
          </w:p>
          <w:p>
            <w:pPr>
              <w:tabs>
                <w:tab w:val="left" w:pos="720"/>
              </w:tabs>
              <w:autoSpaceDE w:val="0"/>
              <w:autoSpaceDN w:val="0"/>
              <w:adjustRightInd w:val="0"/>
              <w:snapToGrid w:val="0"/>
              <w:spacing w:line="240" w:lineRule="atLeast"/>
              <w:ind w:right="18" w:firstLine="420" w:firstLineChars="200"/>
              <w:rPr>
                <w:rFonts w:hint="eastAsia" w:ascii="仿宋" w:hAnsi="仿宋" w:eastAsia="仿宋"/>
                <w:bCs/>
                <w:szCs w:val="21"/>
              </w:rPr>
            </w:pPr>
            <w:r>
              <w:rPr>
                <w:rFonts w:ascii="仿宋" w:hAnsi="仿宋" w:eastAsia="仿宋"/>
                <w:bCs/>
                <w:szCs w:val="21"/>
              </w:rPr>
              <w:t>单个开放日</w:t>
            </w:r>
            <w:r>
              <w:rPr>
                <w:rFonts w:hint="eastAsia" w:ascii="仿宋" w:hAnsi="仿宋" w:eastAsia="仿宋"/>
                <w:bCs/>
                <w:szCs w:val="21"/>
              </w:rPr>
              <w:t>日末</w:t>
            </w:r>
            <w:r>
              <w:rPr>
                <w:rFonts w:ascii="仿宋" w:hAnsi="仿宋" w:eastAsia="仿宋"/>
                <w:bCs/>
                <w:szCs w:val="21"/>
              </w:rPr>
              <w:t>，本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r>
              <w:rPr>
                <w:rFonts w:hint="eastAsia" w:ascii="仿宋" w:hAnsi="仿宋" w:eastAsia="仿宋"/>
                <w:b/>
                <w:szCs w:val="21"/>
              </w:rPr>
              <w:t>如发生巨额赎回的，</w:t>
            </w:r>
            <w:r>
              <w:rPr>
                <w:rFonts w:hint="eastAsia" w:ascii="仿宋" w:hAnsi="仿宋" w:eastAsia="仿宋"/>
                <w:b/>
                <w:bCs/>
                <w:szCs w:val="21"/>
              </w:rPr>
              <w:t>华夏理财有权根据理财产品的资产组合状况以比例确认等方式对赎回申请给予部分确认。</w:t>
            </w:r>
            <w:r>
              <w:rPr>
                <w:rFonts w:hint="eastAsia" w:ascii="仿宋" w:hAnsi="仿宋" w:eastAsia="仿宋"/>
                <w:bCs/>
                <w:szCs w:val="21"/>
              </w:rPr>
              <w:t xml:space="preserve"> </w:t>
            </w:r>
          </w:p>
          <w:p>
            <w:pPr>
              <w:spacing w:line="240" w:lineRule="atLeast"/>
              <w:rPr>
                <w:rFonts w:hint="eastAsia" w:ascii="仿宋" w:hAnsi="仿宋" w:eastAsia="仿宋"/>
                <w:bCs/>
                <w:szCs w:val="21"/>
              </w:rPr>
            </w:pPr>
            <w:r>
              <w:rPr>
                <w:rFonts w:hint="eastAsia" w:ascii="仿宋" w:hAnsi="仿宋" w:eastAsia="仿宋"/>
                <w:bCs/>
                <w:szCs w:val="21"/>
              </w:rPr>
              <w:t xml:space="preserve">    若因超过产品规模上限或</w:t>
            </w:r>
            <w:r>
              <w:rPr>
                <w:rFonts w:ascii="仿宋" w:hAnsi="仿宋" w:eastAsia="仿宋"/>
                <w:bCs/>
                <w:szCs w:val="21"/>
              </w:rPr>
              <w:t>发生巨额赎回</w:t>
            </w:r>
            <w:r>
              <w:rPr>
                <w:rFonts w:hint="eastAsia" w:ascii="仿宋" w:hAnsi="仿宋" w:eastAsia="仿宋"/>
                <w:bCs/>
                <w:szCs w:val="21"/>
              </w:rPr>
              <w:t>,华夏理财拒绝、延期办理或部分接受客户的认购/申购/赎回</w:t>
            </w:r>
            <w:r>
              <w:rPr>
                <w:rFonts w:ascii="仿宋" w:hAnsi="仿宋" w:eastAsia="仿宋"/>
                <w:bCs/>
                <w:szCs w:val="21"/>
              </w:rPr>
              <w:t>申请时，</w:t>
            </w:r>
            <w:r>
              <w:rPr>
                <w:rFonts w:hint="eastAsia" w:ascii="仿宋" w:hAnsi="仿宋" w:eastAsia="仿宋"/>
                <w:bCs/>
                <w:szCs w:val="21"/>
              </w:rPr>
              <w:t>华夏理财于2个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keepNext/>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投资者可撤销已提交的认购申请，具体规定如下：</w:t>
            </w:r>
          </w:p>
          <w:p>
            <w:pPr>
              <w:keepNext/>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keepNext/>
              <w:adjustRightInd w:val="0"/>
              <w:snapToGrid w:val="0"/>
              <w:spacing w:line="300" w:lineRule="exact"/>
              <w:ind w:firstLine="420" w:firstLineChars="200"/>
              <w:rPr>
                <w:rFonts w:hint="eastAsia"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）通过其他代销机构认购的，撤销规定以代销机构规定为准。</w:t>
            </w:r>
          </w:p>
          <w:p>
            <w:pPr>
              <w:keepNext/>
              <w:adjustRightInd w:val="0"/>
              <w:snapToGrid w:val="0"/>
              <w:spacing w:line="300" w:lineRule="exact"/>
              <w:ind w:firstLine="420" w:firstLineChars="200"/>
              <w:rPr>
                <w:rFonts w:hint="eastAsia"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keepNext/>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keepNext/>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投资者可于开放日开放时间内撤销当日已提交的申购、赎回申请，具体规定如下：</w:t>
            </w:r>
          </w:p>
          <w:p>
            <w:pPr>
              <w:keepNext/>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keepNext/>
              <w:adjustRightInd w:val="0"/>
              <w:snapToGrid w:val="0"/>
              <w:spacing w:line="300" w:lineRule="exact"/>
              <w:ind w:firstLine="420" w:firstLineChars="200"/>
              <w:rPr>
                <w:rFonts w:hint="eastAsia"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）通过其他代销机构申购的，撤销规定以代销机构规定为准。</w:t>
            </w:r>
          </w:p>
          <w:p>
            <w:pPr>
              <w:keepNext/>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开放日17:00（含）之后</w:t>
            </w:r>
            <w:r>
              <w:rPr>
                <w:rFonts w:hint="eastAsia" w:ascii="仿宋" w:hAnsi="仿宋" w:eastAsia="仿宋"/>
                <w:bCs/>
                <w:szCs w:val="21"/>
              </w:rPr>
              <w:t>不能进行撤销。</w:t>
            </w:r>
          </w:p>
          <w:p>
            <w:pPr>
              <w:keepNext/>
              <w:adjustRightInd w:val="0"/>
              <w:snapToGrid w:val="0"/>
              <w:spacing w:line="240" w:lineRule="atLeast"/>
              <w:ind w:firstLine="420"/>
              <w:rPr>
                <w:rFonts w:ascii="仿宋" w:hAnsi="仿宋" w:eastAsia="仿宋"/>
                <w:bCs/>
                <w:szCs w:val="21"/>
              </w:rPr>
            </w:pPr>
            <w:r>
              <w:rPr>
                <w:rFonts w:hint="eastAsia" w:ascii="仿宋" w:hAnsi="仿宋" w:eastAsia="仿宋"/>
                <w:bCs/>
                <w:szCs w:val="21"/>
              </w:rPr>
              <w:t>3.预约</w:t>
            </w:r>
            <w:r>
              <w:rPr>
                <w:rFonts w:ascii="仿宋" w:hAnsi="仿宋" w:eastAsia="仿宋"/>
                <w:bCs/>
                <w:szCs w:val="21"/>
              </w:rPr>
              <w:t>申购、</w:t>
            </w:r>
            <w:r>
              <w:rPr>
                <w:rFonts w:hint="eastAsia" w:ascii="仿宋" w:hAnsi="仿宋" w:eastAsia="仿宋"/>
                <w:bCs/>
                <w:szCs w:val="21"/>
              </w:rPr>
              <w:t>预约</w:t>
            </w:r>
            <w:r>
              <w:rPr>
                <w:rFonts w:ascii="仿宋" w:hAnsi="仿宋" w:eastAsia="仿宋"/>
                <w:bCs/>
                <w:szCs w:val="21"/>
              </w:rPr>
              <w:t>赎回撤销</w:t>
            </w:r>
          </w:p>
          <w:p>
            <w:pPr>
              <w:keepNext/>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通过华夏银行/华夏理财购买的，封闭期内的最后</w:t>
            </w:r>
            <w:r>
              <w:rPr>
                <w:rFonts w:ascii="仿宋" w:hAnsi="仿宋" w:eastAsia="仿宋"/>
                <w:bCs/>
                <w:szCs w:val="21"/>
              </w:rPr>
              <w:t>一</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rPr>
              <w:t>17:</w:t>
            </w:r>
            <w:r>
              <w:rPr>
                <w:rFonts w:ascii="仿宋" w:hAnsi="仿宋" w:eastAsia="仿宋"/>
              </w:rPr>
              <w:t>3</w:t>
            </w:r>
            <w:r>
              <w:rPr>
                <w:rFonts w:hint="eastAsia" w:ascii="仿宋" w:hAnsi="仿宋" w:eastAsia="仿宋"/>
              </w:rPr>
              <w:t>0（不含）</w:t>
            </w:r>
            <w:r>
              <w:rPr>
                <w:rFonts w:hint="eastAsia" w:ascii="仿宋" w:hAnsi="仿宋" w:eastAsia="仿宋"/>
                <w:bCs/>
                <w:szCs w:val="21"/>
              </w:rPr>
              <w:t>前</w:t>
            </w:r>
            <w:r>
              <w:rPr>
                <w:rFonts w:ascii="仿宋" w:hAnsi="仿宋" w:eastAsia="仿宋"/>
                <w:bCs/>
                <w:szCs w:val="21"/>
              </w:rPr>
              <w:t>，</w:t>
            </w:r>
            <w:r>
              <w:rPr>
                <w:rFonts w:hint="eastAsia" w:ascii="仿宋" w:hAnsi="仿宋" w:eastAsia="仿宋"/>
                <w:bCs/>
                <w:szCs w:val="21"/>
              </w:rPr>
              <w:t>投资</w:t>
            </w:r>
            <w:r>
              <w:rPr>
                <w:rFonts w:ascii="仿宋" w:hAnsi="仿宋" w:eastAsia="仿宋"/>
                <w:bCs/>
                <w:szCs w:val="21"/>
              </w:rPr>
              <w:t>者</w:t>
            </w:r>
            <w:r>
              <w:rPr>
                <w:rFonts w:hint="eastAsia" w:ascii="仿宋" w:hAnsi="仿宋" w:eastAsia="仿宋"/>
                <w:bCs/>
                <w:szCs w:val="21"/>
              </w:rPr>
              <w:t>可</w:t>
            </w:r>
            <w:r>
              <w:rPr>
                <w:rFonts w:ascii="仿宋" w:hAnsi="仿宋" w:eastAsia="仿宋"/>
                <w:bCs/>
                <w:szCs w:val="21"/>
              </w:rPr>
              <w:t>全额撤销已提交的</w:t>
            </w:r>
            <w:r>
              <w:rPr>
                <w:rFonts w:hint="eastAsia" w:ascii="仿宋" w:hAnsi="仿宋" w:eastAsia="仿宋"/>
                <w:bCs/>
                <w:szCs w:val="21"/>
              </w:rPr>
              <w:t>预约</w:t>
            </w:r>
            <w:r>
              <w:rPr>
                <w:rFonts w:ascii="仿宋" w:hAnsi="仿宋" w:eastAsia="仿宋"/>
                <w:bCs/>
                <w:szCs w:val="21"/>
              </w:rPr>
              <w:t>购买</w:t>
            </w:r>
            <w:r>
              <w:rPr>
                <w:rFonts w:hint="eastAsia" w:ascii="仿宋" w:hAnsi="仿宋" w:eastAsia="仿宋"/>
                <w:bCs/>
                <w:szCs w:val="21"/>
              </w:rPr>
              <w:t>、预约赎回申请；通过其他代销机构购买的，预约申购、预约赎回撤销以代销机构的规定为准。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Cs/>
                <w:szCs w:val="21"/>
              </w:rPr>
            </w:pPr>
            <w:r>
              <w:rPr>
                <w:rFonts w:hint="eastAsia" w:ascii="仿宋" w:hAnsi="仿宋" w:eastAsia="仿宋"/>
                <w:bCs/>
                <w:szCs w:val="21"/>
              </w:rPr>
              <w:t>0.</w:t>
            </w:r>
            <w:r>
              <w:rPr>
                <w:rFonts w:ascii="仿宋" w:hAnsi="仿宋" w:eastAsia="仿宋"/>
                <w:bCs/>
                <w:szCs w:val="21"/>
              </w:rPr>
              <w:t>03</w:t>
            </w:r>
            <w:r>
              <w:rPr>
                <w:rFonts w:hint="eastAsia" w:ascii="仿宋" w:hAnsi="仿宋" w:eastAsia="仿宋"/>
                <w:bCs/>
                <w:szCs w:val="21"/>
              </w:rPr>
              <w:t>%/年，以前一日资产净值为基数，每日计提。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Cs/>
                <w:szCs w:val="21"/>
              </w:rPr>
            </w:pPr>
            <w:r>
              <w:rPr>
                <w:rFonts w:hint="eastAsia" w:ascii="仿宋" w:hAnsi="仿宋" w:eastAsia="仿宋"/>
                <w:bCs/>
                <w:szCs w:val="21"/>
              </w:rPr>
              <w:t>A份额：0.30%/年，以前一日资产净值为基数，每日计提。</w:t>
            </w:r>
          </w:p>
          <w:p>
            <w:pPr>
              <w:adjustRightInd w:val="0"/>
              <w:snapToGrid w:val="0"/>
              <w:spacing w:line="240" w:lineRule="atLeast"/>
              <w:ind w:firstLine="420"/>
              <w:jc w:val="left"/>
              <w:rPr>
                <w:rFonts w:ascii="仿宋" w:hAnsi="仿宋" w:eastAsia="仿宋"/>
                <w:bCs/>
                <w:szCs w:val="21"/>
              </w:rPr>
            </w:pPr>
            <w:r>
              <w:rPr>
                <w:rFonts w:hint="eastAsia" w:ascii="仿宋" w:hAnsi="仿宋" w:eastAsia="仿宋"/>
                <w:bCs/>
                <w:szCs w:val="21"/>
              </w:rPr>
              <w:t>B份额：0.20%/年，以前一日资产净值为基数，每日计提。</w:t>
            </w:r>
          </w:p>
          <w:p>
            <w:pPr>
              <w:adjustRightInd w:val="0"/>
              <w:snapToGrid w:val="0"/>
              <w:spacing w:line="240" w:lineRule="atLeast"/>
              <w:ind w:firstLine="420"/>
              <w:jc w:val="left"/>
              <w:rPr>
                <w:rFonts w:hint="eastAsia" w:ascii="仿宋" w:hAnsi="仿宋" w:eastAsia="仿宋"/>
                <w:bCs/>
                <w:szCs w:val="21"/>
              </w:rPr>
            </w:pPr>
            <w:r>
              <w:rPr>
                <w:rFonts w:hint="eastAsia" w:ascii="仿宋" w:hAnsi="仿宋" w:eastAsia="仿宋"/>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0.</w:t>
            </w:r>
            <w:r>
              <w:rPr>
                <w:rFonts w:ascii="仿宋" w:hAnsi="仿宋" w:eastAsia="仿宋"/>
                <w:bCs/>
                <w:szCs w:val="21"/>
              </w:rPr>
              <w:t>20</w:t>
            </w:r>
            <w:r>
              <w:rPr>
                <w:rFonts w:hint="eastAsia" w:ascii="仿宋" w:hAnsi="仿宋" w:eastAsia="仿宋"/>
                <w:bCs/>
                <w:szCs w:val="21"/>
              </w:rPr>
              <w:t>%/年，以前一日资产净值为基数，每日计提。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A份额：扣除各项费用（包括销售手续费、托管费、固定管理费及</w:t>
            </w:r>
            <w:r>
              <w:rPr>
                <w:rFonts w:ascii="仿宋" w:hAnsi="仿宋" w:eastAsia="仿宋"/>
                <w:bCs/>
                <w:szCs w:val="21"/>
              </w:rPr>
              <w:t>其他费用</w:t>
            </w:r>
            <w:r>
              <w:rPr>
                <w:rFonts w:hint="eastAsia" w:ascii="仿宋" w:hAnsi="仿宋" w:eastAsia="仿宋"/>
                <w:bCs/>
                <w:szCs w:val="21"/>
              </w:rPr>
              <w:t>等）后，本期产品实现的年化收益率低于或等于</w:t>
            </w:r>
            <w:r>
              <w:rPr>
                <w:rFonts w:ascii="仿宋" w:hAnsi="仿宋" w:eastAsia="仿宋"/>
                <w:bCs/>
                <w:szCs w:val="21"/>
              </w:rPr>
              <w:t>4.10</w:t>
            </w:r>
            <w:r>
              <w:rPr>
                <w:rFonts w:hint="eastAsia" w:ascii="仿宋" w:hAnsi="仿宋" w:eastAsia="仿宋"/>
                <w:bCs/>
                <w:szCs w:val="21"/>
              </w:rPr>
              <w:t>%，则管理人不收取超额管理费；超过</w:t>
            </w:r>
            <w:r>
              <w:rPr>
                <w:rFonts w:ascii="仿宋" w:hAnsi="仿宋" w:eastAsia="仿宋"/>
                <w:bCs/>
                <w:szCs w:val="21"/>
              </w:rPr>
              <w:t>4.10</w:t>
            </w:r>
            <w:r>
              <w:rPr>
                <w:rFonts w:hint="eastAsia" w:ascii="仿宋" w:hAnsi="仿宋" w:eastAsia="仿宋"/>
                <w:bCs/>
                <w:szCs w:val="21"/>
              </w:rPr>
              <w:t>%的部分，50</w:t>
            </w:r>
            <w:r>
              <w:rPr>
                <w:rFonts w:ascii="仿宋" w:hAnsi="仿宋" w:eastAsia="仿宋"/>
                <w:bCs/>
                <w:szCs w:val="21"/>
              </w:rPr>
              <w:t>%</w:t>
            </w:r>
            <w:r>
              <w:rPr>
                <w:rFonts w:hint="eastAsia" w:ascii="仿宋" w:hAnsi="仿宋" w:eastAsia="仿宋"/>
                <w:bCs/>
                <w:szCs w:val="21"/>
              </w:rPr>
              <w:t>归投资人所有，其余作为管理人的超额管理费。超额管理费将于每一开放期首个开放日收取。</w:t>
            </w:r>
          </w:p>
          <w:p>
            <w:pPr>
              <w:adjustRightInd w:val="0"/>
              <w:snapToGrid w:val="0"/>
              <w:spacing w:line="240" w:lineRule="atLeast"/>
              <w:ind w:firstLine="420"/>
              <w:rPr>
                <w:rFonts w:hint="eastAsia" w:ascii="仿宋" w:hAnsi="仿宋" w:eastAsia="仿宋"/>
                <w:bCs/>
                <w:szCs w:val="21"/>
                <w:u w:val="single"/>
              </w:rPr>
            </w:pPr>
            <w:r>
              <w:rPr>
                <w:rFonts w:hint="eastAsia" w:ascii="仿宋" w:hAnsi="仿宋" w:eastAsia="仿宋"/>
                <w:bCs/>
                <w:szCs w:val="21"/>
              </w:rPr>
              <w:t>B份额：扣除各项费用（包括销售手续费、托管费、固定管理费及</w:t>
            </w:r>
            <w:r>
              <w:rPr>
                <w:rFonts w:ascii="仿宋" w:hAnsi="仿宋" w:eastAsia="仿宋"/>
                <w:bCs/>
                <w:szCs w:val="21"/>
              </w:rPr>
              <w:t>其他费用</w:t>
            </w:r>
            <w:r>
              <w:rPr>
                <w:rFonts w:hint="eastAsia" w:ascii="仿宋" w:hAnsi="仿宋" w:eastAsia="仿宋"/>
                <w:bCs/>
                <w:szCs w:val="21"/>
              </w:rPr>
              <w:t>等）后，本期产品实现的年化收益率低于或等于</w:t>
            </w:r>
            <w:r>
              <w:rPr>
                <w:rFonts w:ascii="仿宋" w:hAnsi="仿宋" w:eastAsia="仿宋"/>
                <w:bCs/>
                <w:szCs w:val="21"/>
              </w:rPr>
              <w:t>4.20</w:t>
            </w:r>
            <w:r>
              <w:rPr>
                <w:rFonts w:hint="eastAsia" w:ascii="仿宋" w:hAnsi="仿宋" w:eastAsia="仿宋"/>
                <w:bCs/>
                <w:szCs w:val="21"/>
              </w:rPr>
              <w:t>%，则管理人不收取超额管理费；超过</w:t>
            </w:r>
            <w:r>
              <w:rPr>
                <w:rFonts w:ascii="仿宋" w:hAnsi="仿宋" w:eastAsia="仿宋"/>
                <w:bCs/>
                <w:szCs w:val="21"/>
              </w:rPr>
              <w:t>4.20</w:t>
            </w:r>
            <w:r>
              <w:rPr>
                <w:rFonts w:hint="eastAsia" w:ascii="仿宋" w:hAnsi="仿宋" w:eastAsia="仿宋"/>
                <w:bCs/>
                <w:szCs w:val="21"/>
              </w:rPr>
              <w:t>%的部分，50</w:t>
            </w:r>
            <w:r>
              <w:rPr>
                <w:rFonts w:ascii="仿宋" w:hAnsi="仿宋" w:eastAsia="仿宋"/>
                <w:bCs/>
                <w:szCs w:val="21"/>
              </w:rPr>
              <w:t>%</w:t>
            </w:r>
            <w:r>
              <w:rPr>
                <w:rFonts w:hint="eastAsia" w:ascii="仿宋" w:hAnsi="仿宋" w:eastAsia="仿宋"/>
                <w:bCs/>
                <w:szCs w:val="21"/>
              </w:rPr>
              <w:t>归投资人所有，其余作为管理人的超额管理费。超额管理费将于每一开放期首个开放日收取。</w:t>
            </w:r>
          </w:p>
          <w:p>
            <w:pPr>
              <w:adjustRightInd w:val="0"/>
              <w:snapToGrid w:val="0"/>
              <w:spacing w:line="240" w:lineRule="atLeast"/>
              <w:ind w:firstLine="420"/>
              <w:rPr>
                <w:rFonts w:hint="eastAsia" w:ascii="仿宋" w:hAnsi="仿宋" w:eastAsia="仿宋"/>
                <w:bCs/>
                <w:szCs w:val="21"/>
                <w:u w:val="single"/>
              </w:rPr>
            </w:pPr>
            <w:r>
              <w:rPr>
                <w:rFonts w:hint="eastAsia" w:ascii="仿宋" w:hAnsi="仿宋" w:eastAsia="仿宋"/>
                <w:b/>
                <w:color w:val="000000"/>
                <w:szCs w:val="21"/>
              </w:rPr>
              <w:t>华夏理财有权根据市场情</w:t>
            </w:r>
            <w:r>
              <w:rPr>
                <w:rFonts w:hint="eastAsia" w:ascii="仿宋" w:hAnsi="仿宋" w:eastAsia="仿宋"/>
                <w:b/>
                <w:szCs w:val="21"/>
              </w:rPr>
              <w:t>况及产品运作情况调整上述规则，并至少于生效前3个工作日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本说明书约定的信息披露渠道</w:t>
            </w:r>
            <w:r>
              <w:rPr>
                <w:rFonts w:hint="eastAsia" w:ascii="仿宋" w:hAnsi="仿宋" w:eastAsia="仿宋"/>
                <w:b/>
                <w:szCs w:val="21"/>
              </w:rPr>
              <w:t>披露相关公告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rPr>
              <w:t>每周五</w:t>
            </w:r>
            <w:r>
              <w:rPr>
                <w:rFonts w:hint="eastAsia" w:ascii="仿宋" w:hAnsi="仿宋" w:eastAsia="仿宋"/>
                <w:bCs/>
                <w:szCs w:val="21"/>
              </w:rPr>
              <w:t>后的第</w:t>
            </w:r>
            <w:r>
              <w:rPr>
                <w:rFonts w:hint="eastAsia" w:ascii="仿宋" w:hAnsi="仿宋" w:eastAsia="仿宋"/>
              </w:rPr>
              <w:t>3个</w:t>
            </w:r>
            <w:r>
              <w:rPr>
                <w:rFonts w:hint="eastAsia" w:ascii="仿宋" w:hAnsi="仿宋" w:eastAsia="仿宋"/>
                <w:bCs/>
                <w:szCs w:val="21"/>
              </w:rPr>
              <w:t>工作日为份额净值公告日，公告</w:t>
            </w:r>
            <w:r>
              <w:rPr>
                <w:rFonts w:hint="eastAsia" w:ascii="仿宋" w:hAnsi="仿宋" w:eastAsia="仿宋"/>
              </w:rPr>
              <w:t>每周五</w:t>
            </w:r>
            <w:r>
              <w:rPr>
                <w:rFonts w:hint="eastAsia" w:ascii="仿宋" w:hAnsi="仿宋" w:eastAsia="仿宋"/>
                <w:bCs/>
                <w:szCs w:val="21"/>
              </w:rPr>
              <w:t>份额净值。如周五为非工作日，</w:t>
            </w:r>
            <w:r>
              <w:rPr>
                <w:rFonts w:ascii="仿宋" w:hAnsi="仿宋" w:eastAsia="仿宋"/>
                <w:bCs/>
                <w:szCs w:val="21"/>
              </w:rPr>
              <w:t>则</w:t>
            </w:r>
            <w:r>
              <w:rPr>
                <w:rFonts w:hint="eastAsia" w:ascii="仿宋" w:hAnsi="仿宋" w:eastAsia="仿宋"/>
                <w:bCs/>
                <w:szCs w:val="21"/>
              </w:rPr>
              <w:t>公告周五上1个工作日的份额净值。如当周没有第3个工作日，</w:t>
            </w:r>
            <w:r>
              <w:rPr>
                <w:rFonts w:ascii="仿宋" w:hAnsi="仿宋" w:eastAsia="仿宋"/>
                <w:bCs/>
                <w:szCs w:val="21"/>
              </w:rPr>
              <w:t>则顺延至下</w:t>
            </w:r>
            <w:r>
              <w:rPr>
                <w:rFonts w:hint="eastAsia" w:ascii="仿宋" w:hAnsi="仿宋" w:eastAsia="仿宋"/>
                <w:bCs/>
                <w:szCs w:val="21"/>
              </w:rPr>
              <w:t>1</w:t>
            </w:r>
            <w:r>
              <w:rPr>
                <w:rFonts w:ascii="仿宋" w:hAnsi="仿宋" w:eastAsia="仿宋"/>
                <w:bCs/>
                <w:szCs w:val="21"/>
              </w:rPr>
              <w:t>个工作日</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产品开放日后第2个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公告产品开放日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hint="eastAsia"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hint="eastAsia" w:ascii="仿宋" w:hAnsi="仿宋" w:eastAsia="仿宋" w:cs="宋体"/>
                <w:kern w:val="0"/>
                <w:szCs w:val="21"/>
              </w:rPr>
            </w:pPr>
            <w:r>
              <w:rPr>
                <w:rFonts w:hint="eastAsia" w:ascii="仿宋" w:hAnsi="仿宋" w:eastAsia="仿宋" w:cs="宋体"/>
                <w:kern w:val="0"/>
                <w:szCs w:val="21"/>
              </w:rPr>
              <w:t>产品成立每满</w:t>
            </w:r>
            <w:r>
              <w:rPr>
                <w:rFonts w:hint="eastAsia" w:ascii="仿宋" w:hAnsi="仿宋" w:eastAsia="仿宋"/>
                <w:bCs/>
                <w:szCs w:val="21"/>
              </w:rPr>
              <w:t>半年</w:t>
            </w:r>
            <w:r>
              <w:rPr>
                <w:rFonts w:hint="eastAsia" w:ascii="仿宋" w:hAnsi="仿宋" w:eastAsia="仿宋" w:cs="宋体"/>
                <w:kern w:val="0"/>
                <w:szCs w:val="21"/>
              </w:rPr>
              <w:t>后，管理人</w:t>
            </w:r>
            <w:r>
              <w:rPr>
                <w:rFonts w:ascii="仿宋" w:hAnsi="仿宋" w:eastAsia="仿宋" w:cs="宋体"/>
                <w:kern w:val="0"/>
                <w:szCs w:val="21"/>
              </w:rPr>
              <w:t>可根据</w:t>
            </w:r>
            <w:r>
              <w:rPr>
                <w:rFonts w:hint="eastAsia" w:ascii="仿宋" w:hAnsi="仿宋" w:eastAsia="仿宋" w:cs="宋体"/>
                <w:kern w:val="0"/>
                <w:szCs w:val="21"/>
              </w:rPr>
              <w:t>投资</w:t>
            </w:r>
            <w:r>
              <w:rPr>
                <w:rFonts w:ascii="仿宋" w:hAnsi="仿宋" w:eastAsia="仿宋" w:cs="宋体"/>
                <w:kern w:val="0"/>
                <w:szCs w:val="21"/>
              </w:rPr>
              <w:t>情况决定是否分</w:t>
            </w:r>
            <w:r>
              <w:rPr>
                <w:rFonts w:hint="eastAsia" w:ascii="仿宋" w:hAnsi="仿宋" w:eastAsia="仿宋" w:cs="宋体"/>
                <w:kern w:val="0"/>
                <w:szCs w:val="21"/>
              </w:rPr>
              <w:t>红。</w:t>
            </w:r>
            <w:r>
              <w:rPr>
                <w:rFonts w:ascii="仿宋" w:hAnsi="仿宋" w:eastAsia="仿宋" w:cs="宋体"/>
                <w:kern w:val="0"/>
                <w:szCs w:val="21"/>
              </w:rPr>
              <w:t>如分红，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工作日通过华夏银行官方网站等渠道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keepNext/>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keepNext/>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本说明书约定的信息披露渠道</w:t>
            </w:r>
            <w:r>
              <w:rPr>
                <w:rFonts w:ascii="仿宋" w:hAnsi="仿宋" w:eastAsia="仿宋"/>
                <w:b/>
                <w:szCs w:val="21"/>
              </w:rPr>
              <w:t>公告</w:t>
            </w:r>
            <w:r>
              <w:rPr>
                <w:rFonts w:hint="eastAsia" w:ascii="仿宋" w:hAnsi="仿宋" w:eastAsia="仿宋"/>
                <w:bCs/>
                <w:szCs w:val="21"/>
              </w:rPr>
              <w:t>。除本说明书第十部分“特别提示”所列情形外，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keepNext/>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keepNext/>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keepNext/>
              <w:autoSpaceDE w:val="0"/>
              <w:autoSpaceDN w:val="0"/>
              <w:adjustRightInd w:val="0"/>
              <w:snapToGrid w:val="0"/>
              <w:spacing w:line="240" w:lineRule="atLeast"/>
              <w:ind w:firstLine="420" w:firstLineChars="200"/>
              <w:jc w:val="left"/>
              <w:rPr>
                <w:rFonts w:hint="eastAsia"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当本理财产品份额低于1000万份时；</w:t>
            </w:r>
          </w:p>
          <w:p>
            <w:pPr>
              <w:keepNext/>
              <w:autoSpaceDE w:val="0"/>
              <w:autoSpaceDN w:val="0"/>
              <w:adjustRightInd w:val="0"/>
              <w:snapToGrid w:val="0"/>
              <w:spacing w:line="240" w:lineRule="atLeast"/>
              <w:ind w:firstLine="420" w:firstLineChars="200"/>
              <w:jc w:val="left"/>
              <w:rPr>
                <w:rFonts w:hint="eastAsia"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keepNext/>
              <w:autoSpaceDE w:val="0"/>
              <w:autoSpaceDN w:val="0"/>
              <w:adjustRightInd w:val="0"/>
              <w:snapToGrid w:val="0"/>
              <w:spacing w:line="240" w:lineRule="atLeast"/>
              <w:ind w:firstLine="420" w:firstLineChars="200"/>
              <w:jc w:val="left"/>
              <w:rPr>
                <w:rFonts w:hint="eastAsia"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keepNext/>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keepNext/>
              <w:autoSpaceDE w:val="0"/>
              <w:autoSpaceDN w:val="0"/>
              <w:adjustRightInd w:val="0"/>
              <w:snapToGrid w:val="0"/>
              <w:spacing w:line="240" w:lineRule="atLeast"/>
              <w:ind w:firstLine="420" w:firstLineChars="200"/>
              <w:jc w:val="left"/>
              <w:rPr>
                <w:rFonts w:hint="eastAsia"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keepNext/>
              <w:autoSpaceDE w:val="0"/>
              <w:autoSpaceDN w:val="0"/>
              <w:adjustRightInd w:val="0"/>
              <w:snapToGrid w:val="0"/>
              <w:spacing w:line="240" w:lineRule="atLeast"/>
              <w:ind w:firstLine="420" w:firstLineChars="200"/>
              <w:jc w:val="left"/>
              <w:rPr>
                <w:rFonts w:hint="eastAsia"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本说明书约定的信息披露渠道</w:t>
            </w:r>
            <w:r>
              <w:rPr>
                <w:rFonts w:ascii="仿宋" w:hAnsi="仿宋" w:eastAsia="仿宋"/>
                <w:bCs/>
                <w:szCs w:val="21"/>
              </w:rPr>
              <w:t>公告</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hint="eastAsia"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根据法律法规规定，本理财产品在资产管理、运营、处置过程中产生收入应缴纳和承担税收和规费的，由本产品管理人直接从理财资产中扣付缴纳。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hint="eastAsia"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hint="eastAsia"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其他代销机构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hint="eastAsia" w:ascii="仿宋" w:hAnsi="仿宋" w:eastAsia="仿宋" w:cs="宋体"/>
                <w:color w:val="000000"/>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22"/>
        <w:snapToGrid w:val="0"/>
        <w:spacing w:after="156" w:afterLines="50" w:line="400" w:lineRule="exact"/>
        <w:ind w:firstLine="482" w:firstLineChars="200"/>
        <w:jc w:val="both"/>
        <w:rPr>
          <w:rFonts w:hint="eastAsia" w:ascii="Times New Roman" w:eastAsia="黑体" w:cs="Times New Roman"/>
          <w:b/>
          <w:color w:val="auto"/>
        </w:rPr>
      </w:pPr>
    </w:p>
    <w:p>
      <w:pPr>
        <w:pStyle w:val="22"/>
        <w:snapToGrid w:val="0"/>
        <w:spacing w:after="156" w:afterLines="50" w:line="400" w:lineRule="exact"/>
        <w:ind w:firstLine="482" w:firstLineChars="200"/>
        <w:jc w:val="both"/>
        <w:rPr>
          <w:rFonts w:hint="eastAsia"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本产品100%投资于固定收益类金融工具，包括货币市场类、债券市场类等，及其他符合监管要求的固定收益类金融工具。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其中货币市场类包括但不限于银行存款、大额存单、同业存单（CD）、短期融资券、超短期融资券、剩余期限在397天以内（含397天）的债券、期限在一年以内（含一年）的债券回购、期限在一年以内（含一年）的中央银行票据、货币市场基金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债券市场类包括但不限于国债、中央银行票据、地方政府债券、政府支持机构债券、金融债券、非金融企业债务融资工具、公司债券、企业债券、国际机构债券、同业存单、信贷资产支持证券、资产支持票据、证券交易所挂牌交易的资产支持证券、债券型公募证券投资基金，以及《标准化债权类资产认定规则》认定的标准化债权类资产等；</w:t>
      </w:r>
    </w:p>
    <w:p>
      <w:pPr>
        <w:widowControl/>
        <w:adjustRightInd w:val="0"/>
        <w:snapToGrid w:val="0"/>
        <w:spacing w:line="276" w:lineRule="auto"/>
        <w:ind w:firstLine="482" w:firstLineChars="200"/>
        <w:contextualSpacing/>
        <w:rPr>
          <w:rFonts w:hint="eastAsia" w:ascii="仿宋" w:hAnsi="仿宋" w:eastAsia="仿宋" w:cs="宋体"/>
          <w:color w:val="000000"/>
          <w:kern w:val="0"/>
          <w:sz w:val="24"/>
        </w:rPr>
      </w:pPr>
      <w:r>
        <w:rPr>
          <w:rFonts w:hint="eastAsia" w:ascii="仿宋" w:hAnsi="仿宋" w:eastAsia="仿宋" w:cs="宋体"/>
          <w:b/>
          <w:bCs/>
          <w:color w:val="000000"/>
          <w:kern w:val="0"/>
          <w:sz w:val="24"/>
        </w:rPr>
        <w:t>本产品如投资不存在活跃交易市场，并且需要采用估值技术确定公允价值的资产，则对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比例将不超过理财产品净资产的50%。非因产品管理人主观因素导致突破前款约定的比例限制的，本产品将</w:t>
      </w:r>
      <w:r>
        <w:rPr>
          <w:rFonts w:ascii="仿宋" w:hAnsi="仿宋" w:eastAsia="仿宋" w:cs="宋体"/>
          <w:b/>
          <w:bCs/>
          <w:color w:val="000000"/>
          <w:kern w:val="0"/>
          <w:sz w:val="24"/>
        </w:rPr>
        <w:t>在上述因素影响消除前</w:t>
      </w:r>
      <w:r>
        <w:rPr>
          <w:rFonts w:hint="eastAsia" w:ascii="仿宋" w:hAnsi="仿宋" w:eastAsia="仿宋" w:cs="宋体"/>
          <w:b/>
          <w:bCs/>
          <w:color w:val="000000"/>
          <w:kern w:val="0"/>
          <w:sz w:val="24"/>
        </w:rPr>
        <w:t>不再新增投资上述资产。</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0" w:type="auto"/>
        <w:tblCellSpacing w:w="0" w:type="dxa"/>
        <w:tblInd w:w="0"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2884"/>
        <w:gridCol w:w="5179"/>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5179"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rPr>
              <w:t>货币市场类</w:t>
            </w:r>
          </w:p>
        </w:tc>
        <w:tc>
          <w:tcPr>
            <w:tcW w:w="5179"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11" w:hRule="atLeast"/>
          <w:tblCellSpacing w:w="0" w:type="dxa"/>
        </w:trPr>
        <w:tc>
          <w:tcPr>
            <w:tcW w:w="2884"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color w:val="000000"/>
                <w:kern w:val="0"/>
                <w:sz w:val="24"/>
              </w:rPr>
            </w:pPr>
            <w:r>
              <w:rPr>
                <w:rFonts w:hint="eastAsia" w:ascii="仿宋" w:hAnsi="仿宋" w:eastAsia="仿宋" w:cs="宋体"/>
                <w:color w:val="000000"/>
                <w:kern w:val="0"/>
                <w:sz w:val="24"/>
              </w:rPr>
              <w:t>债券市场类</w:t>
            </w:r>
          </w:p>
        </w:tc>
        <w:tc>
          <w:tcPr>
            <w:tcW w:w="5179"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82" w:firstLineChars="200"/>
        <w:contextualSpacing/>
        <w:rPr>
          <w:rFonts w:hint="eastAsia" w:ascii="仿宋" w:hAnsi="仿宋" w:eastAsia="仿宋" w:cs="宋体"/>
          <w:b/>
          <w:bCs/>
          <w:color w:val="000000"/>
          <w:kern w:val="0"/>
          <w:sz w:val="24"/>
        </w:rPr>
      </w:pPr>
      <w:r>
        <w:rPr>
          <w:rFonts w:hint="eastAsia" w:ascii="仿宋" w:hAnsi="仿宋" w:eastAsia="仿宋" w:cs="宋体"/>
          <w:b/>
          <w:bCs/>
          <w:color w:val="000000"/>
          <w:kern w:val="0"/>
          <w:sz w:val="24"/>
        </w:rPr>
        <w:t>管理人应当自理财产品成立日起</w:t>
      </w:r>
      <w:r>
        <w:rPr>
          <w:rFonts w:ascii="仿宋" w:hAnsi="仿宋" w:eastAsia="仿宋" w:cs="宋体"/>
          <w:b/>
          <w:bCs/>
          <w:color w:val="000000"/>
          <w:kern w:val="0"/>
          <w:sz w:val="24"/>
        </w:rPr>
        <w:t>1</w:t>
      </w:r>
      <w:r>
        <w:rPr>
          <w:rFonts w:hint="eastAsia" w:ascii="仿宋" w:hAnsi="仿宋" w:eastAsia="仿宋" w:cs="宋体"/>
          <w:b/>
          <w:bCs/>
          <w:color w:val="000000"/>
          <w:kern w:val="0"/>
          <w:sz w:val="24"/>
        </w:rPr>
        <w:t>个月内使理财产品的投资比例符合上述约定。</w:t>
      </w:r>
    </w:p>
    <w:p>
      <w:pPr>
        <w:widowControl/>
        <w:adjustRightInd w:val="0"/>
        <w:snapToGrid w:val="0"/>
        <w:spacing w:line="276" w:lineRule="auto"/>
        <w:ind w:firstLine="482" w:firstLineChars="200"/>
        <w:contextualSpacing/>
        <w:rPr>
          <w:rFonts w:hint="eastAsia" w:ascii="仿宋" w:hAnsi="仿宋" w:eastAsia="仿宋" w:cs="宋体"/>
          <w:color w:val="000000"/>
          <w:kern w:val="0"/>
          <w:sz w:val="24"/>
        </w:rPr>
      </w:pPr>
      <w:r>
        <w:rPr>
          <w:rFonts w:hint="eastAsia" w:ascii="仿宋" w:hAnsi="仿宋" w:eastAsia="仿宋" w:cs="宋体"/>
          <w:b/>
          <w:bCs/>
          <w:color w:val="000000"/>
          <w:kern w:val="0"/>
          <w:sz w:val="24"/>
        </w:rPr>
        <w:t>如资产类别及投资比例发生调整，产品管理人将于调整事项生效前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个工作日通过本说明书约定的信息披露渠道予以公布</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r>
        <w:rPr>
          <w:rFonts w:hint="eastAsia" w:ascii="仿宋" w:hAnsi="仿宋" w:eastAsia="仿宋" w:cs="宋体"/>
          <w:color w:val="000000"/>
          <w:kern w:val="0"/>
          <w:sz w:val="24"/>
        </w:rPr>
        <w:t>非因产品管理人主观因素导致本理财产品突破上述投资比例限制的，本理财产品管理人应当在所投资的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p>
    <w:p>
      <w:pPr>
        <w:pStyle w:val="22"/>
        <w:snapToGrid w:val="0"/>
        <w:spacing w:after="156" w:afterLines="50" w:line="400" w:lineRule="exact"/>
        <w:ind w:firstLine="482" w:firstLineChars="200"/>
        <w:jc w:val="both"/>
        <w:rPr>
          <w:rFonts w:hint="eastAsia"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本产品管理人为华夏理财有限责任公司。</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（一）基本信息</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（二）主要职责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3.按照托管协议约定和理财产品</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4.建立与理财产品管理人的对账机制，复核、审查理财产品资金头寸、资产账目、资产净值、认购和赎回价格等数据，及时核查认购、赎回以及投资资金的支付和到账情况；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5.监督理财产品投资运作，发现理财产品违反法律、行政法规、规章规定或合同约定投资的，应当拒绝执行，及时通知理财产品管理人并报告银行业监督管理机构；</w:t>
      </w:r>
    </w:p>
    <w:p>
      <w:pPr>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hint="eastAsia" w:eastAsia="黑体"/>
          <w:b/>
        </w:rPr>
      </w:pPr>
      <w:r>
        <w:rPr>
          <w:rFonts w:hint="eastAsia" w:ascii="仿宋" w:hAnsi="仿宋" w:eastAsia="仿宋" w:cs="宋体"/>
          <w:color w:val="000000"/>
          <w:kern w:val="0"/>
          <w:sz w:val="24"/>
        </w:rPr>
        <w:t>9.银行业监督管理机构规定的其他职责。</w:t>
      </w:r>
    </w:p>
    <w:p>
      <w:pPr>
        <w:pStyle w:val="22"/>
        <w:snapToGrid w:val="0"/>
        <w:spacing w:after="156" w:afterLines="50" w:line="400" w:lineRule="exact"/>
        <w:ind w:firstLine="482" w:firstLineChars="200"/>
        <w:jc w:val="both"/>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hint="eastAsia"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22"/>
        <w:snapToGrid w:val="0"/>
        <w:spacing w:after="156" w:afterLines="50" w:line="400" w:lineRule="exact"/>
        <w:ind w:firstLine="482" w:firstLineChars="200"/>
        <w:jc w:val="both"/>
        <w:rPr>
          <w:rFonts w:hint="eastAsia"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sz w:val="24"/>
        </w:rPr>
        <w:t>柜台、手机银行、网上银行、微信银行</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；通过其他代销机构购买的，购买渠道以代销机构规定为准</w:t>
      </w:r>
      <w:r>
        <w:rPr>
          <w:rFonts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.如发生华夏理财</w:t>
      </w:r>
      <w:r>
        <w:rPr>
          <w:rFonts w:ascii="仿宋" w:hAnsi="仿宋" w:eastAsia="仿宋" w:cs="宋体"/>
          <w:color w:val="000000"/>
          <w:kern w:val="0"/>
          <w:sz w:val="24"/>
        </w:rPr>
        <w:t>认为</w:t>
      </w:r>
      <w:r>
        <w:rPr>
          <w:rFonts w:hint="eastAsia" w:ascii="仿宋" w:hAnsi="仿宋" w:eastAsia="仿宋" w:cs="宋体"/>
          <w:color w:val="000000"/>
          <w:kern w:val="0"/>
          <w:sz w:val="24"/>
        </w:rPr>
        <w:t>继续认购</w:t>
      </w:r>
      <w:r>
        <w:rPr>
          <w:rFonts w:ascii="仿宋" w:hAnsi="仿宋" w:eastAsia="仿宋" w:cs="宋体"/>
          <w:color w:val="000000"/>
          <w:kern w:val="0"/>
          <w:sz w:val="24"/>
        </w:rPr>
        <w:t>、申购</w:t>
      </w:r>
      <w:r>
        <w:rPr>
          <w:rFonts w:hint="eastAsia" w:ascii="仿宋" w:hAnsi="仿宋" w:eastAsia="仿宋" w:cs="宋体"/>
          <w:color w:val="000000"/>
          <w:kern w:val="0"/>
          <w:sz w:val="24"/>
        </w:rPr>
        <w:t>、</w:t>
      </w:r>
      <w:r>
        <w:rPr>
          <w:rFonts w:ascii="仿宋" w:hAnsi="仿宋" w:eastAsia="仿宋" w:cs="宋体"/>
          <w:color w:val="000000"/>
          <w:kern w:val="0"/>
          <w:sz w:val="24"/>
        </w:rPr>
        <w:t>赎回</w:t>
      </w:r>
      <w:r>
        <w:rPr>
          <w:rFonts w:hint="eastAsia" w:ascii="仿宋" w:hAnsi="仿宋" w:eastAsia="仿宋" w:cs="宋体"/>
          <w:color w:val="000000"/>
          <w:kern w:val="0"/>
          <w:sz w:val="24"/>
        </w:rPr>
        <w:t>可能</w:t>
      </w:r>
      <w:r>
        <w:rPr>
          <w:rFonts w:ascii="仿宋" w:hAnsi="仿宋" w:eastAsia="仿宋" w:cs="宋体"/>
          <w:color w:val="000000"/>
          <w:kern w:val="0"/>
          <w:sz w:val="24"/>
        </w:rPr>
        <w:t>影响到投资者利益</w:t>
      </w:r>
      <w:r>
        <w:rPr>
          <w:rFonts w:hint="eastAsia" w:ascii="仿宋" w:hAnsi="仿宋" w:eastAsia="仿宋" w:cs="宋体"/>
          <w:color w:val="000000"/>
          <w:kern w:val="0"/>
          <w:sz w:val="24"/>
        </w:rPr>
        <w:t>的事件</w:t>
      </w:r>
      <w:r>
        <w:rPr>
          <w:rFonts w:ascii="仿宋" w:hAnsi="仿宋" w:eastAsia="仿宋" w:cs="宋体"/>
          <w:color w:val="000000"/>
          <w:kern w:val="0"/>
          <w:sz w:val="24"/>
        </w:rPr>
        <w:t>时，</w:t>
      </w:r>
      <w:r>
        <w:rPr>
          <w:rFonts w:hint="eastAsia" w:ascii="仿宋" w:hAnsi="仿宋" w:eastAsia="仿宋" w:cs="宋体"/>
          <w:color w:val="000000"/>
          <w:kern w:val="0"/>
          <w:sz w:val="24"/>
        </w:rPr>
        <w:t>华夏理财有权</w:t>
      </w:r>
      <w:r>
        <w:rPr>
          <w:rFonts w:ascii="仿宋" w:hAnsi="仿宋" w:eastAsia="仿宋" w:cs="宋体"/>
          <w:color w:val="000000"/>
          <w:kern w:val="0"/>
          <w:sz w:val="24"/>
        </w:rPr>
        <w:t>暂停</w:t>
      </w:r>
      <w:r>
        <w:rPr>
          <w:rFonts w:hint="eastAsia" w:ascii="仿宋" w:hAnsi="仿宋" w:eastAsia="仿宋" w:cs="宋体"/>
          <w:color w:val="000000"/>
          <w:kern w:val="0"/>
          <w:sz w:val="24"/>
        </w:rPr>
        <w:t>认购</w:t>
      </w:r>
      <w:r>
        <w:rPr>
          <w:rFonts w:ascii="仿宋" w:hAnsi="仿宋" w:eastAsia="仿宋" w:cs="宋体"/>
          <w:color w:val="000000"/>
          <w:kern w:val="0"/>
          <w:sz w:val="24"/>
        </w:rPr>
        <w:t>、申购</w:t>
      </w:r>
      <w:r>
        <w:rPr>
          <w:rFonts w:hint="eastAsia" w:ascii="仿宋" w:hAnsi="仿宋" w:eastAsia="仿宋" w:cs="宋体"/>
          <w:color w:val="000000"/>
          <w:kern w:val="0"/>
          <w:sz w:val="24"/>
        </w:rPr>
        <w:t>、</w:t>
      </w:r>
      <w:r>
        <w:rPr>
          <w:rFonts w:ascii="仿宋" w:hAnsi="仿宋" w:eastAsia="仿宋" w:cs="宋体"/>
          <w:color w:val="000000"/>
          <w:kern w:val="0"/>
          <w:sz w:val="24"/>
        </w:rPr>
        <w:t>赎回并于</w:t>
      </w:r>
      <w:r>
        <w:rPr>
          <w:rFonts w:hint="eastAsia" w:ascii="仿宋" w:hAnsi="仿宋" w:eastAsia="仿宋" w:cs="宋体"/>
          <w:color w:val="000000"/>
          <w:kern w:val="0"/>
          <w:sz w:val="24"/>
        </w:rPr>
        <w:t>2个</w:t>
      </w:r>
      <w:r>
        <w:rPr>
          <w:rFonts w:ascii="仿宋" w:hAnsi="仿宋" w:eastAsia="仿宋" w:cs="宋体"/>
          <w:color w:val="000000"/>
          <w:kern w:val="0"/>
          <w:sz w:val="24"/>
        </w:rPr>
        <w:t>工作日</w:t>
      </w:r>
      <w:r>
        <w:rPr>
          <w:rFonts w:hint="eastAsia" w:ascii="仿宋" w:hAnsi="仿宋" w:eastAsia="仿宋" w:cs="宋体"/>
          <w:color w:val="000000"/>
          <w:kern w:val="0"/>
          <w:sz w:val="24"/>
        </w:rPr>
        <w:t>内</w:t>
      </w:r>
      <w:r>
        <w:rPr>
          <w:rFonts w:ascii="仿宋" w:hAnsi="仿宋" w:eastAsia="仿宋" w:cs="宋体"/>
          <w:color w:val="000000"/>
          <w:kern w:val="0"/>
          <w:sz w:val="24"/>
        </w:rPr>
        <w:t>公告相应</w:t>
      </w:r>
      <w:r>
        <w:rPr>
          <w:rFonts w:hint="eastAsia" w:ascii="仿宋" w:hAnsi="仿宋" w:eastAsia="仿宋" w:cs="宋体"/>
          <w:color w:val="000000"/>
          <w:kern w:val="0"/>
          <w:sz w:val="24"/>
        </w:rPr>
        <w:t>信息</w:t>
      </w:r>
      <w:r>
        <w:rPr>
          <w:rFonts w:ascii="仿宋" w:hAnsi="仿宋" w:eastAsia="仿宋" w:cs="宋体"/>
          <w:color w:val="000000"/>
          <w:kern w:val="0"/>
          <w:sz w:val="24"/>
        </w:rPr>
        <w:t>。</w:t>
      </w:r>
    </w:p>
    <w:p>
      <w:pPr>
        <w:widowControl/>
        <w:adjustRightInd w:val="0"/>
        <w:snapToGrid w:val="0"/>
        <w:spacing w:line="276" w:lineRule="auto"/>
        <w:ind w:firstLine="480" w:firstLineChars="200"/>
        <w:contextualSpacing/>
        <w:rPr>
          <w:rFonts w:hint="eastAsia" w:eastAsia="黑体"/>
          <w:b/>
        </w:rPr>
      </w:pPr>
      <w:r>
        <w:rPr>
          <w:rFonts w:ascii="仿宋" w:hAnsi="仿宋" w:eastAsia="仿宋" w:cs="宋体"/>
          <w:color w:val="000000"/>
          <w:kern w:val="0"/>
          <w:sz w:val="24"/>
        </w:rPr>
        <w:t>3</w:t>
      </w:r>
      <w:r>
        <w:rPr>
          <w:rFonts w:hint="eastAsia" w:ascii="仿宋" w:hAnsi="仿宋" w:eastAsia="仿宋" w:cs="宋体"/>
          <w:color w:val="000000"/>
          <w:kern w:val="0"/>
          <w:sz w:val="24"/>
        </w:rPr>
        <w:t>.</w:t>
      </w:r>
      <w:r>
        <w:rPr>
          <w:rFonts w:ascii="仿宋" w:hAnsi="仿宋" w:eastAsia="仿宋" w:cs="宋体"/>
          <w:color w:val="000000"/>
          <w:kern w:val="0"/>
          <w:sz w:val="24"/>
        </w:rPr>
        <w:t>不可抗力原因导致本理财产品无法正常运作时，</w:t>
      </w:r>
      <w:r>
        <w:rPr>
          <w:rFonts w:hint="eastAsia" w:ascii="仿宋" w:hAnsi="仿宋" w:eastAsia="仿宋" w:cs="宋体"/>
          <w:color w:val="000000"/>
          <w:kern w:val="0"/>
          <w:sz w:val="24"/>
        </w:rPr>
        <w:t>华夏理财有权</w:t>
      </w:r>
      <w:r>
        <w:rPr>
          <w:rFonts w:ascii="仿宋" w:hAnsi="仿宋" w:eastAsia="仿宋" w:cs="宋体"/>
          <w:color w:val="000000"/>
          <w:kern w:val="0"/>
          <w:sz w:val="24"/>
        </w:rPr>
        <w:t>暂停</w:t>
      </w:r>
      <w:r>
        <w:rPr>
          <w:rFonts w:hint="eastAsia" w:ascii="仿宋" w:hAnsi="仿宋" w:eastAsia="仿宋" w:cs="宋体"/>
          <w:color w:val="000000"/>
          <w:kern w:val="0"/>
          <w:sz w:val="24"/>
        </w:rPr>
        <w:t>认购</w:t>
      </w:r>
      <w:r>
        <w:rPr>
          <w:rFonts w:ascii="仿宋" w:hAnsi="仿宋" w:eastAsia="仿宋" w:cs="宋体"/>
          <w:color w:val="000000"/>
          <w:kern w:val="0"/>
          <w:sz w:val="24"/>
        </w:rPr>
        <w:t>、申购</w:t>
      </w:r>
      <w:r>
        <w:rPr>
          <w:rFonts w:hint="eastAsia" w:ascii="仿宋" w:hAnsi="仿宋" w:eastAsia="仿宋" w:cs="宋体"/>
          <w:color w:val="000000"/>
          <w:kern w:val="0"/>
          <w:sz w:val="24"/>
        </w:rPr>
        <w:t>、</w:t>
      </w:r>
      <w:r>
        <w:rPr>
          <w:rFonts w:ascii="仿宋" w:hAnsi="仿宋" w:eastAsia="仿宋" w:cs="宋体"/>
          <w:color w:val="000000"/>
          <w:kern w:val="0"/>
          <w:sz w:val="24"/>
        </w:rPr>
        <w:t>赎回。</w:t>
      </w:r>
    </w:p>
    <w:p>
      <w:pPr>
        <w:pStyle w:val="22"/>
        <w:snapToGrid w:val="0"/>
        <w:spacing w:after="156" w:afterLines="50" w:line="400" w:lineRule="exact"/>
        <w:ind w:firstLine="482" w:firstLineChars="200"/>
        <w:jc w:val="both"/>
        <w:rPr>
          <w:rFonts w:hint="eastAsia"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根据前述超额管理费条款，管理人收取超额管理费，且扣除超额管理费后的产品开放日份额净值为1.1800，则客户获得的赎回金额为：100,000*1.1800=118,000.00元。</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若根据前述超额管理费条款，管理人不收取超额管理费，且产品开放日份额净值为1.0700，则客户获得的赎回金额为：100,000*1.0700=107,000.00元。</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若根据前述超额管理费条款，管理人不收取超额管理费，且产品开放日份额净值为0.9980，则客户获得赎回金额为：100,000*0.9980=99,800.00元。</w:t>
      </w:r>
    </w:p>
    <w:p>
      <w:pPr>
        <w:widowControl/>
        <w:adjustRightInd w:val="0"/>
        <w:snapToGrid w:val="0"/>
        <w:spacing w:line="276" w:lineRule="auto"/>
        <w:ind w:firstLine="480" w:firstLineChars="200"/>
        <w:contextualSpacing/>
        <w:rPr>
          <w:rFonts w:hint="eastAsia"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例2：客户在本理财产品的开放日申请购买了100,000元的本理财产品，如购买当日产品的份额净值为1.0110，则该笔购买申请确认后，该笔购买申请对应的理财产品份额为：100,000/1.0110=98,911.96份。</w:t>
      </w:r>
    </w:p>
    <w:p>
      <w:pPr>
        <w:autoSpaceDE w:val="0"/>
        <w:autoSpaceDN w:val="0"/>
        <w:adjustRightInd w:val="0"/>
        <w:snapToGrid w:val="0"/>
        <w:spacing w:line="276" w:lineRule="auto"/>
        <w:ind w:firstLine="482" w:firstLineChars="200"/>
        <w:contextualSpacing/>
        <w:rPr>
          <w:rFonts w:hint="eastAsia"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hint="eastAsia" w:eastAsia="黑体"/>
          <w:b/>
          <w:sz w:val="24"/>
        </w:rPr>
      </w:pPr>
      <w:r>
        <w:rPr>
          <w:rFonts w:hint="eastAsia" w:eastAsia="黑体"/>
          <w:b/>
          <w:sz w:val="24"/>
        </w:rPr>
        <w:t>华夏理财郑重提示：本理财产品是非保本浮动收益净值型理财产品，不保证理财本金和收益。投资者的本金和收益可能会因市场变动而蒙受损失。投资者应充分认识投资风险，谨慎投资。</w:t>
      </w:r>
    </w:p>
    <w:p>
      <w:pPr>
        <w:autoSpaceDE w:val="0"/>
        <w:autoSpaceDN w:val="0"/>
        <w:adjustRightInd w:val="0"/>
        <w:snapToGrid w:val="0"/>
        <w:spacing w:line="276" w:lineRule="auto"/>
        <w:ind w:firstLine="482" w:firstLineChars="200"/>
        <w:contextualSpacing/>
        <w:rPr>
          <w:rFonts w:hint="eastAsia"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hint="eastAsia" w:ascii="Times New Roman" w:eastAsia="黑体" w:cs="Times New Roman"/>
          <w:b/>
          <w:color w:val="auto"/>
        </w:rPr>
      </w:pPr>
      <w:r>
        <w:rPr>
          <w:rFonts w:hint="eastAsia" w:eastAsia="黑体"/>
          <w:b/>
          <w:color w:val="000000"/>
          <w:sz w:val="24"/>
        </w:rPr>
        <w:t>本产品说明书中的任何业绩基准、收益示例或类似表述均不具有法律约束力，不代表投资者可能获得的实际收益，亦不构成华夏理财/代销机构对本理财产品的任何收益承诺。</w:t>
      </w:r>
    </w:p>
    <w:p>
      <w:pPr>
        <w:pStyle w:val="22"/>
        <w:snapToGrid w:val="0"/>
        <w:spacing w:after="156" w:afterLines="50" w:line="400" w:lineRule="exact"/>
        <w:ind w:firstLine="482" w:firstLineChars="200"/>
        <w:jc w:val="both"/>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rPr>
        <w:t>（一）估值对象</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cs="仿宋"/>
        </w:rPr>
        <w:t>本理财产品所投资的银行存款、货币市场</w:t>
      </w:r>
      <w:r>
        <w:rPr>
          <w:rFonts w:hint="eastAsia" w:ascii="仿宋" w:hAnsi="仿宋" w:eastAsia="仿宋"/>
        </w:rPr>
        <w:t>类资产</w:t>
      </w:r>
      <w:r>
        <w:rPr>
          <w:rFonts w:hint="eastAsia" w:ascii="仿宋" w:hAnsi="仿宋" w:eastAsia="仿宋" w:cs="仿宋"/>
        </w:rPr>
        <w:t>、</w:t>
      </w:r>
      <w:r>
        <w:rPr>
          <w:rFonts w:hint="eastAsia" w:ascii="仿宋" w:hAnsi="仿宋" w:eastAsia="仿宋"/>
        </w:rPr>
        <w:t>债券市场类资产</w:t>
      </w:r>
      <w:r>
        <w:rPr>
          <w:rFonts w:hint="eastAsia" w:ascii="仿宋" w:hAnsi="仿宋" w:eastAsia="仿宋" w:cs="仿宋"/>
        </w:rPr>
        <w:t>等债权类资产以及资产管理产品等资产。</w:t>
      </w:r>
    </w:p>
    <w:p>
      <w:pPr>
        <w:pStyle w:val="22"/>
        <w:snapToGrid w:val="0"/>
        <w:spacing w:line="276" w:lineRule="auto"/>
        <w:ind w:firstLine="480" w:firstLineChars="200"/>
        <w:contextualSpacing/>
        <w:rPr>
          <w:rFonts w:ascii="仿宋" w:hAnsi="仿宋" w:eastAsia="仿宋"/>
        </w:rPr>
      </w:pPr>
      <w:r>
        <w:rPr>
          <w:rFonts w:hint="eastAsia" w:ascii="仿宋" w:hAnsi="仿宋" w:eastAsia="仿宋"/>
        </w:rPr>
        <w:t>（二）估值方法</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rPr>
        <w:t>1. 证券交易所上市的有价证券</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rPr>
        <w:t>在交易所市场上市的含有转股权的债券（如可转换债券、可交换债券等）等，选取每日收盘价减去所含的应收利息得到的净价进行估值。</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rPr>
        <w:t>2. 处于未上市期间的有价证券应区分如下情况处理：</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rPr>
        <w:t>（1）送股、转增股、配股和公开增发的新股，按估值日在证券交易所挂牌的同一股票的市价（收盘价）估值；该日无交易的，以最近一日的市价（收盘价）估值；</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rPr>
        <w:t>（3）优先股采用估值技术确认公允价值，在估值技术难以可靠计量公允价值的情况下，采用管理人和托管人共同认可的第三方机构提供的估值，或双方共同认可的估值；</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rPr>
        <w:t>4. 同一债券同时在两个或两个以上市场交易的，按债券所处的市场分别估值。</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rPr>
        <w:t>5. 证券投资基金的估值</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rPr>
        <w:t>（1）场外申赎的开放式基金（包括上市开放式基金LOF）以估值日前一交易日基金净值估值，估值日前一交易日开放式基金份额净值未公布的，以此前最近一个交易日基金份额净值计算；</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rPr>
        <w:t>（2）上市流通的证券投资基金（包括场内买入的ETF、封闭式基金、上市定期开放式基金）按估值日其所在证券交易所的收盘价估值；估值日无交易的，以最近一个交易日的收盘价估值；</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rPr>
        <w:t>（3）货币基金按前一估值日后至估值日期间（含节假日）发布的万份收益计提估值日收益。</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rPr>
        <w:t>8. 期货以估值日期货交易所的当日结算价估值，估值当日无结算价的，且最近交易日后经济环境未发生重大变化的，采用最近交易日结算价估值。</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rPr>
        <w:t>9. 汇率估值方法</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rPr>
        <w:t>10. 场内期权以估值日交易所的结算价估值，该日无交易的，以最近一日的结算价为准。</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rPr>
        <w:t>11. 非标准化债权类资产采用估值技术确认公允价值，在估值技术难以可靠计量公允价值的情况下，按照管理人和托管人共同认可的估值。</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rPr>
        <w:t>13. 本系列产品所投资的资产管理产品以估值日公布的产品单位净值进行估值，估值日产品单位净值未公布的，以最近一个工作日产品单位净值计算。</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rPr>
        <w:t>14. 相关法律法规以及监管部门有强制规定的，从其规定。如有新增事项或变更事项，依法按最新规定计算。没有相关规定的，由产品管理人与托管人协商确定计算方法。</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22"/>
        <w:snapToGrid w:val="0"/>
        <w:spacing w:after="156" w:afterLines="50" w:line="400" w:lineRule="exact"/>
        <w:ind w:firstLine="482" w:firstLineChars="200"/>
        <w:jc w:val="both"/>
        <w:rPr>
          <w:rFonts w:ascii="仿宋" w:hAnsi="仿宋" w:eastAsia="仿宋"/>
          <w:b/>
          <w:bCs/>
        </w:rPr>
      </w:pPr>
      <w:r>
        <w:rPr>
          <w:rFonts w:hint="eastAsia" w:ascii="仿宋" w:hAnsi="仿宋" w:eastAsia="仿宋"/>
          <w:b/>
          <w:bCs/>
        </w:rPr>
        <w:t>以上“理财产品估值”章节所列的投资品种不代表本产品的实际投资范围，本产品实际可投资范围以产品说明书“投资对象”章节列示为准。</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rPr>
        <w:t>（三）暂停估值</w:t>
      </w:r>
    </w:p>
    <w:p>
      <w:pPr>
        <w:pStyle w:val="22"/>
        <w:snapToGrid w:val="0"/>
        <w:spacing w:line="276" w:lineRule="auto"/>
        <w:ind w:firstLine="482" w:firstLineChars="200"/>
        <w:contextualSpacing/>
        <w:rPr>
          <w:rFonts w:hint="eastAsia" w:ascii="仿宋" w:hAnsi="仿宋" w:eastAsia="仿宋"/>
          <w:b/>
        </w:rPr>
      </w:pPr>
      <w:r>
        <w:rPr>
          <w:rFonts w:hint="eastAsia" w:ascii="仿宋" w:hAnsi="仿宋" w:eastAsia="仿宋"/>
          <w:b/>
        </w:rPr>
        <w:t>在发生下列情形之一的，产品管理人可以暂停本产品估值，并采取延缓支付赎回款项或暂停接受理财产品认购、赎回申请等措施：</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rPr>
        <w:t>1．理财产品投资所涉及的市场遇法定节假日或因其他原因暂停营业时。</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rPr>
        <w:t>2．因不可抗力或其他情形致使产品管理人、产品托管人无法准确评估资产价值时。</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产品管理人为保障投资者的利益，经与产品托管人协商一致，理财产品应当暂停估值。</w:t>
      </w:r>
    </w:p>
    <w:p>
      <w:pPr>
        <w:pStyle w:val="22"/>
        <w:snapToGrid w:val="0"/>
        <w:spacing w:line="276" w:lineRule="auto"/>
        <w:ind w:firstLine="480" w:firstLineChars="200"/>
        <w:contextualSpacing/>
        <w:rPr>
          <w:rFonts w:hint="eastAsia" w:ascii="仿宋" w:hAnsi="仿宋" w:eastAsia="仿宋"/>
        </w:rPr>
      </w:pPr>
      <w:r>
        <w:rPr>
          <w:rFonts w:hint="eastAsia" w:ascii="仿宋" w:hAnsi="仿宋" w:eastAsia="仿宋"/>
        </w:rPr>
        <w:t>4．监管部门和产品管理人认定的其它情形。</w:t>
      </w:r>
    </w:p>
    <w:p>
      <w:pPr>
        <w:pStyle w:val="22"/>
        <w:snapToGrid w:val="0"/>
        <w:spacing w:after="156" w:afterLines="50" w:line="400" w:lineRule="exact"/>
        <w:ind w:firstLine="482" w:firstLineChars="200"/>
        <w:jc w:val="both"/>
        <w:rPr>
          <w:rFonts w:hint="eastAsia"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22"/>
        <w:snapToGrid w:val="0"/>
        <w:spacing w:line="276" w:lineRule="auto"/>
        <w:ind w:firstLine="480" w:firstLineChars="200"/>
        <w:contextualSpacing/>
        <w:jc w:val="both"/>
        <w:rPr>
          <w:rFonts w:hint="eastAsia"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投资组合运作情况以及产品管理人投资能力等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22"/>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22"/>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产品管理人</w:t>
      </w:r>
      <w:r>
        <w:rPr>
          <w:rFonts w:eastAsia="黑体"/>
          <w:b/>
        </w:rPr>
        <w:t>不受理</w:t>
      </w:r>
      <w:r>
        <w:rPr>
          <w:rFonts w:hint="eastAsia" w:eastAsia="黑体"/>
          <w:b/>
        </w:rPr>
        <w:t>投资者</w:t>
      </w:r>
      <w:r>
        <w:rPr>
          <w:rFonts w:eastAsia="黑体"/>
          <w:b/>
        </w:rPr>
        <w:t>任何形式的提前赎回申请；</w:t>
      </w:r>
      <w:r>
        <w:rPr>
          <w:rFonts w:hint="eastAsia" w:ascii="Times New Roman" w:eastAsia="黑体" w:cs="Times New Roman"/>
          <w:b/>
        </w:rPr>
        <w:t>若发生巨额赎回，华夏理财有权根据理财产品的资产组合状况决定、接受赎回申请、拒绝赎回申请、以比例确认等方式对赎回申请给予部分确认、延期办理</w:t>
      </w:r>
      <w:r>
        <w:rPr>
          <w:rFonts w:eastAsia="黑体"/>
          <w:b/>
        </w:rPr>
        <w:t>。以上情形均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22"/>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基准、收益示例或类似表述均不具有法律约束力，不代表投资者可能获得的实际收益，亦不构成华夏理财/代销机构对本理财产品的任何收益承诺。</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损失外，汇率变化会带来额外的损失或收益，从而对投资者收益产生影响；反之亦然。</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（七）法律及政策风险：本理财产品是针对当前的相关法规和政策设计的。如国家宏观政策以及市场相关法规政策发生变化，影响理财产品的受理、投资、偿还等的正常进行，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22"/>
        <w:snapToGrid w:val="0"/>
        <w:spacing w:line="276" w:lineRule="auto"/>
        <w:ind w:firstLine="482" w:firstLineChars="200"/>
        <w:contextualSpacing/>
        <w:jc w:val="both"/>
        <w:rPr>
          <w:rFonts w:hint="eastAsia"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22"/>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（十）延期风险：对于有确定到期日的产品，</w:t>
      </w:r>
      <w:r>
        <w:rPr>
          <w:rFonts w:eastAsia="黑体"/>
          <w:b/>
        </w:rPr>
        <w:t>如因与理财产品投资资产相关的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w:t>
      </w:r>
      <w:r>
        <w:rPr>
          <w:rFonts w:eastAsia="黑体"/>
          <w:b/>
        </w:rPr>
        <w:t>本金及理财收益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2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22"/>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（十二）其他风险：指由于自然灾害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导致理财资产收益降低或损失，甚至影响理财产品的受理、投资、偿还等的正常进行，进而影响理财产品的投资收益和本金安全。</w:t>
      </w:r>
    </w:p>
    <w:p>
      <w:pPr>
        <w:pStyle w:val="22"/>
        <w:snapToGrid w:val="0"/>
        <w:spacing w:line="276" w:lineRule="auto"/>
        <w:ind w:firstLine="482"/>
        <w:contextualSpacing/>
        <w:rPr>
          <w:rFonts w:ascii="Times New Roman" w:eastAsia="黑体" w:cs="Times New Roman"/>
          <w:b/>
        </w:rPr>
      </w:pPr>
      <w:r>
        <w:rPr>
          <w:rFonts w:hint="eastAsia" w:ascii="Times New Roman" w:eastAsia="黑体" w:cs="Times New Roman"/>
          <w:b/>
        </w:rPr>
        <w:t>（十三）关联关系风险：本产品的代销机构与托管人可能为产品管理人的关联方，华夏理财已履行了现行法律法规和监管规定的必要程序。本产品可能涉及的关联交易类型包括但不限于投资于产品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华夏理财的控股股东，二者存在关联关系。如因存在关联关系，导致销售机构对本理财产品未能进行独立、审慎判断或放松准入管理，可能会给投资者造成潜在风险。</w:t>
      </w:r>
    </w:p>
    <w:p>
      <w:pPr>
        <w:pStyle w:val="22"/>
        <w:snapToGrid w:val="0"/>
        <w:spacing w:line="276" w:lineRule="auto"/>
        <w:ind w:firstLine="482" w:firstLineChars="200"/>
        <w:contextualSpacing/>
        <w:rPr>
          <w:rFonts w:hint="eastAsia" w:ascii="Times New Roman" w:eastAsia="黑体" w:cs="Times New Roman"/>
          <w:b/>
        </w:rPr>
      </w:pPr>
      <w:r>
        <w:rPr>
          <w:rFonts w:hint="eastAsia" w:ascii="Times New Roman" w:eastAsia="黑体" w:cs="Times New Roman"/>
          <w:b/>
        </w:rPr>
        <w:t>（十四）拟投资市场及资产的流动性风险评估</w:t>
      </w:r>
    </w:p>
    <w:p>
      <w:pPr>
        <w:pStyle w:val="22"/>
        <w:snapToGrid w:val="0"/>
        <w:spacing w:line="276" w:lineRule="auto"/>
        <w:ind w:firstLine="482" w:firstLineChars="200"/>
        <w:contextualSpacing/>
        <w:rPr>
          <w:rFonts w:hint="eastAsia"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w:t>
      </w:r>
      <w:r>
        <w:rPr>
          <w:rFonts w:ascii="Times New Roman" w:eastAsia="黑体" w:cs="Times New Roman"/>
          <w:b/>
        </w:rPr>
        <w:t>证券</w:t>
      </w:r>
      <w:r>
        <w:rPr>
          <w:rFonts w:hint="eastAsia" w:ascii="Times New Roman" w:eastAsia="黑体" w:cs="Times New Roman"/>
          <w:b/>
        </w:rPr>
        <w:t>方面未有高集中度的特征，综合评估在正常市场环境下本理财产品的流动性风险适中。本理财产品</w:t>
      </w:r>
      <w:r>
        <w:rPr>
          <w:rFonts w:ascii="Times New Roman" w:eastAsia="黑体" w:cs="Times New Roman"/>
          <w:b/>
        </w:rPr>
        <w:t>如投资</w:t>
      </w:r>
      <w:r>
        <w:rPr>
          <w:rFonts w:hint="eastAsia" w:ascii="Times New Roman" w:eastAsia="黑体" w:cs="Times New Roman"/>
          <w:b/>
        </w:rPr>
        <w:t>于非标准化债权资产，将严格执行监管有关限额管理、流动性管理等监管标准要求，防范并控制集中度和</w:t>
      </w:r>
      <w:r>
        <w:rPr>
          <w:rFonts w:ascii="Times New Roman" w:eastAsia="黑体" w:cs="Times New Roman"/>
          <w:b/>
        </w:rPr>
        <w:t>期限错配</w:t>
      </w:r>
      <w:r>
        <w:rPr>
          <w:rFonts w:hint="eastAsia" w:ascii="Times New Roman" w:eastAsia="黑体" w:cs="Times New Roman"/>
          <w:b/>
        </w:rPr>
        <w:t>等</w:t>
      </w:r>
      <w:r>
        <w:rPr>
          <w:rFonts w:ascii="Times New Roman" w:eastAsia="黑体" w:cs="Times New Roman"/>
          <w:b/>
        </w:rPr>
        <w:t>风险</w:t>
      </w:r>
      <w:r>
        <w:rPr>
          <w:rFonts w:hint="eastAsia" w:ascii="Times New Roman" w:eastAsia="黑体" w:cs="Times New Roman"/>
          <w:b/>
        </w:rPr>
        <w:t>。</w:t>
      </w:r>
    </w:p>
    <w:p>
      <w:pPr>
        <w:pStyle w:val="2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产品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说明书“投资对象”章节列示为准）。两者均可能使本理财产品资产净值受到不利影响。</w:t>
      </w:r>
    </w:p>
    <w:p>
      <w:pPr>
        <w:pStyle w:val="22"/>
        <w:snapToGrid w:val="0"/>
        <w:spacing w:line="276" w:lineRule="auto"/>
        <w:ind w:firstLine="482" w:firstLineChars="200"/>
        <w:contextualSpacing/>
        <w:rPr>
          <w:rFonts w:hint="eastAsia" w:ascii="Times New Roman" w:eastAsia="黑体" w:cs="Times New Roman"/>
          <w:b/>
        </w:rPr>
      </w:pPr>
      <w:r>
        <w:rPr>
          <w:rFonts w:hint="eastAsia" w:ascii="Times New Roman" w:eastAsia="黑体" w:cs="Times New Roman"/>
          <w:b/>
        </w:rPr>
        <w:t>（十五）流动性应对措施及对投资者的潜在影响</w:t>
      </w:r>
    </w:p>
    <w:p>
      <w:pPr>
        <w:pStyle w:val="22"/>
        <w:snapToGrid w:val="0"/>
        <w:spacing w:line="276" w:lineRule="auto"/>
        <w:ind w:firstLine="482" w:firstLineChars="200"/>
        <w:contextualSpacing/>
        <w:rPr>
          <w:rFonts w:hint="eastAsia" w:ascii="Times New Roman" w:eastAsia="黑体" w:cs="Times New Roman"/>
          <w:b/>
        </w:rPr>
      </w:pPr>
      <w:r>
        <w:rPr>
          <w:rFonts w:hint="eastAsia" w:ascii="Times New Roman" w:eastAsia="黑体" w:cs="Times New Roman"/>
          <w:b/>
        </w:rPr>
        <w:t>1．认（申）购风险应对措施及对投资者的潜在影响</w:t>
      </w:r>
    </w:p>
    <w:p>
      <w:pPr>
        <w:pStyle w:val="22"/>
        <w:snapToGrid w:val="0"/>
        <w:spacing w:line="276" w:lineRule="auto"/>
        <w:ind w:firstLine="482" w:firstLineChars="200"/>
        <w:contextualSpacing/>
        <w:rPr>
          <w:rFonts w:hint="eastAsia" w:ascii="Times New Roman" w:eastAsia="黑体" w:cs="Times New Roman"/>
          <w:b/>
        </w:rPr>
      </w:pPr>
      <w:r>
        <w:rPr>
          <w:rFonts w:hint="eastAsia" w:ascii="Times New Roman" w:eastAsia="黑体" w:cs="Times New Roman"/>
          <w:b/>
        </w:rPr>
        <w:t>产品管理人将加强对本理财产品认（申）购环节的管理，合理控制理财产品份额持有人集中度，审慎确认大额认（申）购申请。当接受认（申）购申请对存量理财产品份额持有人利益构成潜在重大不利影响时，产品管理人将采取设定单一投资者认（申）购金额上限或理财产品单日净认（申）购比例上限、拒绝大额认（申）购申请、暂停理财产品认（申）购等措施对理财产品规模予以控制，切实保护存量理财产品份额持有人的合法权益。具体详见产品说明书中“一、产品概述”及“五、认购、申购、赎回”。</w:t>
      </w:r>
    </w:p>
    <w:p>
      <w:pPr>
        <w:pStyle w:val="22"/>
        <w:snapToGrid w:val="0"/>
        <w:spacing w:line="276" w:lineRule="auto"/>
        <w:ind w:firstLine="482" w:firstLineChars="200"/>
        <w:contextualSpacing/>
        <w:rPr>
          <w:rFonts w:hint="eastAsia" w:ascii="Times New Roman" w:eastAsia="黑体" w:cs="Times New Roman"/>
          <w:b/>
        </w:rPr>
      </w:pPr>
      <w:r>
        <w:rPr>
          <w:rFonts w:hint="eastAsia" w:ascii="Times New Roman" w:eastAsia="黑体" w:cs="Times New Roman"/>
          <w:b/>
        </w:rPr>
        <w:t>当产品管理人采用认（申）购风险应对措施时，可能对投资者造成一定的潜在影响，包括但不限于不能认（申）购本理财产品、认（申）购交易全部或部分确认失败等。</w:t>
      </w:r>
    </w:p>
    <w:p>
      <w:pPr>
        <w:pStyle w:val="22"/>
        <w:snapToGrid w:val="0"/>
        <w:spacing w:line="276" w:lineRule="auto"/>
        <w:ind w:firstLine="482" w:firstLineChars="200"/>
        <w:contextualSpacing/>
        <w:rPr>
          <w:rFonts w:hint="eastAsia" w:ascii="Times New Roman" w:eastAsia="黑体" w:cs="Times New Roman"/>
          <w:b/>
        </w:rPr>
      </w:pPr>
      <w:r>
        <w:rPr>
          <w:rFonts w:hint="eastAsia" w:ascii="Times New Roman" w:eastAsia="黑体" w:cs="Times New Roman"/>
          <w:b/>
        </w:rPr>
        <w:t>2．赎回风险应对措施及对投资者的潜在影响</w:t>
      </w:r>
    </w:p>
    <w:p>
      <w:pPr>
        <w:pStyle w:val="22"/>
        <w:snapToGrid w:val="0"/>
        <w:spacing w:line="276" w:lineRule="auto"/>
        <w:ind w:firstLine="482" w:firstLineChars="200"/>
        <w:contextualSpacing/>
        <w:rPr>
          <w:rFonts w:hint="eastAsia" w:ascii="Times New Roman" w:eastAsia="黑体" w:cs="Times New Roman"/>
          <w:b/>
        </w:rPr>
      </w:pPr>
      <w:r>
        <w:rPr>
          <w:rFonts w:hint="eastAsia" w:ascii="Times New Roman" w:eastAsia="黑体" w:cs="Times New Roman"/>
          <w:b/>
        </w:rPr>
        <w:t>产品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银保监会规定的其他风险应对措施。具体详见本理财产品说明书“一、产品概述”及“五、认购、申购、赎回”。</w:t>
      </w:r>
    </w:p>
    <w:p>
      <w:pPr>
        <w:pStyle w:val="22"/>
        <w:snapToGrid w:val="0"/>
        <w:spacing w:line="276" w:lineRule="auto"/>
        <w:ind w:firstLine="482"/>
        <w:contextualSpacing/>
        <w:rPr>
          <w:rFonts w:hint="eastAsia" w:ascii="Times New Roman" w:eastAsia="黑体" w:cs="Times New Roman"/>
          <w:b/>
          <w:color w:val="auto"/>
        </w:rPr>
      </w:pPr>
      <w:r>
        <w:rPr>
          <w:rFonts w:hint="eastAsia" w:ascii="Times New Roman" w:eastAsia="黑体" w:cs="Times New Roman"/>
          <w:b/>
        </w:rPr>
        <w:t>当产品管理人实施赎回流动性风险应对措施时，可能对投资者造成一定的潜在影响，包括但不限于赎回交易全部或部分确认失败、赎回款项延迟到账、增加申赎成本或产生赎回费用等。</w:t>
      </w:r>
    </w:p>
    <w:p>
      <w:pPr>
        <w:pStyle w:val="22"/>
        <w:snapToGrid w:val="0"/>
        <w:spacing w:after="156" w:afterLines="50" w:line="400" w:lineRule="exact"/>
        <w:ind w:firstLine="482" w:firstLineChars="200"/>
        <w:jc w:val="both"/>
        <w:rPr>
          <w:rFonts w:hint="eastAsia"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hint="eastAsia"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通过相应的信息披露渠道予以披露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根据监管规定及业务需要，产品管理人可进行临时信息披露，涉及事项包括但不限于：产品管理人、托管人发生变更，理财产品投资非标准化债权类资产或信贷资产受（收）益权，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日内通过相应的信息披露渠道予以披露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3．理财产品</w:t>
      </w:r>
      <w:r>
        <w:rPr>
          <w:rFonts w:ascii="仿宋" w:hAnsi="仿宋" w:eastAsia="仿宋" w:cs="宋体"/>
          <w:kern w:val="0"/>
          <w:sz w:val="24"/>
        </w:rPr>
        <w:t>管理人</w:t>
      </w:r>
      <w:r>
        <w:rPr>
          <w:rFonts w:hint="eastAsia" w:ascii="仿宋" w:hAnsi="仿宋" w:eastAsia="仿宋" w:cs="宋体"/>
          <w:kern w:val="0"/>
          <w:sz w:val="24"/>
        </w:rPr>
        <w:t>有权对管理费（含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收费项目、条件、标准和方式进行调整，并将按照有关监管规定进行信息披露；其中，对于华夏理财增加费用名目、提高收费标准等对投资者利益产生实质不利影响的情形，投资者如不接受，可按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．理财产品</w:t>
      </w:r>
      <w:r>
        <w:rPr>
          <w:rFonts w:ascii="仿宋" w:hAnsi="仿宋" w:eastAsia="仿宋" w:cs="宋体"/>
          <w:kern w:val="0"/>
          <w:sz w:val="24"/>
        </w:rPr>
        <w:t>管理人</w:t>
      </w:r>
      <w:r>
        <w:rPr>
          <w:rFonts w:hint="eastAsia" w:ascii="仿宋" w:hAnsi="仿宋" w:eastAsia="仿宋" w:cs="宋体"/>
          <w:kern w:val="0"/>
          <w:sz w:val="24"/>
        </w:rPr>
        <w:t>有权根据市场情况调整产品</w:t>
      </w:r>
      <w:r>
        <w:rPr>
          <w:rFonts w:ascii="仿宋" w:hAnsi="仿宋" w:eastAsia="仿宋" w:cs="宋体"/>
          <w:kern w:val="0"/>
          <w:sz w:val="24"/>
        </w:rPr>
        <w:t>的</w:t>
      </w:r>
      <w:r>
        <w:rPr>
          <w:rFonts w:hint="eastAsia" w:ascii="仿宋" w:hAnsi="仿宋" w:eastAsia="仿宋" w:cs="宋体"/>
          <w:kern w:val="0"/>
          <w:sz w:val="24"/>
        </w:rPr>
        <w:t>投资范围、投资资产种类或投资比例，并按照有关规定事先进行信息披露。具体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hint="eastAsia" w:ascii="仿宋" w:hAnsi="仿宋" w:eastAsia="仿宋" w:cs="宋体"/>
          <w:color w:val="000000"/>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在发生涉及理财产品认购、赎回事项调整或潜在影响投资者赎回等事项时，或理财产品管理人决定采取流动性应对措施，产品管理人将按照监管规定及理财产品销售文件约定，及时发布临时公告。</w:t>
      </w:r>
    </w:p>
    <w:p>
      <w:pPr>
        <w:autoSpaceDE w:val="0"/>
        <w:autoSpaceDN w:val="0"/>
        <w:adjustRightInd w:val="0"/>
        <w:snapToGrid w:val="0"/>
        <w:spacing w:line="276" w:lineRule="auto"/>
        <w:ind w:firstLine="480" w:firstLineChars="200"/>
        <w:contextualSpacing/>
        <w:outlineLvl w:val="1"/>
        <w:rPr>
          <w:rFonts w:hint="eastAsia"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理财产品管理人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hint="eastAsia" w:ascii="仿宋" w:hAnsi="仿宋" w:eastAsia="仿宋" w:cs="宋体"/>
          <w:kern w:val="0"/>
          <w:sz w:val="24"/>
        </w:rPr>
      </w:pPr>
      <w:r>
        <w:rPr>
          <w:rFonts w:hint="eastAsia" w:ascii="仿宋" w:hAnsi="仿宋" w:eastAsia="仿宋" w:cs="宋体"/>
          <w:b/>
          <w:kern w:val="0"/>
          <w:sz w:val="24"/>
        </w:rPr>
        <w:t>理财产品管理人将通过</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hint="eastAsia" w:ascii="仿宋" w:hAnsi="仿宋" w:eastAsia="仿宋" w:cs="宋体"/>
          <w:kern w:val="0"/>
          <w:sz w:val="24"/>
        </w:rPr>
      </w:pPr>
      <w:r>
        <w:rPr>
          <w:rFonts w:hint="eastAsia" w:ascii="仿宋" w:hAnsi="仿宋" w:eastAsia="仿宋" w:cs="宋体"/>
          <w:kern w:val="0"/>
          <w:sz w:val="24"/>
        </w:rPr>
        <w:t>（四）投资者关于信息披露的确认</w:t>
      </w:r>
    </w:p>
    <w:p>
      <w:pPr>
        <w:spacing w:after="156" w:afterLines="50" w:line="276" w:lineRule="auto"/>
        <w:ind w:firstLine="480"/>
        <w:contextualSpacing/>
        <w:rPr>
          <w:rFonts w:hint="eastAsia" w:ascii="仿宋" w:hAnsi="仿宋" w:eastAsia="仿宋"/>
        </w:rPr>
      </w:pPr>
      <w:r>
        <w:rPr>
          <w:rFonts w:hint="eastAsia" w:ascii="仿宋" w:hAnsi="仿宋" w:eastAsia="仿宋" w:cs="宋体"/>
          <w:kern w:val="0"/>
          <w:sz w:val="24"/>
        </w:rPr>
        <w:t>投资者确认并同意理财产品管理人可以通过上述方式披露理财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22"/>
        <w:snapToGrid w:val="0"/>
        <w:spacing w:after="156" w:afterLines="50" w:line="400" w:lineRule="exact"/>
        <w:ind w:firstLine="482" w:firstLineChars="200"/>
        <w:jc w:val="both"/>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hint="eastAsia"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银行官方网站公告的方式通知投资者。</w:t>
      </w:r>
    </w:p>
    <w:p>
      <w:pPr>
        <w:autoSpaceDE w:val="0"/>
        <w:autoSpaceDN w:val="0"/>
        <w:adjustRightInd w:val="0"/>
        <w:snapToGrid w:val="0"/>
        <w:spacing w:line="276" w:lineRule="auto"/>
        <w:ind w:firstLine="480" w:firstLineChars="200"/>
        <w:contextualSpacing/>
        <w:rPr>
          <w:rFonts w:hint="eastAsia" w:ascii="仿宋" w:hAnsi="仿宋" w:eastAsia="仿宋" w:cs="宋体"/>
          <w:color w:val="000000"/>
          <w:kern w:val="0"/>
          <w:sz w:val="24"/>
        </w:rPr>
      </w:pPr>
      <w:r>
        <w:rPr>
          <w:rFonts w:ascii="仿宋" w:hAnsi="仿宋" w:eastAsia="仿宋" w:cs="宋体"/>
          <w:color w:val="000000"/>
          <w:kern w:val="0"/>
          <w:sz w:val="24"/>
        </w:rPr>
        <w:t>本产品说明书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hint="eastAsia"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22"/>
        <w:snapToGrid w:val="0"/>
        <w:spacing w:after="156" w:afterLines="50" w:line="400" w:lineRule="exact"/>
        <w:ind w:firstLine="482" w:firstLineChars="200"/>
        <w:jc w:val="both"/>
        <w:rPr>
          <w:rFonts w:hint="eastAsia"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网点柜面渠道购买本理财产品的，本产品说明书经自然人客户签字/法人或其他组织客户的法定代表人或授权代表签章并加盖公章、成功缴纳购买资金，并经华夏理财系统确认购买份额之日起生效。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如客户通过华夏理财/代销机构电子渠道购买本理财产品的，本产品说明书自客户通过电子渠道确认同意，完成购买资金划付，并经华夏理财系统确认购买份额之日起生效。</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产品管理人：华夏理财有限责任公司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rPr>
        <w:t xml:space="preserve">日期：  </w:t>
      </w:r>
      <w:r>
        <w:rPr>
          <w:rFonts w:ascii="仿宋" w:hAnsi="仿宋" w:eastAsia="仿宋" w:cs="宋体"/>
          <w:color w:val="000000"/>
        </w:rPr>
        <w:t xml:space="preserve">   年     月    日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微软简仿宋">
    <w:panose1 w:val="00000000000000000000"/>
    <w:charset w:val="86"/>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swiss"/>
    <w:pitch w:val="default"/>
    <w:sig w:usb0="FFFFFFFF" w:usb1="E9FFFFFF" w:usb2="0000003F" w:usb3="00000000" w:csb0="603F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trackedChanges"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20F81"/>
    <w:rsid w:val="0004783E"/>
    <w:rsid w:val="00063561"/>
    <w:rsid w:val="000713E1"/>
    <w:rsid w:val="000805E4"/>
    <w:rsid w:val="000A3C07"/>
    <w:rsid w:val="000B32CF"/>
    <w:rsid w:val="000D002A"/>
    <w:rsid w:val="000D7D4F"/>
    <w:rsid w:val="000D7DE2"/>
    <w:rsid w:val="000E195A"/>
    <w:rsid w:val="000E27FF"/>
    <w:rsid w:val="001173D8"/>
    <w:rsid w:val="001260F4"/>
    <w:rsid w:val="00130196"/>
    <w:rsid w:val="001318D7"/>
    <w:rsid w:val="00141481"/>
    <w:rsid w:val="001423F3"/>
    <w:rsid w:val="00146323"/>
    <w:rsid w:val="0015765C"/>
    <w:rsid w:val="001601A3"/>
    <w:rsid w:val="00170760"/>
    <w:rsid w:val="001868E7"/>
    <w:rsid w:val="001A4310"/>
    <w:rsid w:val="001B29E5"/>
    <w:rsid w:val="001E1749"/>
    <w:rsid w:val="001E4307"/>
    <w:rsid w:val="00214B23"/>
    <w:rsid w:val="00221C1E"/>
    <w:rsid w:val="00237246"/>
    <w:rsid w:val="00294355"/>
    <w:rsid w:val="002A2967"/>
    <w:rsid w:val="002A2FEF"/>
    <w:rsid w:val="002B4F07"/>
    <w:rsid w:val="002E7F9D"/>
    <w:rsid w:val="002F6580"/>
    <w:rsid w:val="00311EF5"/>
    <w:rsid w:val="00351C38"/>
    <w:rsid w:val="00365A03"/>
    <w:rsid w:val="00365E5C"/>
    <w:rsid w:val="0039023B"/>
    <w:rsid w:val="003923B3"/>
    <w:rsid w:val="003D55AF"/>
    <w:rsid w:val="003D65A8"/>
    <w:rsid w:val="003E4BEB"/>
    <w:rsid w:val="003F6114"/>
    <w:rsid w:val="004021F4"/>
    <w:rsid w:val="00414610"/>
    <w:rsid w:val="004320A2"/>
    <w:rsid w:val="00440C95"/>
    <w:rsid w:val="00462536"/>
    <w:rsid w:val="00463299"/>
    <w:rsid w:val="004734C8"/>
    <w:rsid w:val="00494748"/>
    <w:rsid w:val="004C4084"/>
    <w:rsid w:val="004E7D97"/>
    <w:rsid w:val="004F4E81"/>
    <w:rsid w:val="004F648F"/>
    <w:rsid w:val="005114E6"/>
    <w:rsid w:val="00512B7C"/>
    <w:rsid w:val="00540C01"/>
    <w:rsid w:val="00551ECB"/>
    <w:rsid w:val="005604F6"/>
    <w:rsid w:val="00560CC1"/>
    <w:rsid w:val="005727C8"/>
    <w:rsid w:val="0057603A"/>
    <w:rsid w:val="005C08EC"/>
    <w:rsid w:val="005F66E4"/>
    <w:rsid w:val="006075D0"/>
    <w:rsid w:val="00613BD1"/>
    <w:rsid w:val="006202D7"/>
    <w:rsid w:val="00656FE9"/>
    <w:rsid w:val="00670595"/>
    <w:rsid w:val="00677437"/>
    <w:rsid w:val="00681E3A"/>
    <w:rsid w:val="0068328B"/>
    <w:rsid w:val="006860DD"/>
    <w:rsid w:val="0069073D"/>
    <w:rsid w:val="006915E0"/>
    <w:rsid w:val="006A1D2A"/>
    <w:rsid w:val="006A7803"/>
    <w:rsid w:val="006D3A14"/>
    <w:rsid w:val="006E0E9D"/>
    <w:rsid w:val="006E742E"/>
    <w:rsid w:val="006F119A"/>
    <w:rsid w:val="0070000E"/>
    <w:rsid w:val="00712CC7"/>
    <w:rsid w:val="00715000"/>
    <w:rsid w:val="00715892"/>
    <w:rsid w:val="00734D46"/>
    <w:rsid w:val="0076606B"/>
    <w:rsid w:val="00777429"/>
    <w:rsid w:val="007815CF"/>
    <w:rsid w:val="0078597A"/>
    <w:rsid w:val="00792744"/>
    <w:rsid w:val="007F32C1"/>
    <w:rsid w:val="007F7923"/>
    <w:rsid w:val="008277B6"/>
    <w:rsid w:val="00836CF0"/>
    <w:rsid w:val="00843345"/>
    <w:rsid w:val="00843933"/>
    <w:rsid w:val="00845BC9"/>
    <w:rsid w:val="00846F1F"/>
    <w:rsid w:val="00852D93"/>
    <w:rsid w:val="00863612"/>
    <w:rsid w:val="0088680F"/>
    <w:rsid w:val="00887E73"/>
    <w:rsid w:val="008D19F3"/>
    <w:rsid w:val="008D5335"/>
    <w:rsid w:val="008D5F85"/>
    <w:rsid w:val="008E0C40"/>
    <w:rsid w:val="008F6891"/>
    <w:rsid w:val="00902123"/>
    <w:rsid w:val="00916782"/>
    <w:rsid w:val="00943E23"/>
    <w:rsid w:val="00960160"/>
    <w:rsid w:val="00966786"/>
    <w:rsid w:val="00971A91"/>
    <w:rsid w:val="00972105"/>
    <w:rsid w:val="00991FA8"/>
    <w:rsid w:val="009A3572"/>
    <w:rsid w:val="009C0A85"/>
    <w:rsid w:val="009C4B76"/>
    <w:rsid w:val="009C5840"/>
    <w:rsid w:val="009E68F4"/>
    <w:rsid w:val="009E6D89"/>
    <w:rsid w:val="009F0D25"/>
    <w:rsid w:val="009F1CB5"/>
    <w:rsid w:val="00A25440"/>
    <w:rsid w:val="00A33474"/>
    <w:rsid w:val="00A41B25"/>
    <w:rsid w:val="00A42DA4"/>
    <w:rsid w:val="00A44BF9"/>
    <w:rsid w:val="00A51A90"/>
    <w:rsid w:val="00A538B5"/>
    <w:rsid w:val="00A547BE"/>
    <w:rsid w:val="00A87692"/>
    <w:rsid w:val="00A93593"/>
    <w:rsid w:val="00A978E7"/>
    <w:rsid w:val="00AA1AFA"/>
    <w:rsid w:val="00AA7D8A"/>
    <w:rsid w:val="00AD7FE0"/>
    <w:rsid w:val="00AE1B0B"/>
    <w:rsid w:val="00AE3D24"/>
    <w:rsid w:val="00AF3F07"/>
    <w:rsid w:val="00B22178"/>
    <w:rsid w:val="00B47C68"/>
    <w:rsid w:val="00B5695A"/>
    <w:rsid w:val="00B70C25"/>
    <w:rsid w:val="00B71825"/>
    <w:rsid w:val="00B80F1A"/>
    <w:rsid w:val="00B85197"/>
    <w:rsid w:val="00BA77A8"/>
    <w:rsid w:val="00BB4269"/>
    <w:rsid w:val="00BC4B7F"/>
    <w:rsid w:val="00BE076D"/>
    <w:rsid w:val="00BE4A47"/>
    <w:rsid w:val="00BE70DA"/>
    <w:rsid w:val="00BF7CB7"/>
    <w:rsid w:val="00C04C85"/>
    <w:rsid w:val="00C10865"/>
    <w:rsid w:val="00C33912"/>
    <w:rsid w:val="00C33E4C"/>
    <w:rsid w:val="00C566E0"/>
    <w:rsid w:val="00CD394A"/>
    <w:rsid w:val="00D04582"/>
    <w:rsid w:val="00D06C20"/>
    <w:rsid w:val="00D15FE0"/>
    <w:rsid w:val="00D3392B"/>
    <w:rsid w:val="00D34745"/>
    <w:rsid w:val="00D65353"/>
    <w:rsid w:val="00D80AD1"/>
    <w:rsid w:val="00D919BF"/>
    <w:rsid w:val="00DC3F67"/>
    <w:rsid w:val="00DC739A"/>
    <w:rsid w:val="00DE2987"/>
    <w:rsid w:val="00DE4076"/>
    <w:rsid w:val="00E46D53"/>
    <w:rsid w:val="00E816F5"/>
    <w:rsid w:val="00E879FF"/>
    <w:rsid w:val="00E95A0F"/>
    <w:rsid w:val="00EB3267"/>
    <w:rsid w:val="00EC26F8"/>
    <w:rsid w:val="00EE7A2F"/>
    <w:rsid w:val="00F1550F"/>
    <w:rsid w:val="00F37C88"/>
    <w:rsid w:val="00F444A8"/>
    <w:rsid w:val="00F56D69"/>
    <w:rsid w:val="00F760F6"/>
    <w:rsid w:val="00F9415B"/>
    <w:rsid w:val="00FC1677"/>
    <w:rsid w:val="00FD2903"/>
    <w:rsid w:val="00FE1291"/>
    <w:rsid w:val="00FE482B"/>
    <w:rsid w:val="00FF56AD"/>
    <w:rsid w:val="018D5F51"/>
    <w:rsid w:val="01EB6FEC"/>
    <w:rsid w:val="02377743"/>
    <w:rsid w:val="03DB06FE"/>
    <w:rsid w:val="04B16B62"/>
    <w:rsid w:val="05215177"/>
    <w:rsid w:val="08961A5A"/>
    <w:rsid w:val="08A96CC2"/>
    <w:rsid w:val="0A0F44CD"/>
    <w:rsid w:val="0A2F0E4D"/>
    <w:rsid w:val="0AA97A8C"/>
    <w:rsid w:val="0B047D48"/>
    <w:rsid w:val="0B9C5D9B"/>
    <w:rsid w:val="0BA27F6B"/>
    <w:rsid w:val="0C510FA4"/>
    <w:rsid w:val="0C9E5955"/>
    <w:rsid w:val="0D511F69"/>
    <w:rsid w:val="0DC52C23"/>
    <w:rsid w:val="0DF70178"/>
    <w:rsid w:val="0E3C3C0F"/>
    <w:rsid w:val="0F2862EC"/>
    <w:rsid w:val="0FE53808"/>
    <w:rsid w:val="117C0D4E"/>
    <w:rsid w:val="11BB3DB9"/>
    <w:rsid w:val="11D21B30"/>
    <w:rsid w:val="121940A5"/>
    <w:rsid w:val="123B658C"/>
    <w:rsid w:val="12CD4972"/>
    <w:rsid w:val="12FA2A1E"/>
    <w:rsid w:val="12FB08EA"/>
    <w:rsid w:val="142741A0"/>
    <w:rsid w:val="14FD2EFF"/>
    <w:rsid w:val="152A1DB0"/>
    <w:rsid w:val="155D4436"/>
    <w:rsid w:val="16457F02"/>
    <w:rsid w:val="16800450"/>
    <w:rsid w:val="169510B8"/>
    <w:rsid w:val="16DD4AF1"/>
    <w:rsid w:val="174C5C47"/>
    <w:rsid w:val="178D27B4"/>
    <w:rsid w:val="182014A2"/>
    <w:rsid w:val="18294E04"/>
    <w:rsid w:val="1892050E"/>
    <w:rsid w:val="18D80C51"/>
    <w:rsid w:val="18EE0BF6"/>
    <w:rsid w:val="192B2275"/>
    <w:rsid w:val="198557BA"/>
    <w:rsid w:val="1A707A6D"/>
    <w:rsid w:val="1A7D6D25"/>
    <w:rsid w:val="1A816486"/>
    <w:rsid w:val="1A893942"/>
    <w:rsid w:val="1A907FA2"/>
    <w:rsid w:val="1AD533CC"/>
    <w:rsid w:val="1B2A72DF"/>
    <w:rsid w:val="1BA64FD1"/>
    <w:rsid w:val="1BBC5A18"/>
    <w:rsid w:val="1BE97487"/>
    <w:rsid w:val="1C6357AF"/>
    <w:rsid w:val="1CAC5E2B"/>
    <w:rsid w:val="1CDF5587"/>
    <w:rsid w:val="1D023468"/>
    <w:rsid w:val="1D795BF8"/>
    <w:rsid w:val="1E356AFA"/>
    <w:rsid w:val="1E527B15"/>
    <w:rsid w:val="1E724912"/>
    <w:rsid w:val="201D0297"/>
    <w:rsid w:val="204A0870"/>
    <w:rsid w:val="20C822D8"/>
    <w:rsid w:val="220D5EC8"/>
    <w:rsid w:val="223431B1"/>
    <w:rsid w:val="22C149FC"/>
    <w:rsid w:val="22F1518B"/>
    <w:rsid w:val="238C25BD"/>
    <w:rsid w:val="24A91031"/>
    <w:rsid w:val="25E72FA7"/>
    <w:rsid w:val="273147E4"/>
    <w:rsid w:val="27487015"/>
    <w:rsid w:val="27A84C42"/>
    <w:rsid w:val="28347384"/>
    <w:rsid w:val="287A4275"/>
    <w:rsid w:val="28B70DC9"/>
    <w:rsid w:val="29711978"/>
    <w:rsid w:val="298634AE"/>
    <w:rsid w:val="2A567387"/>
    <w:rsid w:val="2B3649F4"/>
    <w:rsid w:val="2B4675FA"/>
    <w:rsid w:val="2BB602C5"/>
    <w:rsid w:val="2BD85FC4"/>
    <w:rsid w:val="2BF50AB4"/>
    <w:rsid w:val="2CDB7E63"/>
    <w:rsid w:val="2D434FF8"/>
    <w:rsid w:val="2DA05DCE"/>
    <w:rsid w:val="2EC208DF"/>
    <w:rsid w:val="2F223C18"/>
    <w:rsid w:val="2F401A95"/>
    <w:rsid w:val="2F517C68"/>
    <w:rsid w:val="2F854CC7"/>
    <w:rsid w:val="2FDD2BC4"/>
    <w:rsid w:val="2FF679D7"/>
    <w:rsid w:val="30653C55"/>
    <w:rsid w:val="307C6D47"/>
    <w:rsid w:val="30B93C1E"/>
    <w:rsid w:val="320C78A0"/>
    <w:rsid w:val="329A0B6A"/>
    <w:rsid w:val="32C642E9"/>
    <w:rsid w:val="332573C9"/>
    <w:rsid w:val="338406B7"/>
    <w:rsid w:val="34854AB1"/>
    <w:rsid w:val="34A63F82"/>
    <w:rsid w:val="350A7012"/>
    <w:rsid w:val="360161F0"/>
    <w:rsid w:val="36050641"/>
    <w:rsid w:val="36365F0F"/>
    <w:rsid w:val="372651A6"/>
    <w:rsid w:val="37A91B2F"/>
    <w:rsid w:val="382265A3"/>
    <w:rsid w:val="386B45BC"/>
    <w:rsid w:val="38B20142"/>
    <w:rsid w:val="39223F50"/>
    <w:rsid w:val="39915230"/>
    <w:rsid w:val="39B533F4"/>
    <w:rsid w:val="3A166DB1"/>
    <w:rsid w:val="3A6464DA"/>
    <w:rsid w:val="3A8D0AE7"/>
    <w:rsid w:val="3B35691C"/>
    <w:rsid w:val="3B507595"/>
    <w:rsid w:val="3C691FB2"/>
    <w:rsid w:val="3D3B3330"/>
    <w:rsid w:val="3F996600"/>
    <w:rsid w:val="40897331"/>
    <w:rsid w:val="40A300AE"/>
    <w:rsid w:val="4122152C"/>
    <w:rsid w:val="41A75327"/>
    <w:rsid w:val="41DE07D6"/>
    <w:rsid w:val="42726493"/>
    <w:rsid w:val="428E761C"/>
    <w:rsid w:val="44C2436C"/>
    <w:rsid w:val="44D90650"/>
    <w:rsid w:val="45225B34"/>
    <w:rsid w:val="454247FC"/>
    <w:rsid w:val="45C2437E"/>
    <w:rsid w:val="464740FB"/>
    <w:rsid w:val="46945BA3"/>
    <w:rsid w:val="469C1860"/>
    <w:rsid w:val="46EB55F0"/>
    <w:rsid w:val="48100387"/>
    <w:rsid w:val="489F1960"/>
    <w:rsid w:val="48A8042C"/>
    <w:rsid w:val="492F3120"/>
    <w:rsid w:val="4A646C71"/>
    <w:rsid w:val="4A974BFD"/>
    <w:rsid w:val="4B3D2C38"/>
    <w:rsid w:val="4B9A6CD9"/>
    <w:rsid w:val="4CC42E4B"/>
    <w:rsid w:val="4E006899"/>
    <w:rsid w:val="4E4604CC"/>
    <w:rsid w:val="4E6B607B"/>
    <w:rsid w:val="4E712B50"/>
    <w:rsid w:val="4E7E67D5"/>
    <w:rsid w:val="4EE704C2"/>
    <w:rsid w:val="500E49CD"/>
    <w:rsid w:val="500F1CD5"/>
    <w:rsid w:val="506B6199"/>
    <w:rsid w:val="511D25A1"/>
    <w:rsid w:val="51A36407"/>
    <w:rsid w:val="51D60B75"/>
    <w:rsid w:val="51D91B25"/>
    <w:rsid w:val="51FA42D4"/>
    <w:rsid w:val="5202225E"/>
    <w:rsid w:val="522A5C96"/>
    <w:rsid w:val="52C77658"/>
    <w:rsid w:val="53BF0718"/>
    <w:rsid w:val="56444969"/>
    <w:rsid w:val="57C82F28"/>
    <w:rsid w:val="57F70DED"/>
    <w:rsid w:val="58083A83"/>
    <w:rsid w:val="581B10FA"/>
    <w:rsid w:val="582156EE"/>
    <w:rsid w:val="58427747"/>
    <w:rsid w:val="58BB4CDB"/>
    <w:rsid w:val="58F96B51"/>
    <w:rsid w:val="59AD702D"/>
    <w:rsid w:val="59D14CC4"/>
    <w:rsid w:val="59FF73A2"/>
    <w:rsid w:val="5A945937"/>
    <w:rsid w:val="5AA340C2"/>
    <w:rsid w:val="5AB6501F"/>
    <w:rsid w:val="5B9E1D5B"/>
    <w:rsid w:val="5BCB323C"/>
    <w:rsid w:val="5DC63A4E"/>
    <w:rsid w:val="5DED53D1"/>
    <w:rsid w:val="5E063E78"/>
    <w:rsid w:val="5E1B7959"/>
    <w:rsid w:val="5EAD142E"/>
    <w:rsid w:val="5F3F3BFD"/>
    <w:rsid w:val="5F7071A8"/>
    <w:rsid w:val="60F20BC5"/>
    <w:rsid w:val="610C5CC5"/>
    <w:rsid w:val="6162645C"/>
    <w:rsid w:val="61F1030C"/>
    <w:rsid w:val="6210426E"/>
    <w:rsid w:val="62832265"/>
    <w:rsid w:val="63510BEE"/>
    <w:rsid w:val="638119A8"/>
    <w:rsid w:val="642D51FD"/>
    <w:rsid w:val="644E4B1D"/>
    <w:rsid w:val="64651B49"/>
    <w:rsid w:val="652C5EC9"/>
    <w:rsid w:val="65353764"/>
    <w:rsid w:val="65EC5F0A"/>
    <w:rsid w:val="66EC4D96"/>
    <w:rsid w:val="6736101B"/>
    <w:rsid w:val="68370CCC"/>
    <w:rsid w:val="684D7DEF"/>
    <w:rsid w:val="69205264"/>
    <w:rsid w:val="695217DC"/>
    <w:rsid w:val="69C37032"/>
    <w:rsid w:val="6BD916EE"/>
    <w:rsid w:val="6CCA1A7F"/>
    <w:rsid w:val="6E035291"/>
    <w:rsid w:val="6E1206A4"/>
    <w:rsid w:val="6E5A3D7E"/>
    <w:rsid w:val="703933A1"/>
    <w:rsid w:val="70AA0758"/>
    <w:rsid w:val="70B61502"/>
    <w:rsid w:val="70CE17C7"/>
    <w:rsid w:val="70F5166C"/>
    <w:rsid w:val="71EF5ACB"/>
    <w:rsid w:val="723B233B"/>
    <w:rsid w:val="724F5D5C"/>
    <w:rsid w:val="728E0A16"/>
    <w:rsid w:val="729371FE"/>
    <w:rsid w:val="72E929DE"/>
    <w:rsid w:val="72EF2B1D"/>
    <w:rsid w:val="738D015F"/>
    <w:rsid w:val="745751F5"/>
    <w:rsid w:val="74892FD1"/>
    <w:rsid w:val="74FB18F9"/>
    <w:rsid w:val="75616560"/>
    <w:rsid w:val="75F80517"/>
    <w:rsid w:val="76C57715"/>
    <w:rsid w:val="76E6192C"/>
    <w:rsid w:val="771479EA"/>
    <w:rsid w:val="771C35A1"/>
    <w:rsid w:val="77A03719"/>
    <w:rsid w:val="78A4259B"/>
    <w:rsid w:val="78C31CAF"/>
    <w:rsid w:val="78CE6E70"/>
    <w:rsid w:val="795B3486"/>
    <w:rsid w:val="79E45FD6"/>
    <w:rsid w:val="7AD0105B"/>
    <w:rsid w:val="7AF92581"/>
    <w:rsid w:val="7B044A15"/>
    <w:rsid w:val="7B170E00"/>
    <w:rsid w:val="7B3057E8"/>
    <w:rsid w:val="7C4B2499"/>
    <w:rsid w:val="7C721F5F"/>
    <w:rsid w:val="7C7D36C4"/>
    <w:rsid w:val="7E431677"/>
    <w:rsid w:val="7E5572E2"/>
    <w:rsid w:val="7E871182"/>
    <w:rsid w:val="7ED67996"/>
    <w:rsid w:val="7F116F65"/>
    <w:rsid w:val="7F516160"/>
    <w:rsid w:val="7FD45F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0" w:semiHidden="0" w:name="header"/>
    <w:lsdException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4">
    <w:name w:val="Default Paragraph Font"/>
    <w:semiHidden/>
    <w:uiPriority w:val="0"/>
  </w:style>
  <w:style w:type="table" w:default="1" w:styleId="11">
    <w:name w:val="Normal Table"/>
    <w:semiHidden/>
    <w:uiPriority w:val="0"/>
    <w:tblPr>
      <w:tblCellMar>
        <w:top w:w="0" w:type="dxa"/>
        <w:left w:w="108" w:type="dxa"/>
        <w:bottom w:w="0" w:type="dxa"/>
        <w:right w:w="108" w:type="dxa"/>
      </w:tblCellMar>
    </w:tblPr>
  </w:style>
  <w:style w:type="paragraph" w:styleId="5">
    <w:name w:val="annotation text"/>
    <w:basedOn w:val="1"/>
    <w:uiPriority w:val="0"/>
    <w:pPr>
      <w:jc w:val="left"/>
    </w:pPr>
  </w:style>
  <w:style w:type="paragraph" w:styleId="6">
    <w:name w:val="Body Text Indent"/>
    <w:basedOn w:val="1"/>
    <w:unhideWhenUsed/>
    <w:uiPriority w:val="0"/>
    <w:pPr>
      <w:ind w:firstLine="630"/>
    </w:pPr>
    <w:rPr>
      <w:kern w:val="0"/>
      <w:sz w:val="24"/>
    </w:rPr>
  </w:style>
  <w:style w:type="paragraph" w:styleId="7">
    <w:name w:val="Body Text Indent 2"/>
    <w:basedOn w:val="1"/>
    <w:unhideWhenUsed/>
    <w:uiPriority w:val="0"/>
    <w:pPr>
      <w:ind w:firstLine="600"/>
    </w:pPr>
    <w:rPr>
      <w:kern w:val="0"/>
      <w:sz w:val="24"/>
    </w:rPr>
  </w:style>
  <w:style w:type="paragraph" w:styleId="8">
    <w:name w:val="Balloon Text"/>
    <w:basedOn w:val="1"/>
    <w:semiHidden/>
    <w:uiPriority w:val="0"/>
    <w:rPr>
      <w:sz w:val="18"/>
      <w:szCs w:val="18"/>
    </w:rPr>
  </w:style>
  <w:style w:type="paragraph" w:styleId="9">
    <w:name w:val="footer"/>
    <w:basedOn w:val="1"/>
    <w:unhideWhenUsed/>
    <w:uiPriority w:val="0"/>
    <w:pPr>
      <w:tabs>
        <w:tab w:val="center" w:pos="4153"/>
        <w:tab w:val="right" w:pos="8306"/>
      </w:tabs>
      <w:snapToGrid w:val="0"/>
      <w:jc w:val="left"/>
    </w:pPr>
    <w:rPr>
      <w:sz w:val="18"/>
      <w:szCs w:val="20"/>
    </w:rPr>
  </w:style>
  <w:style w:type="paragraph" w:styleId="10">
    <w:name w:val="header"/>
    <w:basedOn w:val="1"/>
    <w:unhideWhenUsed/>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3">
    <w:name w:val="Table Theme"/>
    <w:basedOn w:val="11"/>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font81"/>
    <w:qFormat/>
    <w:uiPriority w:val="0"/>
    <w:rPr>
      <w:rFonts w:hint="default" w:ascii="微软简仿宋" w:hAnsi="微软简仿宋" w:eastAsia="微软简仿宋" w:cs="微软简仿宋"/>
      <w:color w:val="000000"/>
      <w:sz w:val="24"/>
      <w:szCs w:val="24"/>
      <w:u w:val="none"/>
    </w:rPr>
  </w:style>
  <w:style w:type="character" w:customStyle="1" w:styleId="16">
    <w:name w:val="font11"/>
    <w:uiPriority w:val="0"/>
    <w:rPr>
      <w:rFonts w:hint="default" w:ascii="微软简仿宋" w:hAnsi="微软简仿宋" w:eastAsia="微软简仿宋" w:cs="微软简仿宋"/>
      <w:color w:val="000000"/>
      <w:sz w:val="24"/>
      <w:szCs w:val="24"/>
      <w:u w:val="none"/>
    </w:rPr>
  </w:style>
  <w:style w:type="character" w:customStyle="1" w:styleId="17">
    <w:name w:val="font01"/>
    <w:uiPriority w:val="0"/>
    <w:rPr>
      <w:rFonts w:hint="default" w:ascii="Times New Roman" w:hAnsi="Times New Roman" w:cs="Times New Roman"/>
      <w:color w:val="000000"/>
      <w:sz w:val="24"/>
      <w:szCs w:val="24"/>
      <w:u w:val="none"/>
    </w:rPr>
  </w:style>
  <w:style w:type="character" w:customStyle="1" w:styleId="18">
    <w:name w:val="font51"/>
    <w:uiPriority w:val="0"/>
    <w:rPr>
      <w:rFonts w:hint="default" w:ascii="Times New Roman" w:hAnsi="Times New Roman" w:cs="Times New Roman"/>
      <w:color w:val="000000"/>
      <w:sz w:val="24"/>
      <w:szCs w:val="24"/>
      <w:u w:val="none"/>
    </w:rPr>
  </w:style>
  <w:style w:type="paragraph" w:customStyle="1" w:styleId="19">
    <w:name w:val="YJH-nei"/>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0">
    <w:name w:val="正文 A"/>
    <w:uiPriority w:val="0"/>
    <w:pPr>
      <w:widowControl w:val="0"/>
      <w:spacing w:line="560" w:lineRule="atLeast"/>
      <w:ind w:firstLine="640"/>
      <w:jc w:val="both"/>
    </w:pPr>
    <w:rPr>
      <w:rFonts w:ascii="Arial Unicode MS" w:hAnsi="Arial Unicode MS" w:eastAsia="宋体" w:cs="Arial Unicode MS"/>
      <w:color w:val="000000"/>
      <w:kern w:val="2"/>
      <w:sz w:val="32"/>
      <w:szCs w:val="32"/>
      <w:u w:color="000000"/>
      <w:lang w:val="en-US" w:eastAsia="zh-CN" w:bidi="ar-SA"/>
    </w:rPr>
  </w:style>
  <w:style w:type="paragraph" w:customStyle="1" w:styleId="21">
    <w:name w:val="p0"/>
    <w:basedOn w:val="1"/>
    <w:uiPriority w:val="0"/>
    <w:pPr>
      <w:widowControl/>
    </w:pPr>
    <w:rPr>
      <w:kern w:val="0"/>
      <w:szCs w:val="21"/>
    </w:rPr>
  </w:style>
  <w:style w:type="paragraph" w:customStyle="1" w:styleId="22">
    <w:name w:val="Defaul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3">
    <w:name w:val="Revision"/>
    <w:hidden/>
    <w:unhideWhenUsed/>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16</Pages>
  <Words>2571</Words>
  <Characters>14656</Characters>
  <Lines>122</Lines>
  <Paragraphs>34</Paragraphs>
  <TotalTime>8</TotalTime>
  <ScaleCrop>false</ScaleCrop>
  <LinksUpToDate>false</LinksUpToDate>
  <CharactersWithSpaces>17193</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2022-06-13T02:01:00Z</dcterms:created>
  <dc:creator>ylh</dc:creator>
  <cp:keywords>22Y6</cp:keywords>
  <cp:lastModifiedBy>李强</cp:lastModifiedBy>
  <dcterms:modified xsi:type="dcterms:W3CDTF">2022-06-15T06:54:08Z</dcterms:modified>
  <dc:title>华夏理财固定收益纯债型一年定开</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F665AB604087427AB68C2D237E20ECB1</vt:lpwstr>
  </property>
</Properties>
</file>