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5C9" w:rsidRPr="00A215C9" w:rsidRDefault="00896D1C" w:rsidP="00A215C9">
      <w:pPr>
        <w:adjustRightInd/>
        <w:snapToGrid/>
        <w:spacing w:after="0"/>
        <w:jc w:val="center"/>
        <w:rPr>
          <w:rFonts w:ascii="宋体" w:eastAsia="宋体" w:hAnsi="宋体" w:cs="宋体"/>
          <w:sz w:val="24"/>
          <w:szCs w:val="24"/>
        </w:rPr>
      </w:pPr>
      <w:r w:rsidRPr="00896D1C">
        <w:rPr>
          <w:rFonts w:ascii="宋体" w:eastAsia="宋体" w:hAnsi="宋体" w:cs="宋体" w:hint="eastAsia"/>
          <w:b/>
          <w:bCs/>
          <w:sz w:val="36"/>
        </w:rPr>
        <w:t>关于代销华夏理财固定收益</w:t>
      </w:r>
      <w:proofErr w:type="gramStart"/>
      <w:r w:rsidR="00B55C83">
        <w:rPr>
          <w:rFonts w:ascii="宋体" w:eastAsia="宋体" w:hAnsi="宋体" w:cs="宋体" w:hint="eastAsia"/>
          <w:b/>
          <w:bCs/>
          <w:sz w:val="36"/>
        </w:rPr>
        <w:t>纯债</w:t>
      </w:r>
      <w:r w:rsidRPr="00896D1C">
        <w:rPr>
          <w:rFonts w:ascii="宋体" w:eastAsia="宋体" w:hAnsi="宋体" w:cs="宋体" w:hint="eastAsia"/>
          <w:b/>
          <w:bCs/>
          <w:sz w:val="36"/>
        </w:rPr>
        <w:t>型</w:t>
      </w:r>
      <w:proofErr w:type="gramEnd"/>
      <w:r w:rsidR="00B55C83">
        <w:rPr>
          <w:rFonts w:ascii="宋体" w:eastAsia="宋体" w:hAnsi="宋体" w:cs="宋体" w:hint="eastAsia"/>
          <w:b/>
          <w:bCs/>
          <w:sz w:val="36"/>
        </w:rPr>
        <w:t>一年</w:t>
      </w:r>
      <w:r w:rsidRPr="00896D1C">
        <w:rPr>
          <w:rFonts w:ascii="宋体" w:eastAsia="宋体" w:hAnsi="宋体" w:cs="宋体" w:hint="eastAsia"/>
          <w:b/>
          <w:bCs/>
          <w:sz w:val="36"/>
        </w:rPr>
        <w:t>定开理财产品</w:t>
      </w:r>
      <w:r w:rsidR="00B55C83">
        <w:rPr>
          <w:rFonts w:ascii="宋体" w:eastAsia="宋体" w:hAnsi="宋体" w:cs="宋体" w:hint="eastAsia"/>
          <w:b/>
          <w:bCs/>
          <w:sz w:val="36"/>
        </w:rPr>
        <w:t>7</w:t>
      </w:r>
      <w:r w:rsidRPr="00896D1C">
        <w:rPr>
          <w:rFonts w:ascii="宋体" w:eastAsia="宋体" w:hAnsi="宋体" w:cs="宋体" w:hint="eastAsia"/>
          <w:b/>
          <w:bCs/>
          <w:sz w:val="36"/>
        </w:rPr>
        <w:t>号</w:t>
      </w:r>
      <w:r w:rsidR="00B55C83">
        <w:rPr>
          <w:rFonts w:ascii="宋体" w:eastAsia="宋体" w:hAnsi="宋体" w:cs="宋体" w:hint="eastAsia"/>
          <w:b/>
          <w:bCs/>
          <w:sz w:val="36"/>
        </w:rPr>
        <w:t>B</w:t>
      </w:r>
      <w:r w:rsidRPr="00896D1C">
        <w:rPr>
          <w:rFonts w:ascii="宋体" w:eastAsia="宋体" w:hAnsi="宋体" w:cs="宋体" w:hint="eastAsia"/>
          <w:b/>
          <w:bCs/>
          <w:sz w:val="36"/>
        </w:rPr>
        <w:t>的通知</w:t>
      </w:r>
    </w:p>
    <w:p w:rsidR="00A372BB" w:rsidRDefault="00A372BB" w:rsidP="00A215C9">
      <w:pPr>
        <w:adjustRightInd/>
        <w:snapToGrid/>
        <w:spacing w:after="0" w:line="555" w:lineRule="atLeast"/>
        <w:rPr>
          <w:rFonts w:ascii="仿宋_GB2312" w:eastAsia="仿宋_GB2312" w:hAnsi="微软雅黑" w:cs="宋体" w:hint="eastAsia"/>
          <w:color w:val="000000"/>
          <w:sz w:val="32"/>
          <w:szCs w:val="32"/>
        </w:rPr>
      </w:pPr>
    </w:p>
    <w:p w:rsidR="00A215C9" w:rsidRPr="00A215C9" w:rsidRDefault="00A215C9" w:rsidP="00A215C9">
      <w:pPr>
        <w:adjustRightInd/>
        <w:snapToGrid/>
        <w:spacing w:after="0"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D763B7" w:rsidRDefault="00A215C9" w:rsidP="00A215C9">
      <w:pPr>
        <w:adjustRightInd/>
        <w:snapToGrid/>
        <w:spacing w:after="0"/>
        <w:ind w:firstLine="630"/>
        <w:rPr>
          <w:rFonts w:ascii="仿宋_GB2312" w:eastAsia="仿宋_GB2312" w:hAnsi="微软雅黑" w:cs="宋体" w:hint="eastAsia"/>
          <w:color w:val="000000"/>
          <w:sz w:val="32"/>
          <w:szCs w:val="32"/>
        </w:rPr>
      </w:pPr>
      <w:r w:rsidRPr="00A215C9">
        <w:rPr>
          <w:rFonts w:ascii="仿宋_GB2312" w:eastAsia="仿宋_GB2312" w:hAnsi="微软雅黑" w:cs="宋体" w:hint="eastAsia"/>
          <w:color w:val="000000"/>
          <w:sz w:val="32"/>
          <w:szCs w:val="32"/>
        </w:rPr>
        <w:t>我行</w:t>
      </w:r>
      <w:r w:rsidR="004D106D">
        <w:rPr>
          <w:rFonts w:ascii="仿宋_GB2312" w:eastAsia="仿宋_GB2312" w:hAnsi="微软雅黑" w:cs="宋体" w:hint="eastAsia"/>
          <w:color w:val="000000"/>
          <w:sz w:val="32"/>
          <w:szCs w:val="32"/>
        </w:rPr>
        <w:t>将</w:t>
      </w:r>
      <w:r w:rsidRPr="00A215C9">
        <w:rPr>
          <w:rFonts w:ascii="仿宋_GB2312" w:eastAsia="仿宋_GB2312" w:hAnsi="微软雅黑" w:cs="宋体" w:hint="eastAsia"/>
          <w:color w:val="000000"/>
          <w:sz w:val="32"/>
          <w:szCs w:val="32"/>
        </w:rPr>
        <w:t>代销</w:t>
      </w:r>
      <w:r w:rsidRPr="0006322B">
        <w:rPr>
          <w:rFonts w:ascii="仿宋_GB2312" w:eastAsia="仿宋_GB2312" w:hAnsi="微软雅黑" w:cs="宋体" w:hint="eastAsia"/>
          <w:color w:val="FF0000"/>
          <w:sz w:val="32"/>
          <w:szCs w:val="32"/>
        </w:rPr>
        <w:t>华夏</w:t>
      </w:r>
      <w:r w:rsidR="0006322B"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06322B" w:rsidRPr="00B55C83">
        <w:rPr>
          <w:rFonts w:ascii="仿宋_GB2312" w:eastAsia="仿宋_GB2312" w:hAnsi="微软雅黑" w:cs="宋体" w:hint="eastAsia"/>
          <w:color w:val="000000"/>
          <w:sz w:val="32"/>
          <w:szCs w:val="32"/>
        </w:rPr>
        <w:t>固定收益</w:t>
      </w:r>
      <w:proofErr w:type="gramStart"/>
      <w:r w:rsidR="00B55C83" w:rsidRPr="00B55C83">
        <w:rPr>
          <w:rFonts w:ascii="仿宋_GB2312" w:eastAsia="仿宋_GB2312" w:hAnsi="微软雅黑" w:cs="宋体" w:hint="eastAsia"/>
          <w:color w:val="000000"/>
          <w:sz w:val="32"/>
          <w:szCs w:val="32"/>
        </w:rPr>
        <w:t>纯债</w:t>
      </w:r>
      <w:r w:rsidR="0006322B" w:rsidRPr="00B55C83">
        <w:rPr>
          <w:rFonts w:ascii="仿宋_GB2312" w:eastAsia="仿宋_GB2312" w:hAnsi="微软雅黑" w:cs="宋体" w:hint="eastAsia"/>
          <w:color w:val="000000"/>
          <w:sz w:val="32"/>
          <w:szCs w:val="32"/>
        </w:rPr>
        <w:t>型</w:t>
      </w:r>
      <w:proofErr w:type="gramEnd"/>
      <w:r w:rsidR="00B55C83" w:rsidRPr="00B55C83">
        <w:rPr>
          <w:rFonts w:ascii="仿宋_GB2312" w:eastAsia="仿宋_GB2312" w:hAnsi="微软雅黑" w:cs="宋体" w:hint="eastAsia"/>
          <w:color w:val="000000"/>
          <w:sz w:val="32"/>
          <w:szCs w:val="32"/>
        </w:rPr>
        <w:t>一年</w:t>
      </w:r>
      <w:r w:rsidR="00FE0475" w:rsidRPr="00B55C83">
        <w:rPr>
          <w:rFonts w:ascii="仿宋_GB2312" w:eastAsia="仿宋_GB2312" w:hAnsi="微软雅黑" w:cs="宋体" w:hint="eastAsia"/>
          <w:color w:val="000000"/>
          <w:sz w:val="32"/>
          <w:szCs w:val="32"/>
        </w:rPr>
        <w:t>定开理财产品</w:t>
      </w:r>
      <w:r w:rsidR="00B55C83" w:rsidRPr="00B55C83">
        <w:rPr>
          <w:rFonts w:ascii="仿宋_GB2312" w:eastAsia="仿宋_GB2312" w:hAnsi="微软雅黑" w:cs="宋体" w:hint="eastAsia"/>
          <w:color w:val="000000"/>
          <w:sz w:val="32"/>
          <w:szCs w:val="32"/>
        </w:rPr>
        <w:t>7</w:t>
      </w:r>
      <w:r w:rsidR="00FE0475" w:rsidRPr="00B55C83">
        <w:rPr>
          <w:rFonts w:ascii="仿宋_GB2312" w:eastAsia="仿宋_GB2312" w:hAnsi="微软雅黑" w:cs="宋体" w:hint="eastAsia"/>
          <w:color w:val="000000"/>
          <w:sz w:val="32"/>
          <w:szCs w:val="32"/>
        </w:rPr>
        <w:t>号</w:t>
      </w:r>
      <w:r w:rsidR="00B55C83" w:rsidRPr="00B55C83">
        <w:rPr>
          <w:rFonts w:ascii="仿宋_GB2312" w:eastAsia="仿宋_GB2312" w:hAnsi="微软雅黑" w:cs="宋体" w:hint="eastAsia"/>
          <w:color w:val="000000"/>
          <w:sz w:val="32"/>
          <w:szCs w:val="32"/>
        </w:rPr>
        <w:t>B，本产品募集期为</w:t>
      </w:r>
      <w:r w:rsidR="00B55C83" w:rsidRPr="00B55C83">
        <w:rPr>
          <w:rFonts w:ascii="仿宋_GB2312" w:eastAsia="仿宋_GB2312" w:hAnsi="微软雅黑" w:cs="宋体" w:hint="eastAsia"/>
          <w:color w:val="000000"/>
          <w:sz w:val="32"/>
          <w:szCs w:val="32"/>
        </w:rPr>
        <w:t>2022年</w:t>
      </w:r>
      <w:r w:rsidR="00B55C83" w:rsidRPr="00B55C83">
        <w:rPr>
          <w:rFonts w:ascii="仿宋_GB2312" w:eastAsia="仿宋_GB2312" w:hAnsi="微软雅黑" w:cs="宋体"/>
          <w:color w:val="000000"/>
          <w:sz w:val="32"/>
          <w:szCs w:val="32"/>
        </w:rPr>
        <w:t>6</w:t>
      </w:r>
      <w:r w:rsidR="00B55C83" w:rsidRPr="00B55C83">
        <w:rPr>
          <w:rFonts w:ascii="仿宋_GB2312" w:eastAsia="仿宋_GB2312" w:hAnsi="微软雅黑" w:cs="宋体" w:hint="eastAsia"/>
          <w:color w:val="000000"/>
          <w:sz w:val="32"/>
          <w:szCs w:val="32"/>
        </w:rPr>
        <w:t>月</w:t>
      </w:r>
      <w:r w:rsidR="00B55C83" w:rsidRPr="00B55C83">
        <w:rPr>
          <w:rFonts w:ascii="仿宋_GB2312" w:eastAsia="仿宋_GB2312" w:hAnsi="微软雅黑" w:cs="宋体"/>
          <w:color w:val="000000"/>
          <w:sz w:val="32"/>
          <w:szCs w:val="32"/>
        </w:rPr>
        <w:t>17</w:t>
      </w:r>
      <w:r w:rsidR="00B55C83" w:rsidRPr="00B55C83">
        <w:rPr>
          <w:rFonts w:ascii="仿宋_GB2312" w:eastAsia="仿宋_GB2312" w:hAnsi="微软雅黑" w:cs="宋体" w:hint="eastAsia"/>
          <w:color w:val="000000"/>
          <w:sz w:val="32"/>
          <w:szCs w:val="32"/>
        </w:rPr>
        <w:t>日</w:t>
      </w:r>
      <w:r w:rsidR="004D106D">
        <w:rPr>
          <w:rFonts w:ascii="仿宋_GB2312" w:eastAsia="仿宋_GB2312" w:hAnsi="微软雅黑" w:cs="宋体" w:hint="eastAsia"/>
          <w:color w:val="000000"/>
          <w:sz w:val="32"/>
          <w:szCs w:val="32"/>
        </w:rPr>
        <w:t>9：00至</w:t>
      </w:r>
      <w:r w:rsidR="00B55C83" w:rsidRPr="00B55C83">
        <w:rPr>
          <w:rFonts w:ascii="仿宋_GB2312" w:eastAsia="仿宋_GB2312" w:hAnsi="微软雅黑" w:cs="宋体" w:hint="eastAsia"/>
          <w:color w:val="000000"/>
          <w:sz w:val="32"/>
          <w:szCs w:val="32"/>
        </w:rPr>
        <w:t>2022年</w:t>
      </w:r>
      <w:r w:rsidR="00B55C83" w:rsidRPr="00B55C83">
        <w:rPr>
          <w:rFonts w:ascii="仿宋_GB2312" w:eastAsia="仿宋_GB2312" w:hAnsi="微软雅黑" w:cs="宋体"/>
          <w:color w:val="000000"/>
          <w:sz w:val="32"/>
          <w:szCs w:val="32"/>
        </w:rPr>
        <w:t>6</w:t>
      </w:r>
      <w:r w:rsidR="00B55C83" w:rsidRPr="00B55C83">
        <w:rPr>
          <w:rFonts w:ascii="仿宋_GB2312" w:eastAsia="仿宋_GB2312" w:hAnsi="微软雅黑" w:cs="宋体" w:hint="eastAsia"/>
          <w:color w:val="000000"/>
          <w:sz w:val="32"/>
          <w:szCs w:val="32"/>
        </w:rPr>
        <w:t>月</w:t>
      </w:r>
      <w:r w:rsidR="00B55C83" w:rsidRPr="00B55C83">
        <w:rPr>
          <w:rFonts w:ascii="仿宋_GB2312" w:eastAsia="仿宋_GB2312" w:hAnsi="微软雅黑" w:cs="宋体"/>
          <w:color w:val="000000"/>
          <w:sz w:val="32"/>
          <w:szCs w:val="32"/>
        </w:rPr>
        <w:t>23</w:t>
      </w:r>
      <w:r w:rsidR="00B55C83" w:rsidRPr="00B55C83">
        <w:rPr>
          <w:rFonts w:ascii="仿宋_GB2312" w:eastAsia="仿宋_GB2312" w:hAnsi="微软雅黑" w:cs="宋体" w:hint="eastAsia"/>
          <w:color w:val="000000"/>
          <w:sz w:val="32"/>
          <w:szCs w:val="32"/>
        </w:rPr>
        <w:t>日</w:t>
      </w:r>
      <w:r w:rsidR="004D106D">
        <w:rPr>
          <w:rFonts w:ascii="仿宋_GB2312" w:eastAsia="仿宋_GB2312" w:hAnsi="微软雅黑" w:cs="宋体" w:hint="eastAsia"/>
          <w:color w:val="000000"/>
          <w:sz w:val="32"/>
          <w:szCs w:val="32"/>
        </w:rPr>
        <w:t>17：00</w:t>
      </w:r>
      <w:r w:rsidR="00B55C83" w:rsidRPr="00B55C83">
        <w:rPr>
          <w:rFonts w:ascii="仿宋_GB2312" w:eastAsia="仿宋_GB2312" w:hAnsi="微软雅黑" w:cs="宋体" w:hint="eastAsia"/>
          <w:color w:val="000000"/>
          <w:sz w:val="32"/>
          <w:szCs w:val="32"/>
        </w:rPr>
        <w:t>，</w:t>
      </w:r>
      <w:r w:rsidR="002235BC">
        <w:rPr>
          <w:rFonts w:ascii="仿宋_GB2312" w:eastAsia="仿宋_GB2312" w:hAnsi="微软雅黑" w:cs="宋体" w:hint="eastAsia"/>
          <w:color w:val="000000"/>
          <w:sz w:val="32"/>
          <w:szCs w:val="32"/>
        </w:rPr>
        <w:t>目前只在</w:t>
      </w:r>
      <w:r w:rsidR="002235BC" w:rsidRPr="004D106D">
        <w:rPr>
          <w:rFonts w:ascii="仿宋_GB2312" w:eastAsia="仿宋_GB2312" w:hAnsi="微软雅黑" w:cs="宋体" w:hint="eastAsia"/>
          <w:color w:val="FF0000"/>
          <w:sz w:val="32"/>
          <w:szCs w:val="32"/>
        </w:rPr>
        <w:t>手机银行</w:t>
      </w:r>
      <w:r w:rsidR="00174CF3">
        <w:rPr>
          <w:rFonts w:ascii="仿宋_GB2312" w:eastAsia="仿宋_GB2312" w:hAnsi="微软雅黑" w:cs="宋体" w:hint="eastAsia"/>
          <w:color w:val="000000"/>
          <w:sz w:val="32"/>
          <w:szCs w:val="32"/>
        </w:rPr>
        <w:t>进行申购和赎回</w:t>
      </w:r>
      <w:r w:rsidRPr="00A215C9">
        <w:rPr>
          <w:rFonts w:ascii="仿宋_GB2312" w:eastAsia="仿宋_GB2312" w:hAnsi="微软雅黑" w:cs="宋体" w:hint="eastAsia"/>
          <w:color w:val="000000"/>
          <w:sz w:val="32"/>
          <w:szCs w:val="32"/>
        </w:rPr>
        <w:t>。</w:t>
      </w:r>
      <w:r w:rsidR="00B55C83" w:rsidRPr="00B55C83">
        <w:rPr>
          <w:rFonts w:ascii="仿宋_GB2312" w:eastAsia="仿宋_GB2312" w:hAnsi="微软雅黑" w:cs="宋体" w:hint="eastAsia"/>
          <w:color w:val="000000"/>
          <w:sz w:val="32"/>
          <w:szCs w:val="32"/>
        </w:rPr>
        <w:t>开放期/开放日为产品成立后每年</w:t>
      </w:r>
      <w:r w:rsidR="00B55C83" w:rsidRPr="00B55C83">
        <w:rPr>
          <w:rFonts w:ascii="仿宋_GB2312" w:eastAsia="仿宋_GB2312" w:hAnsi="微软雅黑" w:cs="宋体"/>
          <w:color w:val="000000"/>
          <w:sz w:val="32"/>
          <w:szCs w:val="32"/>
        </w:rPr>
        <w:t>6</w:t>
      </w:r>
      <w:r w:rsidR="00B55C83" w:rsidRPr="00B55C83">
        <w:rPr>
          <w:rFonts w:ascii="仿宋_GB2312" w:eastAsia="仿宋_GB2312" w:hAnsi="微软雅黑" w:cs="宋体" w:hint="eastAsia"/>
          <w:color w:val="000000"/>
          <w:sz w:val="32"/>
          <w:szCs w:val="32"/>
        </w:rPr>
        <w:t>月</w:t>
      </w:r>
      <w:r w:rsidR="00B55C83" w:rsidRPr="00B55C83">
        <w:rPr>
          <w:rFonts w:ascii="仿宋_GB2312" w:eastAsia="仿宋_GB2312" w:hAnsi="微软雅黑" w:cs="宋体"/>
          <w:color w:val="000000"/>
          <w:sz w:val="32"/>
          <w:szCs w:val="32"/>
        </w:rPr>
        <w:t>17</w:t>
      </w:r>
      <w:r w:rsidR="00B55C83" w:rsidRPr="00B55C83">
        <w:rPr>
          <w:rFonts w:ascii="仿宋_GB2312" w:eastAsia="仿宋_GB2312" w:hAnsi="微软雅黑" w:cs="宋体" w:hint="eastAsia"/>
          <w:color w:val="000000"/>
          <w:sz w:val="32"/>
          <w:szCs w:val="32"/>
        </w:rPr>
        <w:t>日（含）起连续3个工作日，开放期/开放日</w:t>
      </w:r>
      <w:proofErr w:type="gramStart"/>
      <w:r w:rsidR="00B55C83" w:rsidRPr="00B55C83">
        <w:rPr>
          <w:rFonts w:ascii="仿宋_GB2312" w:eastAsia="仿宋_GB2312" w:hAnsi="微软雅黑" w:cs="宋体" w:hint="eastAsia"/>
          <w:color w:val="000000"/>
          <w:sz w:val="32"/>
          <w:szCs w:val="32"/>
        </w:rPr>
        <w:t>如遇非工作日</w:t>
      </w:r>
      <w:proofErr w:type="gramEnd"/>
      <w:r w:rsidR="00B55C83" w:rsidRPr="00B55C83">
        <w:rPr>
          <w:rFonts w:ascii="仿宋_GB2312" w:eastAsia="仿宋_GB2312" w:hAnsi="微软雅黑" w:cs="宋体" w:hint="eastAsia"/>
          <w:color w:val="000000"/>
          <w:sz w:val="32"/>
          <w:szCs w:val="32"/>
        </w:rPr>
        <w:t>则顺延至下一个工作日。</w:t>
      </w:r>
      <w:r w:rsidR="00AB6BA4" w:rsidRPr="003C1D41">
        <w:rPr>
          <w:rFonts w:ascii="仿宋_GB2312" w:eastAsia="仿宋_GB2312" w:hAnsi="微软雅黑" w:cs="宋体" w:hint="eastAsia"/>
          <w:b/>
          <w:color w:val="FF0000"/>
          <w:sz w:val="32"/>
          <w:szCs w:val="32"/>
        </w:rPr>
        <w:t>开放期</w:t>
      </w:r>
      <w:proofErr w:type="gramStart"/>
      <w:r w:rsidR="00AB6BA4" w:rsidRPr="003C1D41">
        <w:rPr>
          <w:rFonts w:ascii="仿宋_GB2312" w:eastAsia="仿宋_GB2312" w:hAnsi="微软雅黑" w:cs="宋体" w:hint="eastAsia"/>
          <w:b/>
          <w:color w:val="FF0000"/>
          <w:sz w:val="32"/>
          <w:szCs w:val="32"/>
        </w:rPr>
        <w:t>内客户</w:t>
      </w:r>
      <w:proofErr w:type="gramEnd"/>
      <w:r w:rsidR="00AB6BA4" w:rsidRPr="003C1D41">
        <w:rPr>
          <w:rFonts w:ascii="仿宋_GB2312" w:eastAsia="仿宋_GB2312" w:hAnsi="微软雅黑" w:cs="宋体" w:hint="eastAsia"/>
          <w:b/>
          <w:color w:val="FF0000"/>
          <w:sz w:val="32"/>
          <w:szCs w:val="32"/>
        </w:rPr>
        <w:t>如</w:t>
      </w:r>
      <w:proofErr w:type="gramStart"/>
      <w:r w:rsidR="00AB6BA4" w:rsidRPr="003C1D41">
        <w:rPr>
          <w:rFonts w:ascii="仿宋_GB2312" w:eastAsia="仿宋_GB2312" w:hAnsi="微软雅黑" w:cs="宋体" w:hint="eastAsia"/>
          <w:b/>
          <w:color w:val="FF0000"/>
          <w:sz w:val="32"/>
          <w:szCs w:val="32"/>
        </w:rPr>
        <w:t>不</w:t>
      </w:r>
      <w:proofErr w:type="gramEnd"/>
      <w:r w:rsidR="00AB6BA4" w:rsidRPr="003C1D41">
        <w:rPr>
          <w:rFonts w:ascii="仿宋_GB2312" w:eastAsia="仿宋_GB2312" w:hAnsi="微软雅黑" w:cs="宋体" w:hint="eastAsia"/>
          <w:b/>
          <w:color w:val="FF0000"/>
          <w:sz w:val="32"/>
          <w:szCs w:val="32"/>
        </w:rPr>
        <w:t>赎回，将自动滚入下一个周期。</w:t>
      </w:r>
      <w:r w:rsidR="00610019">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r w:rsidR="00610019" w:rsidRPr="00A215C9">
        <w:rPr>
          <w:rFonts w:ascii="仿宋_GB2312" w:eastAsia="仿宋_GB2312" w:hAnsi="微软雅黑" w:cs="宋体" w:hint="eastAsia"/>
          <w:color w:val="000000"/>
          <w:sz w:val="32"/>
          <w:szCs w:val="32"/>
        </w:rPr>
        <w:t>：</w:t>
      </w:r>
    </w:p>
    <w:tbl>
      <w:tblPr>
        <w:tblW w:w="9134"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30"/>
        <w:gridCol w:w="7404"/>
      </w:tblGrid>
      <w:tr w:rsidR="004D106D" w:rsidTr="00953E3C">
        <w:trPr>
          <w:trHeight w:val="392"/>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产品名称</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
                <w:bCs/>
                <w:szCs w:val="21"/>
              </w:rPr>
            </w:pPr>
            <w:r>
              <w:rPr>
                <w:rFonts w:ascii="仿宋" w:eastAsia="仿宋" w:hAnsi="仿宋" w:hint="eastAsia"/>
                <w:b/>
                <w:bCs/>
                <w:szCs w:val="21"/>
              </w:rPr>
              <w:t>华夏理财固定收益</w:t>
            </w:r>
            <w:proofErr w:type="gramStart"/>
            <w:r>
              <w:rPr>
                <w:rFonts w:ascii="仿宋" w:eastAsia="仿宋" w:hAnsi="仿宋" w:hint="eastAsia"/>
                <w:b/>
                <w:bCs/>
                <w:szCs w:val="21"/>
              </w:rPr>
              <w:t>纯债型</w:t>
            </w:r>
            <w:proofErr w:type="gramEnd"/>
            <w:r>
              <w:rPr>
                <w:rFonts w:ascii="仿宋" w:eastAsia="仿宋" w:hAnsi="仿宋" w:hint="eastAsia"/>
                <w:b/>
                <w:bCs/>
                <w:szCs w:val="21"/>
              </w:rPr>
              <w:t>一年定开理财产品</w:t>
            </w:r>
            <w:r>
              <w:rPr>
                <w:rFonts w:ascii="仿宋" w:eastAsia="仿宋" w:hAnsi="仿宋"/>
                <w:b/>
                <w:bCs/>
                <w:szCs w:val="21"/>
              </w:rPr>
              <w:t>7</w:t>
            </w:r>
            <w:r>
              <w:rPr>
                <w:rFonts w:ascii="仿宋" w:eastAsia="仿宋" w:hAnsi="仿宋" w:hint="eastAsia"/>
                <w:b/>
                <w:bCs/>
                <w:szCs w:val="21"/>
              </w:rPr>
              <w:t>号</w:t>
            </w:r>
          </w:p>
          <w:p w:rsidR="004D106D" w:rsidRDefault="004D106D" w:rsidP="00953E3C">
            <w:pPr>
              <w:spacing w:line="240" w:lineRule="atLeast"/>
              <w:jc w:val="center"/>
              <w:rPr>
                <w:rFonts w:ascii="仿宋" w:eastAsia="仿宋" w:hAnsi="仿宋"/>
                <w:b/>
                <w:bCs/>
                <w:szCs w:val="21"/>
              </w:rPr>
            </w:pPr>
            <w:r>
              <w:rPr>
                <w:rFonts w:ascii="仿宋" w:eastAsia="仿宋" w:hAnsi="仿宋" w:hint="eastAsia"/>
                <w:b/>
                <w:bCs/>
                <w:szCs w:val="21"/>
              </w:rPr>
              <w:t>B份额简称：“华夏理财固收纯债一年定开</w:t>
            </w:r>
            <w:r>
              <w:rPr>
                <w:rFonts w:ascii="仿宋" w:eastAsia="仿宋" w:hAnsi="仿宋"/>
                <w:b/>
                <w:bCs/>
                <w:szCs w:val="21"/>
              </w:rPr>
              <w:t>7</w:t>
            </w:r>
            <w:r>
              <w:rPr>
                <w:rFonts w:ascii="仿宋" w:eastAsia="仿宋" w:hAnsi="仿宋" w:hint="eastAsia"/>
                <w:b/>
                <w:bCs/>
                <w:szCs w:val="21"/>
              </w:rPr>
              <w:t>号B”</w:t>
            </w:r>
          </w:p>
        </w:tc>
      </w:tr>
      <w:tr w:rsidR="004D106D" w:rsidTr="00953E3C">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产品代码</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Pr="004D106D" w:rsidRDefault="004D106D" w:rsidP="00953E3C">
            <w:pPr>
              <w:spacing w:line="240" w:lineRule="atLeast"/>
              <w:jc w:val="center"/>
              <w:rPr>
                <w:rFonts w:ascii="仿宋" w:eastAsia="仿宋" w:hAnsi="仿宋"/>
                <w:bCs/>
                <w:szCs w:val="21"/>
                <w:highlight w:val="lightGray"/>
              </w:rPr>
            </w:pPr>
            <w:r>
              <w:rPr>
                <w:rFonts w:ascii="仿宋" w:eastAsia="仿宋" w:hAnsi="仿宋"/>
                <w:bCs/>
                <w:szCs w:val="21"/>
              </w:rPr>
              <w:t>21113307</w:t>
            </w:r>
          </w:p>
        </w:tc>
      </w:tr>
      <w:tr w:rsidR="004D106D" w:rsidTr="00953E3C">
        <w:trPr>
          <w:trHeight w:val="412"/>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销售代码</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Pr="004D106D" w:rsidRDefault="004D106D" w:rsidP="00953E3C">
            <w:pPr>
              <w:spacing w:line="240" w:lineRule="atLeast"/>
              <w:jc w:val="center"/>
              <w:rPr>
                <w:rFonts w:ascii="仿宋" w:eastAsia="仿宋" w:hAnsi="仿宋"/>
                <w:bCs/>
                <w:szCs w:val="21"/>
                <w:highlight w:val="lightGray"/>
              </w:rPr>
            </w:pPr>
            <w:r>
              <w:rPr>
                <w:rFonts w:ascii="仿宋" w:eastAsia="仿宋" w:hAnsi="仿宋" w:hint="eastAsia"/>
                <w:bCs/>
                <w:szCs w:val="21"/>
              </w:rPr>
              <w:t>B份额代码：</w:t>
            </w:r>
            <w:r>
              <w:rPr>
                <w:rFonts w:ascii="仿宋" w:eastAsia="仿宋" w:hAnsi="仿宋"/>
                <w:bCs/>
                <w:szCs w:val="21"/>
              </w:rPr>
              <w:t>21113307</w:t>
            </w:r>
            <w:r>
              <w:rPr>
                <w:rFonts w:ascii="仿宋" w:eastAsia="仿宋" w:hAnsi="仿宋" w:hint="eastAsia"/>
                <w:bCs/>
                <w:szCs w:val="21"/>
              </w:rPr>
              <w:t>B（招商银行销售代码：HX02020</w:t>
            </w:r>
            <w:r>
              <w:rPr>
                <w:rFonts w:ascii="仿宋" w:eastAsia="仿宋" w:hAnsi="仿宋"/>
                <w:bCs/>
                <w:szCs w:val="21"/>
              </w:rPr>
              <w:t>8</w:t>
            </w:r>
            <w:r>
              <w:rPr>
                <w:rFonts w:ascii="仿宋" w:eastAsia="仿宋" w:hAnsi="仿宋" w:hint="eastAsia"/>
                <w:bCs/>
                <w:szCs w:val="21"/>
              </w:rPr>
              <w:t>）</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全国银行业理财信息登记系统登记编码</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Z7003921000487</w:t>
            </w:r>
          </w:p>
          <w:p w:rsidR="004D106D" w:rsidRPr="004D106D" w:rsidRDefault="004D106D" w:rsidP="00953E3C">
            <w:pPr>
              <w:spacing w:line="240" w:lineRule="atLeast"/>
              <w:jc w:val="center"/>
              <w:rPr>
                <w:rFonts w:ascii="仿宋" w:eastAsia="仿宋" w:hAnsi="仿宋"/>
                <w:bCs/>
                <w:szCs w:val="21"/>
                <w:highlight w:val="lightGray"/>
              </w:rPr>
            </w:pPr>
            <w:r>
              <w:rPr>
                <w:rFonts w:ascii="仿宋" w:eastAsia="仿宋" w:hAnsi="仿宋" w:hint="eastAsia"/>
                <w:bCs/>
                <w:szCs w:val="21"/>
              </w:rPr>
              <w:t>投资者可以依据该登记编码在中国理财网（www.chinawealth.com.cn）查询产品信息</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产品管理人</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华夏理财</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产品募集方式</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公募</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产品运作模式</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开放式净值型</w:t>
            </w:r>
          </w:p>
        </w:tc>
      </w:tr>
      <w:tr w:rsidR="004D106D" w:rsidTr="00953E3C">
        <w:trPr>
          <w:trHeight w:val="90"/>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产品投资性质</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固定收益类</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产品收益</w:t>
            </w:r>
            <w:r>
              <w:rPr>
                <w:rFonts w:ascii="仿宋" w:eastAsia="仿宋" w:hAnsi="仿宋"/>
                <w:bCs/>
                <w:szCs w:val="21"/>
              </w:rPr>
              <w:t>类型</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非保本浮动收益</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投资及收益币种</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人民币</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产品风险评级</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szCs w:val="21"/>
              </w:rPr>
            </w:pPr>
            <w:r>
              <w:rPr>
                <w:rFonts w:ascii="仿宋" w:eastAsia="仿宋" w:hAnsi="仿宋"/>
                <w:bCs/>
                <w:szCs w:val="21"/>
              </w:rPr>
              <w:t>根据华夏</w:t>
            </w:r>
            <w:r>
              <w:rPr>
                <w:rFonts w:ascii="仿宋" w:eastAsia="仿宋" w:hAnsi="仿宋" w:hint="eastAsia"/>
                <w:bCs/>
                <w:szCs w:val="21"/>
              </w:rPr>
              <w:t>理财</w:t>
            </w:r>
            <w:r>
              <w:rPr>
                <w:rFonts w:ascii="仿宋" w:eastAsia="仿宋" w:hAnsi="仿宋"/>
                <w:bCs/>
                <w:szCs w:val="21"/>
              </w:rPr>
              <w:t>产品风险评级，本产品为</w:t>
            </w:r>
            <w:r>
              <w:rPr>
                <w:rFonts w:ascii="仿宋" w:eastAsia="仿宋" w:hAnsi="仿宋"/>
                <w:bCs/>
                <w:szCs w:val="21"/>
                <w:u w:val="single"/>
              </w:rPr>
              <w:t xml:space="preserve"> </w:t>
            </w:r>
            <w:r>
              <w:rPr>
                <w:rFonts w:ascii="仿宋" w:eastAsia="仿宋" w:hAnsi="仿宋" w:hint="eastAsia"/>
                <w:bCs/>
                <w:szCs w:val="21"/>
                <w:u w:val="single"/>
              </w:rPr>
              <w:t>PR2级（中低风险）</w:t>
            </w:r>
            <w:r>
              <w:rPr>
                <w:rFonts w:ascii="仿宋" w:eastAsia="仿宋" w:hAnsi="仿宋"/>
                <w:bCs/>
                <w:szCs w:val="21"/>
                <w:u w:val="single"/>
              </w:rPr>
              <w:t xml:space="preserve"> </w:t>
            </w:r>
            <w:r>
              <w:rPr>
                <w:rFonts w:ascii="仿宋" w:eastAsia="仿宋" w:hAnsi="仿宋"/>
                <w:bCs/>
                <w:szCs w:val="21"/>
              </w:rPr>
              <w:t>理财产品。</w:t>
            </w:r>
          </w:p>
          <w:p w:rsidR="004D106D" w:rsidRDefault="004D106D" w:rsidP="004D106D">
            <w:pPr>
              <w:spacing w:line="240" w:lineRule="atLeast"/>
              <w:ind w:firstLineChars="200" w:firstLine="440"/>
              <w:rPr>
                <w:rFonts w:ascii="仿宋" w:eastAsia="仿宋" w:hAnsi="仿宋"/>
                <w:bCs/>
                <w:szCs w:val="21"/>
              </w:rPr>
            </w:pPr>
            <w:r>
              <w:rPr>
                <w:rFonts w:ascii="仿宋" w:eastAsia="仿宋" w:hAnsi="仿宋"/>
                <w:bCs/>
                <w:szCs w:val="21"/>
              </w:rPr>
              <w:t>理财产品风险</w:t>
            </w:r>
            <w:r>
              <w:rPr>
                <w:rFonts w:ascii="仿宋" w:eastAsia="仿宋" w:hAnsi="仿宋" w:hint="eastAsia"/>
                <w:bCs/>
                <w:szCs w:val="21"/>
              </w:rPr>
              <w:t>评</w:t>
            </w:r>
            <w:r>
              <w:rPr>
                <w:rFonts w:ascii="仿宋" w:eastAsia="仿宋" w:hAnsi="仿宋"/>
                <w:bCs/>
                <w:szCs w:val="21"/>
              </w:rPr>
              <w:t>级</w:t>
            </w:r>
            <w:r>
              <w:rPr>
                <w:rFonts w:ascii="仿宋" w:eastAsia="仿宋" w:hAnsi="仿宋" w:hint="eastAsia"/>
                <w:bCs/>
                <w:szCs w:val="21"/>
              </w:rPr>
              <w:t>分</w:t>
            </w:r>
            <w:r>
              <w:rPr>
                <w:rFonts w:ascii="仿宋" w:eastAsia="仿宋" w:hAnsi="仿宋"/>
                <w:bCs/>
                <w:szCs w:val="21"/>
              </w:rPr>
              <w:t>为：</w:t>
            </w:r>
            <w:r>
              <w:rPr>
                <w:rFonts w:ascii="仿宋" w:eastAsia="仿宋" w:hAnsi="仿宋" w:hint="eastAsia"/>
                <w:bCs/>
                <w:szCs w:val="21"/>
              </w:rPr>
              <w:t>PR1级（低风险）、PR2级（中低风险）、PR3级（中等风险）、PR4级（中高风险）、PR5级（高风险）</w:t>
            </w:r>
            <w:r>
              <w:rPr>
                <w:rFonts w:ascii="仿宋" w:eastAsia="仿宋" w:hAnsi="仿宋"/>
                <w:bCs/>
                <w:szCs w:val="21"/>
              </w:rPr>
              <w:t>。</w:t>
            </w:r>
          </w:p>
          <w:p w:rsidR="004D106D" w:rsidRDefault="004D106D" w:rsidP="004D106D">
            <w:pPr>
              <w:spacing w:line="240" w:lineRule="atLeast"/>
              <w:ind w:firstLineChars="200" w:firstLine="442"/>
              <w:rPr>
                <w:rFonts w:ascii="仿宋" w:eastAsia="仿宋" w:hAnsi="仿宋" w:hint="eastAsia"/>
                <w:b/>
                <w:bCs/>
                <w:szCs w:val="21"/>
              </w:rPr>
            </w:pPr>
            <w:r>
              <w:rPr>
                <w:rFonts w:ascii="仿宋" w:eastAsia="仿宋" w:hAnsi="仿宋" w:hint="eastAsia"/>
                <w:b/>
                <w:bCs/>
                <w:szCs w:val="21"/>
              </w:rPr>
              <w:t>本理财产品风险评级为华夏理财自主评定，仅供参考。</w:t>
            </w:r>
          </w:p>
          <w:p w:rsidR="004D106D" w:rsidRDefault="004D106D" w:rsidP="004D106D">
            <w:pPr>
              <w:spacing w:line="240" w:lineRule="atLeast"/>
              <w:ind w:firstLineChars="200" w:firstLine="442"/>
              <w:rPr>
                <w:rFonts w:ascii="仿宋" w:eastAsia="仿宋" w:hAnsi="仿宋"/>
                <w:b/>
                <w:bCs/>
                <w:szCs w:val="21"/>
              </w:rPr>
            </w:pPr>
            <w:r w:rsidRPr="003059D5">
              <w:rPr>
                <w:rFonts w:ascii="仿宋" w:eastAsia="仿宋" w:hAnsi="仿宋" w:hint="eastAsia"/>
                <w:b/>
                <w:color w:val="FF0000"/>
              </w:rPr>
              <w:lastRenderedPageBreak/>
              <w:t>紫金农商银行对本产品的风险评级为中低风险</w:t>
            </w:r>
            <w:r w:rsidRPr="003059D5">
              <w:rPr>
                <w:rFonts w:ascii="仿宋" w:eastAsia="仿宋" w:hAnsi="仿宋"/>
                <w:b/>
                <w:color w:val="FF0000"/>
              </w:rPr>
              <w:t>。</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300" w:lineRule="exact"/>
              <w:jc w:val="center"/>
              <w:rPr>
                <w:rFonts w:ascii="仿宋" w:eastAsia="仿宋" w:hAnsi="仿宋"/>
                <w:bCs/>
                <w:szCs w:val="21"/>
              </w:rPr>
            </w:pPr>
            <w:r>
              <w:rPr>
                <w:rFonts w:ascii="仿宋" w:eastAsia="仿宋" w:hAnsi="仿宋" w:hint="eastAsia"/>
                <w:bCs/>
                <w:szCs w:val="21"/>
              </w:rPr>
              <w:lastRenderedPageBreak/>
              <w:t>产品销售评级</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300" w:lineRule="exact"/>
              <w:ind w:firstLineChars="200" w:firstLine="440"/>
              <w:rPr>
                <w:rFonts w:ascii="仿宋" w:eastAsia="仿宋" w:hAnsi="仿宋"/>
                <w:bCs/>
                <w:szCs w:val="21"/>
              </w:rPr>
            </w:pPr>
            <w:r>
              <w:rPr>
                <w:rFonts w:ascii="仿宋" w:eastAsia="仿宋" w:hAnsi="仿宋" w:hint="eastAsia"/>
                <w:bCs/>
                <w:szCs w:val="21"/>
              </w:rPr>
              <w:t>本理财产品通过代理销售机构（以下简称“代销机构”）渠道销售的，理财产品评级应当以代销机构最终披露的评级结果为准。代销机构</w:t>
            </w:r>
            <w:r>
              <w:rPr>
                <w:rFonts w:ascii="仿宋" w:eastAsia="仿宋" w:hAnsi="仿宋" w:hint="eastAsia"/>
                <w:szCs w:val="21"/>
              </w:rPr>
              <w:t>如与华夏理财评级结果不一致，应当采用对应较高风险等级的评级结果</w:t>
            </w:r>
            <w:r>
              <w:rPr>
                <w:rFonts w:ascii="仿宋" w:eastAsia="仿宋" w:hAnsi="仿宋"/>
                <w:b/>
                <w:bCs/>
                <w:szCs w:val="21"/>
              </w:rPr>
              <w:t>。</w:t>
            </w:r>
          </w:p>
        </w:tc>
      </w:tr>
      <w:tr w:rsidR="004D106D" w:rsidTr="00953E3C">
        <w:trPr>
          <w:jc w:val="center"/>
        </w:trPr>
        <w:tc>
          <w:tcPr>
            <w:tcW w:w="1730" w:type="dxa"/>
            <w:tcBorders>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销售</w:t>
            </w:r>
            <w:r>
              <w:rPr>
                <w:rFonts w:ascii="仿宋" w:eastAsia="仿宋" w:hAnsi="仿宋"/>
                <w:bCs/>
                <w:szCs w:val="21"/>
              </w:rPr>
              <w:t>对象</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bCs/>
                <w:szCs w:val="21"/>
              </w:rPr>
              <w:t>个人投资</w:t>
            </w:r>
            <w:r>
              <w:rPr>
                <w:rFonts w:ascii="仿宋" w:eastAsia="仿宋" w:hAnsi="仿宋"/>
                <w:bCs/>
                <w:szCs w:val="21"/>
              </w:rPr>
              <w:t>者</w:t>
            </w:r>
            <w:r>
              <w:rPr>
                <w:rFonts w:ascii="仿宋" w:eastAsia="仿宋" w:hAnsi="仿宋" w:hint="eastAsia"/>
                <w:bCs/>
                <w:szCs w:val="21"/>
              </w:rPr>
              <w:t>、机构投资者</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适合投资者</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color w:val="000000"/>
                <w:szCs w:val="21"/>
              </w:rPr>
            </w:pPr>
            <w:r>
              <w:rPr>
                <w:rFonts w:ascii="仿宋" w:eastAsia="仿宋" w:hAnsi="仿宋" w:hint="eastAsia"/>
                <w:bCs/>
                <w:szCs w:val="21"/>
              </w:rPr>
              <w:t>本理财产品</w:t>
            </w:r>
            <w:r>
              <w:rPr>
                <w:rFonts w:ascii="仿宋" w:eastAsia="仿宋" w:hAnsi="仿宋"/>
                <w:bCs/>
                <w:szCs w:val="21"/>
              </w:rPr>
              <w:t>面向不特定社会公众销售，经</w:t>
            </w:r>
            <w:r>
              <w:rPr>
                <w:rFonts w:ascii="仿宋" w:eastAsia="仿宋" w:hAnsi="仿宋" w:hint="eastAsia"/>
                <w:bCs/>
                <w:szCs w:val="21"/>
              </w:rPr>
              <w:t>华夏理财</w:t>
            </w:r>
            <w:r>
              <w:rPr>
                <w:rFonts w:ascii="仿宋" w:eastAsia="仿宋" w:hAnsi="仿宋"/>
                <w:bCs/>
                <w:szCs w:val="21"/>
              </w:rPr>
              <w:t>风险评估评定为</w:t>
            </w:r>
            <w:r>
              <w:rPr>
                <w:rFonts w:ascii="仿宋" w:eastAsia="仿宋" w:hAnsi="仿宋"/>
                <w:bCs/>
                <w:szCs w:val="21"/>
                <w:u w:val="single"/>
              </w:rPr>
              <w:t xml:space="preserve"> </w:t>
            </w:r>
            <w:r>
              <w:rPr>
                <w:rFonts w:ascii="仿宋" w:eastAsia="仿宋" w:hAnsi="仿宋" w:hint="eastAsia"/>
                <w:bCs/>
                <w:color w:val="000000"/>
                <w:szCs w:val="21"/>
                <w:u w:val="single"/>
              </w:rPr>
              <w:t>CR2（稳健型）、</w:t>
            </w:r>
            <w:r>
              <w:rPr>
                <w:rFonts w:ascii="仿宋" w:eastAsia="仿宋" w:hAnsi="仿宋" w:hint="eastAsia"/>
                <w:bCs/>
                <w:szCs w:val="21"/>
                <w:u w:val="single"/>
              </w:rPr>
              <w:t>CR3（平衡型）、CR4（进取型）、CR5（激进型）</w:t>
            </w:r>
            <w:r>
              <w:rPr>
                <w:rFonts w:ascii="仿宋" w:eastAsia="仿宋" w:hAnsi="仿宋"/>
                <w:bCs/>
                <w:szCs w:val="21"/>
                <w:u w:val="single"/>
              </w:rPr>
              <w:t xml:space="preserve"> </w:t>
            </w:r>
            <w:r>
              <w:rPr>
                <w:rFonts w:ascii="仿宋" w:eastAsia="仿宋" w:hAnsi="仿宋" w:hint="eastAsia"/>
                <w:bCs/>
                <w:szCs w:val="21"/>
              </w:rPr>
              <w:t>的个人投资者。</w:t>
            </w:r>
            <w:r>
              <w:rPr>
                <w:rFonts w:ascii="仿宋" w:eastAsia="仿宋" w:hAnsi="仿宋" w:hint="eastAsia"/>
                <w:bCs/>
                <w:color w:val="000000"/>
                <w:szCs w:val="21"/>
              </w:rPr>
              <w:t>客户风险承受能力评级类型分为：CR1（谨慎型）、CR2（稳健型）、CR3（平衡型）、CR4（进取型）、CR5（激进型）</w:t>
            </w:r>
            <w:r>
              <w:rPr>
                <w:rFonts w:ascii="仿宋" w:eastAsia="仿宋" w:hAnsi="仿宋"/>
                <w:bCs/>
                <w:color w:val="000000"/>
                <w:szCs w:val="21"/>
              </w:rPr>
              <w:t>。</w:t>
            </w:r>
          </w:p>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bCs/>
                <w:szCs w:val="21"/>
              </w:rPr>
              <w:t>本理财产品</w:t>
            </w:r>
            <w:r>
              <w:rPr>
                <w:rFonts w:ascii="仿宋" w:eastAsia="仿宋" w:hAnsi="仿宋"/>
                <w:bCs/>
                <w:szCs w:val="21"/>
              </w:rPr>
              <w:t>面向不特定社会公众销售</w:t>
            </w:r>
            <w:r>
              <w:rPr>
                <w:rFonts w:ascii="仿宋" w:eastAsia="仿宋" w:hAnsi="仿宋" w:hint="eastAsia"/>
                <w:bCs/>
                <w:szCs w:val="21"/>
              </w:rPr>
              <w:t>，包括</w:t>
            </w:r>
            <w:r>
              <w:rPr>
                <w:rFonts w:ascii="仿宋" w:eastAsia="仿宋" w:hAnsi="仿宋"/>
                <w:bCs/>
                <w:szCs w:val="21"/>
              </w:rPr>
              <w:t>法人</w:t>
            </w:r>
            <w:r>
              <w:rPr>
                <w:rFonts w:ascii="仿宋" w:eastAsia="仿宋" w:hAnsi="仿宋" w:hint="eastAsia"/>
                <w:bCs/>
                <w:szCs w:val="21"/>
              </w:rPr>
              <w:t>或</w:t>
            </w:r>
            <w:r>
              <w:rPr>
                <w:rFonts w:ascii="仿宋" w:eastAsia="仿宋" w:hAnsi="仿宋"/>
                <w:bCs/>
                <w:szCs w:val="21"/>
              </w:rPr>
              <w:t>依法成立的其他组织。</w:t>
            </w:r>
          </w:p>
          <w:p w:rsidR="004D106D" w:rsidRDefault="004D106D" w:rsidP="004D106D">
            <w:pPr>
              <w:spacing w:line="240" w:lineRule="atLeast"/>
              <w:ind w:firstLineChars="200" w:firstLine="440"/>
              <w:rPr>
                <w:rFonts w:ascii="仿宋" w:eastAsia="仿宋" w:hAnsi="仿宋"/>
                <w:b/>
                <w:bCs/>
                <w:color w:val="000000"/>
                <w:szCs w:val="21"/>
              </w:rPr>
            </w:pPr>
            <w:r>
              <w:rPr>
                <w:rFonts w:ascii="仿宋" w:eastAsia="仿宋" w:hAnsi="仿宋" w:hint="eastAsia"/>
                <w:bCs/>
                <w:szCs w:val="21"/>
              </w:rPr>
              <w:t>通过代销机构购买的，适合投资者及投资者风险承受能力评估结果以代销机构规定为准</w:t>
            </w:r>
            <w:r>
              <w:rPr>
                <w:rFonts w:ascii="仿宋" w:eastAsia="仿宋" w:hAnsi="仿宋"/>
                <w:bCs/>
                <w:szCs w:val="21"/>
              </w:rPr>
              <w:t>。</w:t>
            </w:r>
          </w:p>
          <w:p w:rsidR="004D106D" w:rsidRDefault="004D106D" w:rsidP="004D106D">
            <w:pPr>
              <w:spacing w:line="240" w:lineRule="atLeast"/>
              <w:ind w:firstLineChars="200" w:firstLine="442"/>
              <w:rPr>
                <w:rFonts w:ascii="仿宋" w:eastAsia="仿宋" w:hAnsi="仿宋"/>
                <w:bCs/>
                <w:color w:val="000000"/>
                <w:szCs w:val="21"/>
              </w:rPr>
            </w:pPr>
            <w:r>
              <w:rPr>
                <w:rFonts w:ascii="仿宋" w:eastAsia="仿宋" w:hAnsi="仿宋" w:hint="eastAsia"/>
                <w:b/>
                <w:bCs/>
                <w:color w:val="000000"/>
                <w:szCs w:val="21"/>
              </w:rPr>
              <w:t>华夏理财/代销机构根据</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投资者自身提供的信息</w:t>
            </w:r>
            <w:proofErr w:type="gramStart"/>
            <w:r>
              <w:rPr>
                <w:rFonts w:ascii="仿宋" w:eastAsia="仿宋" w:hAnsi="仿宋" w:hint="eastAsia"/>
                <w:b/>
                <w:bCs/>
                <w:color w:val="000000"/>
                <w:szCs w:val="21"/>
              </w:rPr>
              <w:t>评估非机构</w:t>
            </w:r>
            <w:proofErr w:type="gramEnd"/>
            <w:r>
              <w:rPr>
                <w:rFonts w:ascii="仿宋" w:eastAsia="仿宋" w:hAnsi="仿宋" w:hint="eastAsia"/>
                <w:b/>
                <w:bCs/>
                <w:color w:val="000000"/>
                <w:szCs w:val="21"/>
              </w:rPr>
              <w:t>投资者风险承受能力，因</w:t>
            </w:r>
            <w:proofErr w:type="gramStart"/>
            <w:r>
              <w:rPr>
                <w:rFonts w:ascii="仿宋" w:eastAsia="仿宋" w:hAnsi="仿宋" w:hint="eastAsia"/>
                <w:b/>
                <w:bCs/>
                <w:color w:val="000000"/>
                <w:szCs w:val="21"/>
              </w:rPr>
              <w:t>非机构</w:t>
            </w:r>
            <w:proofErr w:type="gramEnd"/>
            <w:r>
              <w:rPr>
                <w:rFonts w:ascii="仿宋" w:eastAsia="仿宋" w:hAnsi="仿宋" w:hint="eastAsia"/>
                <w:b/>
                <w:bCs/>
                <w:color w:val="000000"/>
                <w:szCs w:val="21"/>
              </w:rPr>
              <w:t>投资者提供信息不准确或不完整，导致其购买与自己风险承受能力不匹配的理财产品的</w:t>
            </w:r>
            <w:r>
              <w:rPr>
                <w:rFonts w:ascii="仿宋" w:eastAsia="仿宋" w:hAnsi="仿宋"/>
                <w:b/>
                <w:bCs/>
                <w:color w:val="000000"/>
                <w:szCs w:val="21"/>
              </w:rPr>
              <w:t>责任和风险由</w:t>
            </w:r>
            <w:r>
              <w:rPr>
                <w:rFonts w:ascii="仿宋" w:eastAsia="仿宋" w:hAnsi="仿宋" w:hint="eastAsia"/>
                <w:b/>
                <w:bCs/>
                <w:color w:val="000000"/>
                <w:szCs w:val="21"/>
              </w:rPr>
              <w:t>投资者</w:t>
            </w:r>
            <w:r>
              <w:rPr>
                <w:rFonts w:ascii="仿宋" w:eastAsia="仿宋" w:hAnsi="仿宋"/>
                <w:b/>
                <w:bCs/>
                <w:color w:val="000000"/>
                <w:szCs w:val="21"/>
              </w:rPr>
              <w:t>承担</w:t>
            </w:r>
            <w:r>
              <w:rPr>
                <w:rFonts w:ascii="仿宋" w:eastAsia="仿宋" w:hAnsi="仿宋" w:hint="eastAsia"/>
                <w:b/>
                <w:bCs/>
                <w:color w:val="000000"/>
                <w:szCs w:val="21"/>
              </w:rPr>
              <w:t>。</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业绩基准</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cs="Cambria"/>
                <w:bCs/>
                <w:szCs w:val="21"/>
              </w:rPr>
            </w:pPr>
            <w:r>
              <w:rPr>
                <w:rFonts w:ascii="仿宋" w:eastAsia="仿宋" w:hAnsi="仿宋" w:cs="Cambria" w:hint="eastAsia"/>
                <w:bCs/>
                <w:szCs w:val="21"/>
              </w:rPr>
              <w:t>B份额：</w:t>
            </w:r>
            <w:r w:rsidRPr="004D106D">
              <w:rPr>
                <w:rFonts w:ascii="仿宋" w:eastAsia="仿宋" w:hAnsi="仿宋" w:cs="Cambria" w:hint="eastAsia"/>
                <w:bCs/>
                <w:color w:val="FF0000"/>
                <w:szCs w:val="21"/>
              </w:rPr>
              <w:t>业绩基准为4.00%-4.20%（年化）</w:t>
            </w:r>
            <w:r>
              <w:rPr>
                <w:rFonts w:ascii="仿宋" w:eastAsia="仿宋" w:hAnsi="仿宋" w:cs="Cambria" w:hint="eastAsia"/>
                <w:bCs/>
                <w:szCs w:val="21"/>
              </w:rPr>
              <w:t>。以产品投资利率债</w:t>
            </w:r>
            <w:proofErr w:type="gramStart"/>
            <w:r>
              <w:rPr>
                <w:rFonts w:ascii="仿宋" w:eastAsia="仿宋" w:hAnsi="仿宋" w:cs="Cambria" w:hint="eastAsia"/>
                <w:bCs/>
                <w:szCs w:val="21"/>
              </w:rPr>
              <w:t>仓位</w:t>
            </w:r>
            <w:proofErr w:type="gramEnd"/>
            <w:r>
              <w:rPr>
                <w:rFonts w:ascii="仿宋" w:eastAsia="仿宋" w:hAnsi="仿宋" w:cs="Cambria" w:hint="eastAsia"/>
                <w:bCs/>
                <w:szCs w:val="21"/>
              </w:rPr>
              <w:t>0-10%，信用债</w:t>
            </w:r>
            <w:proofErr w:type="gramStart"/>
            <w:r>
              <w:rPr>
                <w:rFonts w:ascii="仿宋" w:eastAsia="仿宋" w:hAnsi="仿宋" w:cs="Cambria" w:hint="eastAsia"/>
                <w:bCs/>
                <w:szCs w:val="21"/>
              </w:rPr>
              <w:t>仓位</w:t>
            </w:r>
            <w:proofErr w:type="gramEnd"/>
            <w:r>
              <w:rPr>
                <w:rFonts w:ascii="仿宋" w:eastAsia="仿宋" w:hAnsi="仿宋" w:cs="Cambria" w:hint="eastAsia"/>
                <w:bCs/>
                <w:szCs w:val="21"/>
              </w:rPr>
              <w:t>90%-100%，组合杠杆率110%为例，参考中债-国债总财富（1-3年）指数、中债-高信用等级债券指数，结合产品投资策略并扣除各项费用后，综合测算得出上述业绩基准。测算示例仅供参考，具体资产投资比例可根据各类资产的收益水平、流动性特征、信用风险等因素动态调整。</w:t>
            </w:r>
          </w:p>
          <w:p w:rsidR="004D106D" w:rsidRDefault="004D106D" w:rsidP="004D106D">
            <w:pPr>
              <w:spacing w:line="240" w:lineRule="atLeast"/>
              <w:ind w:firstLineChars="200" w:firstLine="440"/>
              <w:rPr>
                <w:rFonts w:ascii="仿宋" w:eastAsia="仿宋" w:hAnsi="仿宋"/>
                <w:bCs/>
                <w:color w:val="000000"/>
                <w:szCs w:val="21"/>
              </w:rPr>
            </w:pPr>
            <w:r>
              <w:rPr>
                <w:rFonts w:ascii="仿宋" w:eastAsia="仿宋" w:hAnsi="仿宋" w:cs="Cambria" w:hint="eastAsia"/>
                <w:bCs/>
                <w:szCs w:val="21"/>
              </w:rPr>
              <w:t>业绩基准是管理人基于产品性质、投资策略、过往经验等因素对产品设定的投资目标，不代表产品的未来表现和实际收益，不构成对产品收益的承诺。</w:t>
            </w:r>
          </w:p>
          <w:p w:rsidR="004D106D" w:rsidRDefault="004D106D" w:rsidP="004D106D">
            <w:pPr>
              <w:spacing w:line="240" w:lineRule="atLeast"/>
              <w:ind w:firstLineChars="200" w:firstLine="440"/>
              <w:rPr>
                <w:rFonts w:ascii="仿宋" w:eastAsia="仿宋" w:hAnsi="仿宋"/>
                <w:bCs/>
                <w:color w:val="000000"/>
                <w:szCs w:val="21"/>
              </w:rPr>
            </w:pPr>
            <w:r>
              <w:rPr>
                <w:rFonts w:ascii="仿宋" w:eastAsia="仿宋" w:hAnsi="仿宋" w:hint="eastAsia"/>
                <w:bCs/>
                <w:color w:val="000000"/>
                <w:szCs w:val="21"/>
              </w:rPr>
              <w:t>华夏理财有权根据市场情况及产品运作情况调整业绩基准，</w:t>
            </w:r>
            <w:r>
              <w:rPr>
                <w:rFonts w:ascii="仿宋" w:eastAsia="仿宋" w:hAnsi="仿宋" w:hint="eastAsia"/>
                <w:bCs/>
                <w:szCs w:val="21"/>
              </w:rPr>
              <w:t>并至少于新业绩基准启用前3个工作日公告</w:t>
            </w:r>
            <w:r>
              <w:rPr>
                <w:rFonts w:ascii="仿宋" w:eastAsia="仿宋" w:hAnsi="仿宋" w:hint="eastAsia"/>
                <w:bCs/>
                <w:color w:val="000000"/>
                <w:szCs w:val="21"/>
              </w:rPr>
              <w:t>。</w:t>
            </w:r>
          </w:p>
          <w:p w:rsidR="004D106D" w:rsidRDefault="004D106D" w:rsidP="004D106D">
            <w:pPr>
              <w:spacing w:line="240" w:lineRule="atLeast"/>
              <w:ind w:firstLineChars="200" w:firstLine="442"/>
              <w:rPr>
                <w:rFonts w:ascii="仿宋" w:eastAsia="仿宋" w:hAnsi="仿宋"/>
                <w:b/>
                <w:bCs/>
                <w:szCs w:val="21"/>
              </w:rPr>
            </w:pPr>
            <w:r>
              <w:rPr>
                <w:rFonts w:ascii="仿宋" w:eastAsia="仿宋" w:hAnsi="仿宋" w:hint="eastAsia"/>
                <w:b/>
                <w:bCs/>
                <w:szCs w:val="21"/>
              </w:rPr>
              <w:t>1.本理财产品为净值型产品，其业绩表现将随市场波动，具有不确定性。</w:t>
            </w:r>
          </w:p>
          <w:p w:rsidR="004D106D" w:rsidRDefault="004D106D" w:rsidP="004D106D">
            <w:pPr>
              <w:spacing w:line="240" w:lineRule="atLeast"/>
              <w:ind w:firstLineChars="200" w:firstLine="442"/>
              <w:rPr>
                <w:rFonts w:ascii="仿宋" w:eastAsia="仿宋" w:hAnsi="仿宋"/>
                <w:b/>
                <w:bCs/>
                <w:szCs w:val="21"/>
              </w:rPr>
            </w:pPr>
            <w:r>
              <w:rPr>
                <w:rFonts w:ascii="仿宋" w:eastAsia="仿宋" w:hAnsi="仿宋" w:hint="eastAsia"/>
                <w:b/>
                <w:bCs/>
                <w:szCs w:val="21"/>
              </w:rPr>
              <w:t>2.</w:t>
            </w:r>
            <w:proofErr w:type="gramStart"/>
            <w:r>
              <w:rPr>
                <w:rFonts w:ascii="仿宋" w:eastAsia="仿宋" w:hAnsi="仿宋" w:hint="eastAsia"/>
                <w:b/>
                <w:bCs/>
                <w:szCs w:val="21"/>
              </w:rPr>
              <w:t>本业绩</w:t>
            </w:r>
            <w:proofErr w:type="gramEnd"/>
            <w:r>
              <w:rPr>
                <w:rFonts w:ascii="仿宋" w:eastAsia="仿宋" w:hAnsi="仿宋" w:hint="eastAsia"/>
                <w:b/>
                <w:bCs/>
                <w:szCs w:val="21"/>
              </w:rPr>
              <w:t>基准不构成华夏理财/代销机构对本理财产品的任何收益承诺。</w:t>
            </w:r>
          </w:p>
          <w:p w:rsidR="004D106D" w:rsidRDefault="004D106D" w:rsidP="004D106D">
            <w:pPr>
              <w:spacing w:line="240" w:lineRule="atLeast"/>
              <w:ind w:firstLineChars="200" w:firstLine="442"/>
              <w:rPr>
                <w:rFonts w:ascii="仿宋" w:eastAsia="仿宋" w:hAnsi="仿宋"/>
                <w:b/>
                <w:bCs/>
                <w:szCs w:val="21"/>
              </w:rPr>
            </w:pPr>
            <w:r>
              <w:rPr>
                <w:rFonts w:ascii="仿宋" w:eastAsia="仿宋" w:hAnsi="仿宋" w:hint="eastAsia"/>
                <w:b/>
                <w:bCs/>
                <w:szCs w:val="21"/>
              </w:rPr>
              <w:t>3.理财产品过往业绩不代表其未来表现，不等于理财产品实际收益，投资须谨慎。</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募集</w:t>
            </w:r>
            <w:r>
              <w:rPr>
                <w:rFonts w:ascii="仿宋" w:eastAsia="仿宋" w:hAnsi="仿宋"/>
                <w:bCs/>
                <w:szCs w:val="21"/>
              </w:rPr>
              <w:t>期</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bCs/>
                <w:szCs w:val="21"/>
              </w:rPr>
              <w:t>2022年</w:t>
            </w:r>
            <w:r>
              <w:rPr>
                <w:rFonts w:ascii="仿宋" w:eastAsia="仿宋" w:hAnsi="仿宋"/>
                <w:bCs/>
                <w:szCs w:val="21"/>
              </w:rPr>
              <w:t>6</w:t>
            </w:r>
            <w:r>
              <w:rPr>
                <w:rFonts w:ascii="仿宋" w:eastAsia="仿宋" w:hAnsi="仿宋" w:hint="eastAsia"/>
                <w:bCs/>
                <w:szCs w:val="21"/>
              </w:rPr>
              <w:t>月</w:t>
            </w:r>
            <w:r>
              <w:rPr>
                <w:rFonts w:ascii="仿宋" w:eastAsia="仿宋" w:hAnsi="仿宋"/>
                <w:bCs/>
                <w:szCs w:val="21"/>
              </w:rPr>
              <w:t>17</w:t>
            </w:r>
            <w:r>
              <w:rPr>
                <w:rFonts w:ascii="仿宋" w:eastAsia="仿宋" w:hAnsi="仿宋" w:hint="eastAsia"/>
                <w:bCs/>
                <w:szCs w:val="21"/>
              </w:rPr>
              <w:t>日</w:t>
            </w:r>
            <w:r>
              <w:rPr>
                <w:rFonts w:ascii="仿宋" w:eastAsia="仿宋" w:hAnsi="仿宋"/>
                <w:bCs/>
                <w:szCs w:val="21"/>
              </w:rPr>
              <w:t>－</w:t>
            </w:r>
            <w:r>
              <w:rPr>
                <w:rFonts w:ascii="仿宋" w:eastAsia="仿宋" w:hAnsi="仿宋" w:hint="eastAsia"/>
                <w:bCs/>
                <w:szCs w:val="21"/>
              </w:rPr>
              <w:t>2022年</w:t>
            </w:r>
            <w:r>
              <w:rPr>
                <w:rFonts w:ascii="仿宋" w:eastAsia="仿宋" w:hAnsi="仿宋"/>
                <w:bCs/>
                <w:szCs w:val="21"/>
              </w:rPr>
              <w:t>6</w:t>
            </w:r>
            <w:r>
              <w:rPr>
                <w:rFonts w:ascii="仿宋" w:eastAsia="仿宋" w:hAnsi="仿宋" w:hint="eastAsia"/>
                <w:bCs/>
                <w:szCs w:val="21"/>
              </w:rPr>
              <w:t>月</w:t>
            </w:r>
            <w:r>
              <w:rPr>
                <w:rFonts w:ascii="仿宋" w:eastAsia="仿宋" w:hAnsi="仿宋"/>
                <w:bCs/>
                <w:szCs w:val="21"/>
              </w:rPr>
              <w:t>23</w:t>
            </w:r>
            <w:r>
              <w:rPr>
                <w:rFonts w:ascii="仿宋" w:eastAsia="仿宋" w:hAnsi="仿宋" w:hint="eastAsia"/>
                <w:bCs/>
                <w:szCs w:val="21"/>
              </w:rPr>
              <w:t>日</w:t>
            </w:r>
            <w:r>
              <w:rPr>
                <w:rFonts w:ascii="仿宋" w:eastAsia="仿宋" w:hAnsi="仿宋"/>
                <w:bCs/>
                <w:szCs w:val="21"/>
              </w:rPr>
              <w:t>（含）</w:t>
            </w:r>
            <w:r>
              <w:rPr>
                <w:rFonts w:ascii="仿宋" w:eastAsia="仿宋" w:hAnsi="仿宋" w:hint="eastAsia"/>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eastAsia="仿宋" w:hAnsi="仿宋"/>
                <w:bCs/>
                <w:szCs w:val="21"/>
              </w:rPr>
              <w:t>）</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lastRenderedPageBreak/>
              <w:t>成立日</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bCs/>
                <w:szCs w:val="21"/>
              </w:rPr>
              <w:t>2022年</w:t>
            </w:r>
            <w:r>
              <w:rPr>
                <w:rFonts w:ascii="仿宋" w:eastAsia="仿宋" w:hAnsi="仿宋"/>
                <w:bCs/>
                <w:szCs w:val="21"/>
              </w:rPr>
              <w:t>6</w:t>
            </w:r>
            <w:r>
              <w:rPr>
                <w:rFonts w:ascii="仿宋" w:eastAsia="仿宋" w:hAnsi="仿宋" w:hint="eastAsia"/>
                <w:bCs/>
                <w:szCs w:val="21"/>
              </w:rPr>
              <w:t>月</w:t>
            </w:r>
            <w:r>
              <w:rPr>
                <w:rFonts w:ascii="仿宋" w:eastAsia="仿宋" w:hAnsi="仿宋"/>
                <w:bCs/>
                <w:szCs w:val="21"/>
              </w:rPr>
              <w:t>24</w:t>
            </w:r>
            <w:r>
              <w:rPr>
                <w:rFonts w:ascii="仿宋" w:eastAsia="仿宋" w:hAnsi="仿宋" w:hint="eastAsia"/>
                <w:bCs/>
                <w:szCs w:val="21"/>
              </w:rPr>
              <w:t>日</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封闭期</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right="-44" w:firstLineChars="200" w:firstLine="440"/>
              <w:rPr>
                <w:rFonts w:ascii="仿宋" w:eastAsia="仿宋" w:hAnsi="仿宋"/>
                <w:bCs/>
                <w:szCs w:val="21"/>
              </w:rPr>
            </w:pPr>
            <w:r>
              <w:rPr>
                <w:rFonts w:ascii="仿宋" w:eastAsia="仿宋" w:hAnsi="仿宋" w:hint="eastAsia"/>
                <w:bCs/>
                <w:szCs w:val="21"/>
              </w:rPr>
              <w:t>产品成立日至产品首个</w:t>
            </w:r>
            <w:r>
              <w:rPr>
                <w:rFonts w:ascii="仿宋" w:eastAsia="仿宋" w:hAnsi="仿宋"/>
                <w:bCs/>
                <w:szCs w:val="21"/>
              </w:rPr>
              <w:t>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w:t>
            </w:r>
            <w:r>
              <w:rPr>
                <w:rFonts w:ascii="仿宋" w:eastAsia="仿宋" w:hAnsi="仿宋" w:hint="eastAsia"/>
                <w:bCs/>
                <w:szCs w:val="21"/>
              </w:rPr>
              <w:t>、产品</w:t>
            </w:r>
            <w:r>
              <w:rPr>
                <w:rFonts w:ascii="仿宋" w:eastAsia="仿宋" w:hAnsi="仿宋"/>
                <w:bCs/>
                <w:szCs w:val="21"/>
              </w:rPr>
              <w:t>上</w:t>
            </w:r>
            <w:r>
              <w:rPr>
                <w:rFonts w:ascii="仿宋" w:eastAsia="仿宋" w:hAnsi="仿宋" w:hint="eastAsia"/>
                <w:bCs/>
                <w:szCs w:val="21"/>
              </w:rPr>
              <w:t>一</w:t>
            </w:r>
            <w:r>
              <w:rPr>
                <w:rFonts w:ascii="仿宋" w:eastAsia="仿宋" w:hAnsi="仿宋"/>
                <w:bCs/>
                <w:szCs w:val="21"/>
              </w:rPr>
              <w:t>开放</w:t>
            </w:r>
            <w:r>
              <w:rPr>
                <w:rFonts w:ascii="仿宋" w:eastAsia="仿宋" w:hAnsi="仿宋" w:hint="eastAsia"/>
                <w:bCs/>
                <w:szCs w:val="21"/>
              </w:rPr>
              <w:t>期的下一日</w:t>
            </w:r>
            <w:proofErr w:type="gramStart"/>
            <w:r>
              <w:rPr>
                <w:rFonts w:ascii="仿宋" w:eastAsia="仿宋" w:hAnsi="仿宋"/>
                <w:bCs/>
                <w:szCs w:val="21"/>
              </w:rPr>
              <w:t>至</w:t>
            </w:r>
            <w:r>
              <w:rPr>
                <w:rFonts w:ascii="仿宋" w:eastAsia="仿宋" w:hAnsi="仿宋" w:hint="eastAsia"/>
                <w:bCs/>
                <w:szCs w:val="21"/>
              </w:rPr>
              <w:t>产品</w:t>
            </w:r>
            <w:r>
              <w:rPr>
                <w:rFonts w:ascii="仿宋" w:eastAsia="仿宋" w:hAnsi="仿宋"/>
                <w:bCs/>
                <w:szCs w:val="21"/>
              </w:rPr>
              <w:t>下</w:t>
            </w:r>
            <w:proofErr w:type="gramEnd"/>
            <w:r>
              <w:rPr>
                <w:rFonts w:ascii="仿宋" w:eastAsia="仿宋" w:hAnsi="仿宋"/>
                <w:bCs/>
                <w:szCs w:val="21"/>
              </w:rPr>
              <w:t>一开放</w:t>
            </w:r>
            <w:r>
              <w:rPr>
                <w:rFonts w:ascii="仿宋" w:eastAsia="仿宋" w:hAnsi="仿宋" w:hint="eastAsia"/>
                <w:bCs/>
                <w:szCs w:val="21"/>
              </w:rPr>
              <w:t>期</w:t>
            </w:r>
            <w:r>
              <w:rPr>
                <w:rFonts w:ascii="仿宋" w:eastAsia="仿宋" w:hAnsi="仿宋"/>
                <w:bCs/>
                <w:szCs w:val="21"/>
              </w:rPr>
              <w:t>的</w:t>
            </w:r>
            <w:r>
              <w:rPr>
                <w:rFonts w:ascii="仿宋" w:eastAsia="仿宋" w:hAnsi="仿宋" w:hint="eastAsia"/>
                <w:bCs/>
                <w:szCs w:val="21"/>
              </w:rPr>
              <w:t>前一</w:t>
            </w:r>
            <w:r>
              <w:rPr>
                <w:rFonts w:ascii="仿宋" w:eastAsia="仿宋" w:hAnsi="仿宋"/>
                <w:bCs/>
                <w:szCs w:val="21"/>
              </w:rPr>
              <w:t>日、产品最后一个</w:t>
            </w:r>
            <w:r>
              <w:rPr>
                <w:rFonts w:ascii="仿宋" w:eastAsia="仿宋" w:hAnsi="仿宋" w:hint="eastAsia"/>
                <w:bCs/>
                <w:szCs w:val="21"/>
              </w:rPr>
              <w:t>开放期的下一</w:t>
            </w:r>
            <w:r>
              <w:rPr>
                <w:rFonts w:ascii="仿宋" w:eastAsia="仿宋" w:hAnsi="仿宋"/>
                <w:bCs/>
                <w:szCs w:val="21"/>
              </w:rPr>
              <w:t>日</w:t>
            </w:r>
            <w:proofErr w:type="gramStart"/>
            <w:r>
              <w:rPr>
                <w:rFonts w:ascii="仿宋" w:eastAsia="仿宋" w:hAnsi="仿宋"/>
                <w:bCs/>
                <w:szCs w:val="21"/>
              </w:rPr>
              <w:t>至产品</w:t>
            </w:r>
            <w:proofErr w:type="gramEnd"/>
            <w:r>
              <w:rPr>
                <w:rFonts w:ascii="仿宋" w:eastAsia="仿宋" w:hAnsi="仿宋" w:hint="eastAsia"/>
                <w:bCs/>
                <w:szCs w:val="21"/>
              </w:rPr>
              <w:t>到期日</w:t>
            </w:r>
            <w:r>
              <w:rPr>
                <w:rFonts w:ascii="仿宋" w:eastAsia="仿宋" w:hAnsi="仿宋"/>
                <w:bCs/>
                <w:szCs w:val="21"/>
              </w:rPr>
              <w:t>为产品的封闭期</w:t>
            </w:r>
            <w:r>
              <w:rPr>
                <w:rFonts w:ascii="仿宋" w:eastAsia="仿宋" w:hAnsi="仿宋" w:hint="eastAsia"/>
                <w:bCs/>
                <w:szCs w:val="21"/>
              </w:rPr>
              <w:t>。</w:t>
            </w:r>
          </w:p>
          <w:p w:rsidR="004D106D" w:rsidRDefault="004D106D" w:rsidP="004D106D">
            <w:pPr>
              <w:spacing w:line="240" w:lineRule="atLeast"/>
              <w:ind w:firstLineChars="200" w:firstLine="442"/>
              <w:rPr>
                <w:rFonts w:ascii="仿宋" w:eastAsia="仿宋" w:hAnsi="仿宋"/>
                <w:b/>
                <w:bCs/>
                <w:szCs w:val="21"/>
              </w:rPr>
            </w:pPr>
            <w:r>
              <w:rPr>
                <w:rFonts w:ascii="仿宋" w:eastAsia="仿宋" w:hAnsi="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产品存续期限</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bCs/>
                <w:color w:val="000000"/>
                <w:szCs w:val="21"/>
              </w:rPr>
              <w:t>本理财产品无特定存续期限（产品实际期限受制于提前终止条款的约定）</w:t>
            </w:r>
            <w:r>
              <w:rPr>
                <w:rFonts w:ascii="仿宋" w:eastAsia="仿宋" w:hAnsi="仿宋" w:hint="eastAsia"/>
                <w:bCs/>
                <w:szCs w:val="21"/>
              </w:rPr>
              <w:t>。</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color w:val="000000"/>
                <w:szCs w:val="21"/>
              </w:rPr>
            </w:pPr>
            <w:r>
              <w:rPr>
                <w:rFonts w:ascii="仿宋" w:eastAsia="仿宋" w:hAnsi="仿宋" w:hint="eastAsia"/>
                <w:bCs/>
                <w:color w:val="000000"/>
                <w:szCs w:val="21"/>
              </w:rPr>
              <w:t>发行范围</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color w:val="000000"/>
                <w:szCs w:val="21"/>
              </w:rPr>
            </w:pPr>
            <w:r>
              <w:rPr>
                <w:rFonts w:ascii="仿宋" w:eastAsia="仿宋" w:hAnsi="仿宋" w:hint="eastAsia"/>
                <w:bCs/>
                <w:color w:val="000000"/>
                <w:szCs w:val="21"/>
              </w:rPr>
              <w:t>全国发行</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发行规模</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hint="eastAsia"/>
                <w:bCs/>
                <w:szCs w:val="21"/>
              </w:rPr>
              <w:t>本产品计划发行规模上限为</w:t>
            </w:r>
            <w:r>
              <w:rPr>
                <w:rFonts w:ascii="仿宋" w:eastAsia="仿宋" w:hAnsi="仿宋"/>
                <w:bCs/>
                <w:szCs w:val="21"/>
              </w:rPr>
              <w:t>50</w:t>
            </w:r>
            <w:r>
              <w:rPr>
                <w:rFonts w:ascii="仿宋" w:eastAsia="仿宋" w:hAnsi="仿宋" w:hint="eastAsia"/>
                <w:bCs/>
                <w:szCs w:val="21"/>
              </w:rPr>
              <w:t>亿元，发行规模下限为1000万元。</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keepNext/>
              <w:spacing w:line="240" w:lineRule="atLeast"/>
              <w:jc w:val="center"/>
              <w:rPr>
                <w:rFonts w:ascii="仿宋" w:eastAsia="仿宋" w:hAnsi="仿宋"/>
                <w:bCs/>
                <w:szCs w:val="21"/>
              </w:rPr>
            </w:pPr>
            <w:r>
              <w:rPr>
                <w:rFonts w:ascii="仿宋" w:eastAsia="仿宋" w:hAnsi="仿宋"/>
                <w:bCs/>
                <w:szCs w:val="21"/>
              </w:rPr>
              <w:t>产品</w:t>
            </w:r>
            <w:r>
              <w:rPr>
                <w:rFonts w:ascii="仿宋" w:eastAsia="仿宋" w:hAnsi="仿宋" w:hint="eastAsia"/>
                <w:bCs/>
                <w:szCs w:val="21"/>
              </w:rPr>
              <w:t>不</w:t>
            </w:r>
            <w:r>
              <w:rPr>
                <w:rFonts w:ascii="仿宋" w:eastAsia="仿宋" w:hAnsi="仿宋"/>
                <w:bCs/>
                <w:szCs w:val="21"/>
              </w:rPr>
              <w:t>成立</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keepNext/>
              <w:spacing w:line="240" w:lineRule="atLeast"/>
              <w:ind w:firstLineChars="200" w:firstLine="442"/>
              <w:rPr>
                <w:rFonts w:ascii="仿宋" w:eastAsia="仿宋" w:hAnsi="仿宋"/>
                <w:b/>
                <w:bCs/>
                <w:szCs w:val="21"/>
              </w:rPr>
            </w:pPr>
            <w:r>
              <w:rPr>
                <w:rFonts w:ascii="仿宋" w:eastAsia="仿宋" w:hAnsi="仿宋" w:hint="eastAsia"/>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rsidR="004D106D" w:rsidRDefault="004D106D" w:rsidP="004D106D">
            <w:pPr>
              <w:keepNext/>
              <w:spacing w:line="240" w:lineRule="atLeast"/>
              <w:ind w:firstLineChars="200" w:firstLine="440"/>
              <w:rPr>
                <w:rFonts w:ascii="仿宋" w:eastAsia="仿宋" w:hAnsi="仿宋"/>
                <w:bCs/>
                <w:szCs w:val="21"/>
              </w:rPr>
            </w:pPr>
            <w:r>
              <w:rPr>
                <w:rFonts w:ascii="仿宋" w:eastAsia="仿宋" w:hAnsi="仿宋"/>
                <w:bCs/>
                <w:szCs w:val="21"/>
              </w:rPr>
              <w:t>如理财产品不成立，华夏</w:t>
            </w:r>
            <w:r>
              <w:rPr>
                <w:rFonts w:ascii="仿宋" w:eastAsia="仿宋" w:hAnsi="仿宋" w:hint="eastAsia"/>
                <w:bCs/>
                <w:szCs w:val="21"/>
              </w:rPr>
              <w:t>理财</w:t>
            </w:r>
            <w:r>
              <w:rPr>
                <w:rFonts w:ascii="仿宋" w:eastAsia="仿宋" w:hAnsi="仿宋"/>
                <w:bCs/>
                <w:szCs w:val="21"/>
              </w:rPr>
              <w:t>将于</w:t>
            </w:r>
            <w:r>
              <w:rPr>
                <w:rFonts w:ascii="仿宋" w:eastAsia="仿宋" w:hAnsi="仿宋" w:hint="eastAsia"/>
                <w:bCs/>
                <w:szCs w:val="21"/>
              </w:rPr>
              <w:t>原定成立日后2</w:t>
            </w:r>
            <w:r>
              <w:rPr>
                <w:rFonts w:ascii="仿宋" w:eastAsia="仿宋" w:hAnsi="仿宋"/>
                <w:bCs/>
                <w:szCs w:val="21"/>
              </w:rPr>
              <w:t>个工作日</w:t>
            </w:r>
            <w:r>
              <w:rPr>
                <w:rFonts w:ascii="仿宋" w:eastAsia="仿宋" w:hAnsi="仿宋" w:hint="eastAsia"/>
                <w:bCs/>
                <w:szCs w:val="21"/>
              </w:rPr>
              <w:t>内</w:t>
            </w:r>
            <w:r>
              <w:rPr>
                <w:rFonts w:ascii="仿宋" w:eastAsia="仿宋" w:hAnsi="仿宋"/>
                <w:bCs/>
                <w:szCs w:val="21"/>
              </w:rPr>
              <w:t>通过</w:t>
            </w:r>
            <w:r>
              <w:rPr>
                <w:rFonts w:ascii="仿宋" w:eastAsia="仿宋" w:hAnsi="仿宋" w:hint="eastAsia"/>
                <w:bCs/>
                <w:szCs w:val="21"/>
              </w:rPr>
              <w:t>本说明书约定的信息披露渠道</w:t>
            </w:r>
            <w:r>
              <w:rPr>
                <w:rFonts w:ascii="仿宋" w:eastAsia="仿宋" w:hAnsi="仿宋"/>
                <w:bCs/>
                <w:szCs w:val="21"/>
              </w:rPr>
              <w:t>发布本理财产品不成立的公告</w:t>
            </w:r>
            <w:r>
              <w:rPr>
                <w:rFonts w:ascii="仿宋" w:eastAsia="仿宋" w:hAnsi="仿宋" w:hint="eastAsia"/>
                <w:bCs/>
                <w:szCs w:val="21"/>
              </w:rPr>
              <w:t>。通过华夏银行/华夏理财购买的，将</w:t>
            </w:r>
            <w:r>
              <w:rPr>
                <w:rFonts w:ascii="仿宋" w:eastAsia="仿宋" w:hAnsi="仿宋"/>
                <w:bCs/>
                <w:szCs w:val="21"/>
              </w:rPr>
              <w:t>于原定成立日</w:t>
            </w:r>
            <w:r>
              <w:rPr>
                <w:rFonts w:ascii="仿宋" w:eastAsia="仿宋" w:hAnsi="仿宋" w:hint="eastAsia"/>
                <w:bCs/>
                <w:szCs w:val="21"/>
              </w:rPr>
              <w:t>后</w:t>
            </w:r>
            <w:r>
              <w:rPr>
                <w:rFonts w:ascii="仿宋" w:eastAsia="仿宋" w:hAnsi="仿宋"/>
                <w:bCs/>
                <w:szCs w:val="21"/>
              </w:rPr>
              <w:t>2个工作日内将已</w:t>
            </w:r>
            <w:r>
              <w:rPr>
                <w:rFonts w:ascii="仿宋" w:eastAsia="仿宋" w:hAnsi="仿宋" w:hint="eastAsia"/>
                <w:bCs/>
                <w:szCs w:val="21"/>
              </w:rPr>
              <w:t>募集</w:t>
            </w:r>
            <w:r>
              <w:rPr>
                <w:rFonts w:ascii="仿宋" w:eastAsia="仿宋" w:hAnsi="仿宋"/>
                <w:bCs/>
                <w:szCs w:val="21"/>
              </w:rPr>
              <w:t>资金退回</w:t>
            </w:r>
            <w:r>
              <w:rPr>
                <w:rFonts w:ascii="仿宋" w:eastAsia="仿宋" w:hAnsi="仿宋" w:hint="eastAsia"/>
                <w:bCs/>
                <w:szCs w:val="21"/>
              </w:rPr>
              <w:t>华夏银行/华夏理财客户</w:t>
            </w:r>
            <w:r>
              <w:rPr>
                <w:rFonts w:ascii="仿宋" w:eastAsia="仿宋" w:hAnsi="仿宋"/>
                <w:bCs/>
                <w:szCs w:val="21"/>
              </w:rPr>
              <w:t>的</w:t>
            </w:r>
            <w:r>
              <w:rPr>
                <w:rFonts w:ascii="仿宋" w:eastAsia="仿宋" w:hAnsi="仿宋" w:hint="eastAsia"/>
                <w:bCs/>
                <w:szCs w:val="21"/>
              </w:rPr>
              <w:t>理财签约</w:t>
            </w:r>
            <w:r>
              <w:rPr>
                <w:rFonts w:ascii="仿宋" w:eastAsia="仿宋" w:hAnsi="仿宋"/>
                <w:bCs/>
                <w:szCs w:val="21"/>
              </w:rPr>
              <w:t>账户</w:t>
            </w:r>
            <w:r>
              <w:rPr>
                <w:rFonts w:ascii="仿宋" w:eastAsia="仿宋" w:hAnsi="仿宋" w:hint="eastAsia"/>
                <w:bCs/>
                <w:szCs w:val="21"/>
              </w:rPr>
              <w:t>内（</w:t>
            </w:r>
            <w:r>
              <w:rPr>
                <w:rFonts w:ascii="仿宋" w:eastAsia="仿宋" w:hAnsi="仿宋" w:hint="eastAsia"/>
                <w:b/>
                <w:szCs w:val="21"/>
              </w:rPr>
              <w:t>原定</w:t>
            </w:r>
            <w:r>
              <w:rPr>
                <w:rFonts w:ascii="仿宋" w:eastAsia="仿宋" w:hAnsi="仿宋"/>
                <w:b/>
                <w:szCs w:val="21"/>
              </w:rPr>
              <w:t>成立日至资金到账日之间</w:t>
            </w:r>
            <w:r>
              <w:rPr>
                <w:rFonts w:ascii="仿宋" w:eastAsia="仿宋" w:hAnsi="仿宋" w:hint="eastAsia"/>
                <w:b/>
                <w:szCs w:val="21"/>
              </w:rPr>
              <w:t>不计</w:t>
            </w:r>
            <w:r>
              <w:rPr>
                <w:rFonts w:ascii="仿宋" w:eastAsia="仿宋" w:hAnsi="仿宋"/>
                <w:b/>
                <w:szCs w:val="21"/>
              </w:rPr>
              <w:t>利息</w:t>
            </w:r>
            <w:r>
              <w:rPr>
                <w:rFonts w:ascii="仿宋" w:eastAsia="仿宋" w:hAnsi="仿宋" w:hint="eastAsia"/>
                <w:bCs/>
                <w:szCs w:val="21"/>
              </w:rPr>
              <w:t>）；通过其他代销机构购买的，客户已募集资金退回的具体到账账户、到账日及到账时间以代销机构划付规定为准</w:t>
            </w:r>
            <w:r>
              <w:rPr>
                <w:rFonts w:ascii="仿宋" w:eastAsia="仿宋" w:hAnsi="仿宋"/>
                <w:bCs/>
                <w:szCs w:val="21"/>
              </w:rPr>
              <w:t>。</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认购</w:t>
            </w:r>
            <w:r>
              <w:rPr>
                <w:rFonts w:ascii="仿宋" w:eastAsia="仿宋" w:hAnsi="仿宋" w:hint="eastAsia"/>
                <w:bCs/>
                <w:szCs w:val="21"/>
              </w:rPr>
              <w:t>/</w:t>
            </w:r>
            <w:r>
              <w:rPr>
                <w:rFonts w:ascii="仿宋" w:eastAsia="仿宋" w:hAnsi="仿宋"/>
                <w:bCs/>
                <w:szCs w:val="21"/>
              </w:rPr>
              <w:t>申购</w:t>
            </w:r>
          </w:p>
          <w:p w:rsidR="004D106D" w:rsidRDefault="004D106D" w:rsidP="00953E3C">
            <w:pPr>
              <w:spacing w:line="240" w:lineRule="atLeast"/>
              <w:jc w:val="center"/>
              <w:rPr>
                <w:rFonts w:ascii="仿宋" w:eastAsia="仿宋" w:hAnsi="仿宋"/>
                <w:bCs/>
                <w:szCs w:val="21"/>
              </w:rPr>
            </w:pPr>
            <w:r>
              <w:rPr>
                <w:rFonts w:ascii="仿宋" w:eastAsia="仿宋" w:hAnsi="仿宋"/>
                <w:bCs/>
                <w:szCs w:val="21"/>
              </w:rPr>
              <w:t>起点金额</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bCs/>
                <w:szCs w:val="21"/>
              </w:rPr>
              <w:t>B份额：1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递增</w:t>
            </w:r>
            <w:r>
              <w:rPr>
                <w:rFonts w:ascii="仿宋" w:eastAsia="仿宋" w:hAnsi="仿宋" w:hint="eastAsia"/>
                <w:bCs/>
                <w:szCs w:val="21"/>
              </w:rPr>
              <w:t>。</w:t>
            </w:r>
          </w:p>
          <w:p w:rsidR="004D106D" w:rsidRDefault="004D106D" w:rsidP="004D106D">
            <w:pPr>
              <w:spacing w:line="240" w:lineRule="atLeast"/>
              <w:ind w:firstLineChars="200" w:firstLine="440"/>
              <w:rPr>
                <w:rFonts w:ascii="仿宋" w:eastAsia="仿宋" w:hAnsi="仿宋"/>
                <w:bCs/>
                <w:szCs w:val="21"/>
              </w:rPr>
            </w:pPr>
            <w:r>
              <w:rPr>
                <w:rFonts w:ascii="仿宋" w:eastAsia="仿宋" w:hAnsi="仿宋" w:hint="eastAsia"/>
              </w:rPr>
              <w:t>如代销机构规定与本规则不一致的，则以各代销机构规定为准，但不得低于本起点金额。</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追加</w:t>
            </w:r>
            <w:r>
              <w:rPr>
                <w:rFonts w:ascii="仿宋" w:eastAsia="仿宋" w:hAnsi="仿宋" w:hint="eastAsia"/>
                <w:bCs/>
                <w:szCs w:val="21"/>
              </w:rPr>
              <w:t xml:space="preserve">购买     </w:t>
            </w:r>
            <w:r>
              <w:rPr>
                <w:rFonts w:ascii="仿宋" w:eastAsia="仿宋" w:hAnsi="仿宋"/>
                <w:bCs/>
                <w:szCs w:val="21"/>
              </w:rPr>
              <w:t>最低金额</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ind w:firstLine="420"/>
              <w:rPr>
                <w:rFonts w:ascii="仿宋" w:eastAsia="仿宋" w:hAnsi="仿宋"/>
                <w:bCs/>
                <w:szCs w:val="21"/>
              </w:rPr>
            </w:pPr>
            <w:r>
              <w:rPr>
                <w:rFonts w:ascii="仿宋" w:eastAsia="仿宋" w:hAnsi="仿宋" w:hint="eastAsia"/>
                <w:bCs/>
                <w:szCs w:val="21"/>
              </w:rPr>
              <w:t>1</w:t>
            </w:r>
            <w:r>
              <w:rPr>
                <w:rFonts w:ascii="仿宋" w:eastAsia="仿宋" w:hAnsi="仿宋"/>
                <w:bCs/>
                <w:szCs w:val="21"/>
              </w:rPr>
              <w:t>元，以</w:t>
            </w:r>
            <w:r>
              <w:rPr>
                <w:rFonts w:ascii="仿宋" w:eastAsia="仿宋" w:hAnsi="仿宋" w:hint="eastAsia"/>
                <w:bCs/>
                <w:szCs w:val="21"/>
              </w:rPr>
              <w:t>1</w:t>
            </w:r>
            <w:r>
              <w:rPr>
                <w:rFonts w:ascii="仿宋" w:eastAsia="仿宋" w:hAnsi="仿宋"/>
                <w:bCs/>
                <w:szCs w:val="21"/>
              </w:rPr>
              <w:t>元的整数</w:t>
            </w:r>
            <w:proofErr w:type="gramStart"/>
            <w:r>
              <w:rPr>
                <w:rFonts w:ascii="仿宋" w:eastAsia="仿宋" w:hAnsi="仿宋"/>
                <w:bCs/>
                <w:szCs w:val="21"/>
              </w:rPr>
              <w:t>倍</w:t>
            </w:r>
            <w:proofErr w:type="gramEnd"/>
            <w:r>
              <w:rPr>
                <w:rFonts w:ascii="仿宋" w:eastAsia="仿宋" w:hAnsi="仿宋"/>
                <w:bCs/>
                <w:szCs w:val="21"/>
              </w:rPr>
              <w:t>追加</w:t>
            </w:r>
            <w:r>
              <w:rPr>
                <w:rFonts w:ascii="仿宋" w:eastAsia="仿宋" w:hAnsi="仿宋" w:hint="eastAsia"/>
                <w:bCs/>
                <w:szCs w:val="21"/>
              </w:rPr>
              <w:t>。</w:t>
            </w:r>
          </w:p>
          <w:p w:rsidR="004D106D" w:rsidRDefault="004D106D" w:rsidP="00953E3C">
            <w:pPr>
              <w:spacing w:line="240" w:lineRule="atLeast"/>
              <w:ind w:firstLine="420"/>
              <w:rPr>
                <w:rFonts w:ascii="仿宋" w:eastAsia="仿宋" w:hAnsi="仿宋"/>
                <w:bCs/>
                <w:szCs w:val="21"/>
              </w:rPr>
            </w:pPr>
            <w:r>
              <w:rPr>
                <w:rFonts w:ascii="仿宋" w:eastAsia="仿宋" w:hAnsi="仿宋" w:hint="eastAsia"/>
              </w:rPr>
              <w:t>如代销机构规定与本规则不一致，则以各代销机构规定为准，但不得低于本追加起点金额。</w:t>
            </w:r>
          </w:p>
        </w:tc>
      </w:tr>
      <w:tr w:rsidR="004D106D" w:rsidTr="00953E3C">
        <w:trPr>
          <w:jc w:val="center"/>
        </w:trPr>
        <w:tc>
          <w:tcPr>
            <w:tcW w:w="1730"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jc w:val="center"/>
              <w:rPr>
                <w:rFonts w:ascii="仿宋" w:eastAsia="仿宋" w:hAnsi="仿宋"/>
                <w:bCs/>
                <w:szCs w:val="21"/>
              </w:rPr>
            </w:pPr>
            <w:r>
              <w:rPr>
                <w:rFonts w:ascii="仿宋" w:eastAsia="仿宋" w:hAnsi="仿宋"/>
                <w:bCs/>
                <w:szCs w:val="21"/>
              </w:rPr>
              <w:t>单笔赎回</w:t>
            </w:r>
            <w:r>
              <w:rPr>
                <w:rFonts w:ascii="仿宋" w:eastAsia="仿宋" w:hAnsi="仿宋" w:hint="eastAsia"/>
                <w:bCs/>
                <w:szCs w:val="21"/>
              </w:rPr>
              <w:t xml:space="preserve">     </w:t>
            </w:r>
            <w:r>
              <w:rPr>
                <w:rFonts w:ascii="仿宋" w:eastAsia="仿宋" w:hAnsi="仿宋"/>
                <w:bCs/>
                <w:szCs w:val="21"/>
              </w:rPr>
              <w:t>最低</w:t>
            </w:r>
            <w:r>
              <w:rPr>
                <w:rFonts w:ascii="仿宋" w:eastAsia="仿宋" w:hAnsi="仿宋" w:hint="eastAsia"/>
                <w:bCs/>
                <w:szCs w:val="21"/>
              </w:rPr>
              <w:t>限</w:t>
            </w:r>
            <w:r>
              <w:rPr>
                <w:rFonts w:ascii="仿宋" w:eastAsia="仿宋" w:hAnsi="仿宋"/>
                <w:bCs/>
                <w:szCs w:val="21"/>
              </w:rPr>
              <w:t>额</w:t>
            </w:r>
          </w:p>
        </w:tc>
        <w:tc>
          <w:tcPr>
            <w:tcW w:w="7404" w:type="dxa"/>
            <w:tcBorders>
              <w:top w:val="single" w:sz="4" w:space="0" w:color="auto"/>
              <w:left w:val="single" w:sz="4" w:space="0" w:color="auto"/>
              <w:bottom w:val="single" w:sz="4" w:space="0" w:color="auto"/>
              <w:right w:val="single" w:sz="4" w:space="0" w:color="auto"/>
            </w:tcBorders>
            <w:vAlign w:val="center"/>
          </w:tcPr>
          <w:p w:rsidR="004D106D" w:rsidRDefault="004D106D" w:rsidP="00953E3C">
            <w:pPr>
              <w:spacing w:line="240" w:lineRule="atLeast"/>
              <w:ind w:firstLine="420"/>
              <w:rPr>
                <w:rFonts w:ascii="仿宋" w:eastAsia="仿宋" w:hAnsi="仿宋"/>
                <w:bCs/>
                <w:szCs w:val="21"/>
              </w:rPr>
            </w:pPr>
            <w:r>
              <w:rPr>
                <w:rFonts w:ascii="仿宋" w:eastAsia="仿宋" w:hAnsi="仿宋" w:hint="eastAsia"/>
                <w:bCs/>
                <w:szCs w:val="21"/>
              </w:rPr>
              <w:t>0.01份</w:t>
            </w:r>
          </w:p>
          <w:p w:rsidR="004D106D" w:rsidRDefault="004D106D" w:rsidP="00953E3C">
            <w:pPr>
              <w:spacing w:line="240" w:lineRule="atLeast"/>
              <w:ind w:firstLine="420"/>
              <w:rPr>
                <w:rFonts w:ascii="仿宋" w:eastAsia="仿宋" w:hAnsi="仿宋"/>
                <w:bCs/>
                <w:szCs w:val="21"/>
              </w:rPr>
            </w:pPr>
            <w:r>
              <w:rPr>
                <w:rFonts w:ascii="仿宋" w:eastAsia="仿宋" w:hAnsi="仿宋" w:hint="eastAsia"/>
                <w:bCs/>
                <w:szCs w:val="21"/>
              </w:rPr>
              <w:t>如代销机构规定与本规则不一致，则以各代销机构规定为准，但不得低于本条款约定限额。</w:t>
            </w:r>
          </w:p>
        </w:tc>
      </w:tr>
    </w:tbl>
    <w:p w:rsidR="0006322B" w:rsidRDefault="00610019" w:rsidP="001A556D">
      <w:pPr>
        <w:adjustRightInd/>
        <w:snapToGrid/>
        <w:spacing w:after="0"/>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w:t>
      </w:r>
      <w:proofErr w:type="gramStart"/>
      <w:r w:rsidRPr="00E05633">
        <w:rPr>
          <w:rFonts w:ascii="仿宋_GB2312" w:eastAsia="仿宋_GB2312" w:hAnsi="微软雅黑" w:cs="宋体" w:hint="eastAsia"/>
          <w:color w:val="FF0000"/>
          <w:sz w:val="32"/>
          <w:szCs w:val="32"/>
        </w:rPr>
        <w:t>阅产品</w:t>
      </w:r>
      <w:proofErr w:type="gramEnd"/>
      <w:r w:rsidRPr="00E05633">
        <w:rPr>
          <w:rFonts w:ascii="仿宋_GB2312" w:eastAsia="仿宋_GB2312" w:hAnsi="微软雅黑" w:cs="宋体" w:hint="eastAsia"/>
          <w:color w:val="FF0000"/>
          <w:sz w:val="32"/>
          <w:szCs w:val="32"/>
        </w:rPr>
        <w:t>说明书）</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A215C9" w:rsidRPr="00A215C9" w:rsidRDefault="00A215C9" w:rsidP="00867E9B">
      <w:pPr>
        <w:adjustRightInd/>
        <w:snapToGrid/>
        <w:spacing w:after="0"/>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sidR="001A556D">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A215C9" w:rsidRDefault="00A215C9" w:rsidP="00867E9B">
      <w:pPr>
        <w:adjustRightInd/>
        <w:snapToGrid/>
        <w:spacing w:after="0"/>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sidR="001A556D">
        <w:rPr>
          <w:rFonts w:ascii="仿宋_GB2312" w:eastAsia="仿宋_GB2312" w:hAnsi="微软雅黑" w:cs="宋体" w:hint="eastAsia"/>
          <w:color w:val="000000"/>
          <w:sz w:val="32"/>
          <w:szCs w:val="32"/>
        </w:rPr>
        <w:t>.</w:t>
      </w:r>
      <w:r w:rsidR="00E05633">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CD328F" w:rsidRDefault="00CD328F" w:rsidP="00867E9B">
      <w:pPr>
        <w:adjustRightInd/>
        <w:snapToGrid/>
        <w:spacing w:after="0"/>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lastRenderedPageBreak/>
        <w:t>3</w:t>
      </w:r>
      <w:r w:rsidR="001A556D">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如有其他未尽事宜以私人银行</w:t>
      </w:r>
      <w:proofErr w:type="gramStart"/>
      <w:r>
        <w:rPr>
          <w:rFonts w:ascii="仿宋_GB2312" w:eastAsia="仿宋_GB2312" w:hAnsi="微软雅黑" w:cs="宋体" w:hint="eastAsia"/>
          <w:color w:val="000000"/>
          <w:sz w:val="32"/>
          <w:szCs w:val="32"/>
        </w:rPr>
        <w:t>部解释</w:t>
      </w:r>
      <w:proofErr w:type="gramEnd"/>
      <w:r w:rsidR="00C15704">
        <w:rPr>
          <w:rFonts w:ascii="仿宋_GB2312" w:eastAsia="仿宋_GB2312" w:hAnsi="微软雅黑" w:cs="宋体" w:hint="eastAsia"/>
          <w:color w:val="000000"/>
          <w:sz w:val="32"/>
          <w:szCs w:val="32"/>
        </w:rPr>
        <w:t>为准。</w:t>
      </w:r>
    </w:p>
    <w:p w:rsidR="001A556D" w:rsidRPr="00867E9B" w:rsidRDefault="001A556D" w:rsidP="00A215C9">
      <w:pPr>
        <w:adjustRightInd/>
        <w:snapToGrid/>
        <w:spacing w:after="0"/>
        <w:rPr>
          <w:rFonts w:ascii="微软雅黑" w:hAnsi="微软雅黑" w:cs="宋体"/>
          <w:color w:val="000000"/>
          <w:sz w:val="30"/>
          <w:szCs w:val="30"/>
        </w:rPr>
      </w:pPr>
    </w:p>
    <w:p w:rsidR="001A556D" w:rsidRDefault="001A556D" w:rsidP="001A556D">
      <w:pPr>
        <w:adjustRightInd/>
        <w:snapToGrid/>
        <w:spacing w:after="0"/>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附件：1.</w:t>
      </w:r>
      <w:r w:rsidR="004D106D">
        <w:rPr>
          <w:rFonts w:ascii="仿宋_GB2312" w:eastAsia="仿宋_GB2312" w:hAnsi="微软雅黑" w:cs="宋体" w:hint="eastAsia"/>
          <w:color w:val="000000"/>
          <w:sz w:val="32"/>
          <w:szCs w:val="32"/>
        </w:rPr>
        <w:t>华夏理财固定收益纯债</w:t>
      </w:r>
      <w:bookmarkStart w:id="0" w:name="_GoBack"/>
      <w:bookmarkEnd w:id="0"/>
      <w:r w:rsidRPr="00B64889">
        <w:rPr>
          <w:rFonts w:ascii="仿宋_GB2312" w:eastAsia="仿宋_GB2312" w:hAnsi="微软雅黑" w:cs="宋体" w:hint="eastAsia"/>
          <w:color w:val="000000"/>
          <w:sz w:val="32"/>
          <w:szCs w:val="32"/>
        </w:rPr>
        <w:t>型</w:t>
      </w:r>
      <w:r w:rsidR="004D106D">
        <w:rPr>
          <w:rFonts w:ascii="仿宋_GB2312" w:eastAsia="仿宋_GB2312" w:hAnsi="微软雅黑" w:cs="宋体" w:hint="eastAsia"/>
          <w:color w:val="000000"/>
          <w:sz w:val="32"/>
          <w:szCs w:val="32"/>
        </w:rPr>
        <w:t>一年</w:t>
      </w:r>
      <w:r w:rsidRPr="00B64889">
        <w:rPr>
          <w:rFonts w:ascii="仿宋_GB2312" w:eastAsia="仿宋_GB2312" w:hAnsi="微软雅黑" w:cs="宋体" w:hint="eastAsia"/>
          <w:color w:val="000000"/>
          <w:sz w:val="32"/>
          <w:szCs w:val="32"/>
        </w:rPr>
        <w:t>定开理财产品</w:t>
      </w:r>
      <w:r w:rsidR="004D106D">
        <w:rPr>
          <w:rFonts w:ascii="仿宋_GB2312" w:eastAsia="仿宋_GB2312" w:hAnsi="微软雅黑" w:cs="宋体" w:hint="eastAsia"/>
          <w:color w:val="000000"/>
          <w:sz w:val="32"/>
          <w:szCs w:val="32"/>
        </w:rPr>
        <w:t>7</w:t>
      </w:r>
      <w:r w:rsidRPr="00B64889">
        <w:rPr>
          <w:rFonts w:ascii="仿宋_GB2312" w:eastAsia="仿宋_GB2312" w:hAnsi="微软雅黑" w:cs="宋体" w:hint="eastAsia"/>
          <w:color w:val="000000"/>
          <w:sz w:val="32"/>
          <w:szCs w:val="32"/>
        </w:rPr>
        <w:t>号说明书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2.华夏理财有限责任公司个人理财产品风险揭示书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3.华夏理财有限责任公司个人理财产品投资者权益须知</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4.华夏理财有限责任公司理财产品销售协议书</w:t>
      </w:r>
    </w:p>
    <w:p w:rsidR="001A556D" w:rsidRDefault="001A556D" w:rsidP="001A556D">
      <w:pPr>
        <w:adjustRightInd/>
        <w:snapToGrid/>
        <w:spacing w:after="0"/>
        <w:ind w:firstLineChars="500" w:firstLine="160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5.华夏理财有限责任公司理财产品投资协议书</w:t>
      </w:r>
    </w:p>
    <w:p w:rsidR="00A215C9" w:rsidRDefault="00A215C9" w:rsidP="00A215C9">
      <w:pPr>
        <w:adjustRightInd/>
        <w:snapToGrid/>
        <w:spacing w:after="0"/>
        <w:ind w:firstLine="645"/>
        <w:rPr>
          <w:rFonts w:ascii="微软雅黑" w:hAnsi="微软雅黑" w:cs="宋体"/>
          <w:color w:val="000000"/>
          <w:sz w:val="30"/>
          <w:szCs w:val="30"/>
        </w:rPr>
      </w:pPr>
    </w:p>
    <w:p w:rsidR="001A556D" w:rsidRDefault="001A556D" w:rsidP="00A215C9">
      <w:pPr>
        <w:adjustRightInd/>
        <w:snapToGrid/>
        <w:spacing w:after="0"/>
        <w:ind w:firstLine="645"/>
        <w:rPr>
          <w:rFonts w:ascii="微软雅黑" w:hAnsi="微软雅黑" w:cs="宋体"/>
          <w:color w:val="000000"/>
          <w:sz w:val="30"/>
          <w:szCs w:val="30"/>
        </w:rPr>
      </w:pPr>
    </w:p>
    <w:p w:rsidR="001A556D" w:rsidRPr="001A556D" w:rsidRDefault="001A556D" w:rsidP="00A215C9">
      <w:pPr>
        <w:adjustRightInd/>
        <w:snapToGrid/>
        <w:spacing w:after="0"/>
        <w:ind w:firstLine="645"/>
        <w:rPr>
          <w:rFonts w:ascii="微软雅黑" w:hAnsi="微软雅黑" w:cs="宋体"/>
          <w:color w:val="000000"/>
          <w:sz w:val="30"/>
          <w:szCs w:val="30"/>
        </w:rPr>
      </w:pPr>
    </w:p>
    <w:p w:rsidR="00A215C9" w:rsidRPr="00A215C9" w:rsidRDefault="00A215C9" w:rsidP="00A215C9">
      <w:pPr>
        <w:adjustRightInd/>
        <w:snapToGrid/>
        <w:spacing w:after="0"/>
        <w:ind w:firstLine="576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私人银行部</w:t>
      </w:r>
    </w:p>
    <w:p w:rsidR="004358AB" w:rsidRDefault="0070239F" w:rsidP="002777A1">
      <w:pPr>
        <w:adjustRightInd/>
        <w:snapToGrid/>
        <w:spacing w:after="0"/>
        <w:ind w:firstLine="5445"/>
      </w:pPr>
      <w:r>
        <w:rPr>
          <w:rFonts w:ascii="仿宋_GB2312" w:eastAsia="仿宋_GB2312" w:hAnsi="微软雅黑" w:cs="宋体" w:hint="eastAsia"/>
          <w:color w:val="000000"/>
          <w:sz w:val="32"/>
          <w:szCs w:val="32"/>
        </w:rPr>
        <w:t>20</w:t>
      </w:r>
      <w:r w:rsidR="00607EC0">
        <w:rPr>
          <w:rFonts w:ascii="仿宋_GB2312" w:eastAsia="仿宋_GB2312" w:hAnsi="微软雅黑" w:cs="宋体" w:hint="eastAsia"/>
          <w:color w:val="000000"/>
          <w:sz w:val="32"/>
          <w:szCs w:val="32"/>
        </w:rPr>
        <w:t>2</w:t>
      </w:r>
      <w:r w:rsidR="00FF20E5">
        <w:rPr>
          <w:rFonts w:ascii="仿宋_GB2312" w:eastAsia="仿宋_GB2312" w:hAnsi="微软雅黑" w:cs="宋体" w:hint="eastAsia"/>
          <w:color w:val="000000"/>
          <w:sz w:val="32"/>
          <w:szCs w:val="32"/>
        </w:rPr>
        <w:t>2</w:t>
      </w:r>
      <w:r w:rsidR="00A215C9" w:rsidRPr="00A215C9">
        <w:rPr>
          <w:rFonts w:ascii="仿宋_GB2312" w:eastAsia="仿宋_GB2312" w:hAnsi="微软雅黑" w:cs="宋体" w:hint="eastAsia"/>
          <w:color w:val="000000"/>
          <w:sz w:val="32"/>
          <w:szCs w:val="32"/>
        </w:rPr>
        <w:t>年</w:t>
      </w:r>
      <w:r w:rsidR="00144E0E">
        <w:rPr>
          <w:rFonts w:ascii="仿宋_GB2312" w:eastAsia="仿宋_GB2312" w:hAnsi="微软雅黑" w:cs="宋体" w:hint="eastAsia"/>
          <w:color w:val="000000"/>
          <w:sz w:val="32"/>
          <w:szCs w:val="32"/>
        </w:rPr>
        <w:t>06</w:t>
      </w:r>
      <w:r w:rsidR="00A215C9" w:rsidRPr="00A215C9">
        <w:rPr>
          <w:rFonts w:ascii="仿宋_GB2312" w:eastAsia="仿宋_GB2312" w:hAnsi="微软雅黑" w:cs="宋体" w:hint="eastAsia"/>
          <w:color w:val="000000"/>
          <w:sz w:val="32"/>
          <w:szCs w:val="32"/>
        </w:rPr>
        <w:t>月</w:t>
      </w:r>
      <w:r w:rsidR="00A372BB">
        <w:rPr>
          <w:rFonts w:ascii="仿宋_GB2312" w:eastAsia="仿宋_GB2312" w:hAnsi="微软雅黑" w:cs="宋体" w:hint="eastAsia"/>
          <w:color w:val="000000"/>
          <w:sz w:val="32"/>
          <w:szCs w:val="32"/>
        </w:rPr>
        <w:t>1</w:t>
      </w:r>
      <w:r w:rsidR="00536039">
        <w:rPr>
          <w:rFonts w:ascii="仿宋_GB2312" w:eastAsia="仿宋_GB2312" w:hAnsi="微软雅黑" w:cs="宋体" w:hint="eastAsia"/>
          <w:color w:val="000000"/>
          <w:sz w:val="32"/>
          <w:szCs w:val="32"/>
        </w:rPr>
        <w:t>6</w:t>
      </w:r>
      <w:r w:rsidR="00A215C9" w:rsidRPr="00A215C9">
        <w:rPr>
          <w:rFonts w:ascii="仿宋_GB2312" w:eastAsia="仿宋_GB2312" w:hAnsi="微软雅黑" w:cs="宋体" w:hint="eastAsia"/>
          <w:color w:val="000000"/>
          <w:sz w:val="32"/>
          <w:szCs w:val="32"/>
        </w:rPr>
        <w:t>日</w:t>
      </w: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7A79" w:rsidRDefault="008E7A79" w:rsidP="00A215C9">
      <w:pPr>
        <w:spacing w:after="0"/>
      </w:pPr>
      <w:r>
        <w:separator/>
      </w:r>
    </w:p>
  </w:endnote>
  <w:endnote w:type="continuationSeparator" w:id="0">
    <w:p w:rsidR="008E7A79" w:rsidRDefault="008E7A79" w:rsidP="00A215C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7A79" w:rsidRDefault="008E7A79" w:rsidP="00A215C9">
      <w:pPr>
        <w:spacing w:after="0"/>
      </w:pPr>
      <w:r>
        <w:separator/>
      </w:r>
    </w:p>
  </w:footnote>
  <w:footnote w:type="continuationSeparator" w:id="0">
    <w:p w:rsidR="008E7A79" w:rsidRDefault="008E7A79" w:rsidP="00A215C9">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8BDC51"/>
    <w:multiLevelType w:val="singleLevel"/>
    <w:tmpl w:val="608BDC51"/>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31D50"/>
    <w:rsid w:val="00010C68"/>
    <w:rsid w:val="00012652"/>
    <w:rsid w:val="0002233E"/>
    <w:rsid w:val="000263A0"/>
    <w:rsid w:val="000430CA"/>
    <w:rsid w:val="00050465"/>
    <w:rsid w:val="000547BB"/>
    <w:rsid w:val="000571BC"/>
    <w:rsid w:val="0006322B"/>
    <w:rsid w:val="00067DDC"/>
    <w:rsid w:val="000729EB"/>
    <w:rsid w:val="000812F4"/>
    <w:rsid w:val="000936F7"/>
    <w:rsid w:val="000957AC"/>
    <w:rsid w:val="000A5028"/>
    <w:rsid w:val="000E18A2"/>
    <w:rsid w:val="000E1B34"/>
    <w:rsid w:val="000E1FA9"/>
    <w:rsid w:val="000E7543"/>
    <w:rsid w:val="001005C6"/>
    <w:rsid w:val="0010440D"/>
    <w:rsid w:val="001225F8"/>
    <w:rsid w:val="00144E0E"/>
    <w:rsid w:val="00157799"/>
    <w:rsid w:val="001642B1"/>
    <w:rsid w:val="00174CF3"/>
    <w:rsid w:val="00174FC8"/>
    <w:rsid w:val="001A556D"/>
    <w:rsid w:val="001A6DC6"/>
    <w:rsid w:val="001B2273"/>
    <w:rsid w:val="001F72B5"/>
    <w:rsid w:val="00201E20"/>
    <w:rsid w:val="00206F8F"/>
    <w:rsid w:val="00216E71"/>
    <w:rsid w:val="002235BC"/>
    <w:rsid w:val="002317E9"/>
    <w:rsid w:val="00233CED"/>
    <w:rsid w:val="00236FDA"/>
    <w:rsid w:val="002513BD"/>
    <w:rsid w:val="00251BF3"/>
    <w:rsid w:val="00277323"/>
    <w:rsid w:val="002777A1"/>
    <w:rsid w:val="00283408"/>
    <w:rsid w:val="002866F6"/>
    <w:rsid w:val="0029028F"/>
    <w:rsid w:val="002B1948"/>
    <w:rsid w:val="002C248B"/>
    <w:rsid w:val="002D396F"/>
    <w:rsid w:val="002D757D"/>
    <w:rsid w:val="002E3ECB"/>
    <w:rsid w:val="002F1002"/>
    <w:rsid w:val="003059D5"/>
    <w:rsid w:val="00307430"/>
    <w:rsid w:val="00322857"/>
    <w:rsid w:val="00322F4C"/>
    <w:rsid w:val="00323B43"/>
    <w:rsid w:val="00347193"/>
    <w:rsid w:val="00353BA9"/>
    <w:rsid w:val="003A1933"/>
    <w:rsid w:val="003C0D6B"/>
    <w:rsid w:val="003C1D41"/>
    <w:rsid w:val="003D37D8"/>
    <w:rsid w:val="003D4715"/>
    <w:rsid w:val="00422AD1"/>
    <w:rsid w:val="00426133"/>
    <w:rsid w:val="00426162"/>
    <w:rsid w:val="004358AB"/>
    <w:rsid w:val="00443E90"/>
    <w:rsid w:val="00450005"/>
    <w:rsid w:val="0045680A"/>
    <w:rsid w:val="004633B0"/>
    <w:rsid w:val="00464293"/>
    <w:rsid w:val="00476C3B"/>
    <w:rsid w:val="00484A94"/>
    <w:rsid w:val="00485549"/>
    <w:rsid w:val="0049140E"/>
    <w:rsid w:val="004C175A"/>
    <w:rsid w:val="004D106D"/>
    <w:rsid w:val="005100BA"/>
    <w:rsid w:val="005168C5"/>
    <w:rsid w:val="005218F6"/>
    <w:rsid w:val="00523BDD"/>
    <w:rsid w:val="00536039"/>
    <w:rsid w:val="00536DF2"/>
    <w:rsid w:val="00543782"/>
    <w:rsid w:val="00556398"/>
    <w:rsid w:val="005B45CF"/>
    <w:rsid w:val="005C31E9"/>
    <w:rsid w:val="005C59D9"/>
    <w:rsid w:val="005D072F"/>
    <w:rsid w:val="005F28C4"/>
    <w:rsid w:val="005F2B78"/>
    <w:rsid w:val="00606205"/>
    <w:rsid w:val="00607EC0"/>
    <w:rsid w:val="00610019"/>
    <w:rsid w:val="006110FC"/>
    <w:rsid w:val="00611544"/>
    <w:rsid w:val="006148C9"/>
    <w:rsid w:val="0061606F"/>
    <w:rsid w:val="006214F4"/>
    <w:rsid w:val="00671CB5"/>
    <w:rsid w:val="006A2B25"/>
    <w:rsid w:val="006A3869"/>
    <w:rsid w:val="006B534A"/>
    <w:rsid w:val="006C44CC"/>
    <w:rsid w:val="006D4378"/>
    <w:rsid w:val="006F7825"/>
    <w:rsid w:val="00701C74"/>
    <w:rsid w:val="0070239F"/>
    <w:rsid w:val="007248B8"/>
    <w:rsid w:val="0073205A"/>
    <w:rsid w:val="007353CA"/>
    <w:rsid w:val="0073541E"/>
    <w:rsid w:val="00740E8C"/>
    <w:rsid w:val="00741563"/>
    <w:rsid w:val="007675CD"/>
    <w:rsid w:val="00774A8F"/>
    <w:rsid w:val="00783419"/>
    <w:rsid w:val="00793A91"/>
    <w:rsid w:val="007B320A"/>
    <w:rsid w:val="007C4E2D"/>
    <w:rsid w:val="007D35F2"/>
    <w:rsid w:val="00822531"/>
    <w:rsid w:val="008301EB"/>
    <w:rsid w:val="008316FD"/>
    <w:rsid w:val="008450A8"/>
    <w:rsid w:val="008507C0"/>
    <w:rsid w:val="00854BCB"/>
    <w:rsid w:val="00867E9B"/>
    <w:rsid w:val="00884835"/>
    <w:rsid w:val="00887C39"/>
    <w:rsid w:val="00893277"/>
    <w:rsid w:val="00896D1C"/>
    <w:rsid w:val="008A6AC1"/>
    <w:rsid w:val="008B008A"/>
    <w:rsid w:val="008B4334"/>
    <w:rsid w:val="008B6523"/>
    <w:rsid w:val="008B7726"/>
    <w:rsid w:val="008E7A79"/>
    <w:rsid w:val="008F2B7A"/>
    <w:rsid w:val="008F7CA5"/>
    <w:rsid w:val="00903E35"/>
    <w:rsid w:val="00911DE1"/>
    <w:rsid w:val="0092193A"/>
    <w:rsid w:val="00921DC2"/>
    <w:rsid w:val="009511C5"/>
    <w:rsid w:val="00951BFC"/>
    <w:rsid w:val="00953E58"/>
    <w:rsid w:val="0096633A"/>
    <w:rsid w:val="0096677C"/>
    <w:rsid w:val="00986A17"/>
    <w:rsid w:val="00996AC4"/>
    <w:rsid w:val="009A6871"/>
    <w:rsid w:val="009B2786"/>
    <w:rsid w:val="009E16F2"/>
    <w:rsid w:val="00A212F3"/>
    <w:rsid w:val="00A215C9"/>
    <w:rsid w:val="00A30CF8"/>
    <w:rsid w:val="00A372BB"/>
    <w:rsid w:val="00A6775F"/>
    <w:rsid w:val="00A838DC"/>
    <w:rsid w:val="00A84AE0"/>
    <w:rsid w:val="00A9135E"/>
    <w:rsid w:val="00AA23FA"/>
    <w:rsid w:val="00AB6BA4"/>
    <w:rsid w:val="00AC6774"/>
    <w:rsid w:val="00AD4C9C"/>
    <w:rsid w:val="00AE6487"/>
    <w:rsid w:val="00B01B88"/>
    <w:rsid w:val="00B11389"/>
    <w:rsid w:val="00B12517"/>
    <w:rsid w:val="00B126A7"/>
    <w:rsid w:val="00B22801"/>
    <w:rsid w:val="00B24A4C"/>
    <w:rsid w:val="00B27E33"/>
    <w:rsid w:val="00B4326E"/>
    <w:rsid w:val="00B55C83"/>
    <w:rsid w:val="00B73A10"/>
    <w:rsid w:val="00B73AC3"/>
    <w:rsid w:val="00B82938"/>
    <w:rsid w:val="00B93CFE"/>
    <w:rsid w:val="00C00041"/>
    <w:rsid w:val="00C15704"/>
    <w:rsid w:val="00C23A87"/>
    <w:rsid w:val="00C468C3"/>
    <w:rsid w:val="00C66A8C"/>
    <w:rsid w:val="00C71423"/>
    <w:rsid w:val="00CB16FF"/>
    <w:rsid w:val="00CB29BA"/>
    <w:rsid w:val="00CC2EB3"/>
    <w:rsid w:val="00CD328F"/>
    <w:rsid w:val="00CD74BD"/>
    <w:rsid w:val="00CE384A"/>
    <w:rsid w:val="00CF46C2"/>
    <w:rsid w:val="00D01BC1"/>
    <w:rsid w:val="00D10241"/>
    <w:rsid w:val="00D31D50"/>
    <w:rsid w:val="00D42DFD"/>
    <w:rsid w:val="00D476F9"/>
    <w:rsid w:val="00D5491D"/>
    <w:rsid w:val="00D67754"/>
    <w:rsid w:val="00D763B7"/>
    <w:rsid w:val="00DB267C"/>
    <w:rsid w:val="00DC02CD"/>
    <w:rsid w:val="00DC08E6"/>
    <w:rsid w:val="00DE0EDD"/>
    <w:rsid w:val="00DE145A"/>
    <w:rsid w:val="00E05633"/>
    <w:rsid w:val="00E13180"/>
    <w:rsid w:val="00E148A2"/>
    <w:rsid w:val="00E14B44"/>
    <w:rsid w:val="00E161F9"/>
    <w:rsid w:val="00E210A0"/>
    <w:rsid w:val="00E342C9"/>
    <w:rsid w:val="00E35A97"/>
    <w:rsid w:val="00E4304A"/>
    <w:rsid w:val="00E4505D"/>
    <w:rsid w:val="00E51943"/>
    <w:rsid w:val="00E63BFD"/>
    <w:rsid w:val="00E65FB9"/>
    <w:rsid w:val="00E679DB"/>
    <w:rsid w:val="00E774C6"/>
    <w:rsid w:val="00E807D3"/>
    <w:rsid w:val="00EA1489"/>
    <w:rsid w:val="00EB4102"/>
    <w:rsid w:val="00EC780B"/>
    <w:rsid w:val="00EE2BF0"/>
    <w:rsid w:val="00EE50F7"/>
    <w:rsid w:val="00F04234"/>
    <w:rsid w:val="00F21AAA"/>
    <w:rsid w:val="00F340F3"/>
    <w:rsid w:val="00F634A7"/>
    <w:rsid w:val="00F805F0"/>
    <w:rsid w:val="00F957A8"/>
    <w:rsid w:val="00FA233C"/>
    <w:rsid w:val="00FC73A4"/>
    <w:rsid w:val="00FD35EB"/>
    <w:rsid w:val="00FE0475"/>
    <w:rsid w:val="00FE272F"/>
    <w:rsid w:val="00FF20E5"/>
    <w:rsid w:val="00FF3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215C9"/>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rsid w:val="00A215C9"/>
    <w:rPr>
      <w:rFonts w:ascii="Tahoma" w:hAnsi="Tahoma"/>
      <w:sz w:val="18"/>
      <w:szCs w:val="18"/>
    </w:rPr>
  </w:style>
  <w:style w:type="paragraph" w:styleId="a4">
    <w:name w:val="footer"/>
    <w:basedOn w:val="a"/>
    <w:link w:val="Char0"/>
    <w:uiPriority w:val="99"/>
    <w:unhideWhenUsed/>
    <w:rsid w:val="00A215C9"/>
    <w:pPr>
      <w:tabs>
        <w:tab w:val="center" w:pos="4153"/>
        <w:tab w:val="right" w:pos="8306"/>
      </w:tabs>
    </w:pPr>
    <w:rPr>
      <w:sz w:val="18"/>
      <w:szCs w:val="18"/>
    </w:rPr>
  </w:style>
  <w:style w:type="character" w:customStyle="1" w:styleId="Char0">
    <w:name w:val="页脚 Char"/>
    <w:basedOn w:val="a0"/>
    <w:link w:val="a4"/>
    <w:uiPriority w:val="99"/>
    <w:rsid w:val="00A215C9"/>
    <w:rPr>
      <w:rFonts w:ascii="Tahoma" w:hAnsi="Tahoma"/>
      <w:sz w:val="18"/>
      <w:szCs w:val="18"/>
    </w:rPr>
  </w:style>
  <w:style w:type="character" w:styleId="a5">
    <w:name w:val="Strong"/>
    <w:basedOn w:val="a0"/>
    <w:uiPriority w:val="22"/>
    <w:qFormat/>
    <w:rsid w:val="00A215C9"/>
    <w:rPr>
      <w:b/>
      <w:bCs/>
    </w:rPr>
  </w:style>
  <w:style w:type="character" w:customStyle="1" w:styleId="apple-converted-space">
    <w:name w:val="apple-converted-space"/>
    <w:basedOn w:val="a0"/>
    <w:rsid w:val="00A215C9"/>
  </w:style>
  <w:style w:type="character" w:styleId="a6">
    <w:name w:val="Hyperlink"/>
    <w:basedOn w:val="a0"/>
    <w:uiPriority w:val="99"/>
    <w:semiHidden/>
    <w:unhideWhenUsed/>
    <w:rsid w:val="00A215C9"/>
    <w:rPr>
      <w:color w:val="0000FF"/>
      <w:u w:val="single"/>
    </w:rPr>
  </w:style>
  <w:style w:type="paragraph" w:styleId="a7">
    <w:name w:val="Normal (Web)"/>
    <w:basedOn w:val="a"/>
    <w:uiPriority w:val="99"/>
    <w:unhideWhenUsed/>
    <w:rsid w:val="00A215C9"/>
    <w:pPr>
      <w:adjustRightInd/>
      <w:snapToGrid/>
      <w:spacing w:before="100" w:beforeAutospacing="1" w:after="100" w:afterAutospacing="1"/>
    </w:pPr>
    <w:rPr>
      <w:rFonts w:ascii="宋体" w:eastAsia="宋体" w:hAnsi="宋体" w:cs="宋体"/>
      <w:sz w:val="24"/>
      <w:szCs w:val="24"/>
    </w:rPr>
  </w:style>
  <w:style w:type="paragraph" w:styleId="a8">
    <w:name w:val="Balloon Text"/>
    <w:basedOn w:val="a"/>
    <w:link w:val="Char1"/>
    <w:uiPriority w:val="99"/>
    <w:semiHidden/>
    <w:unhideWhenUsed/>
    <w:rsid w:val="002235BC"/>
    <w:pPr>
      <w:spacing w:after="0"/>
    </w:pPr>
    <w:rPr>
      <w:sz w:val="18"/>
      <w:szCs w:val="18"/>
    </w:rPr>
  </w:style>
  <w:style w:type="character" w:customStyle="1" w:styleId="Char1">
    <w:name w:val="批注框文本 Char"/>
    <w:basedOn w:val="a0"/>
    <w:link w:val="a8"/>
    <w:uiPriority w:val="99"/>
    <w:semiHidden/>
    <w:rsid w:val="002235BC"/>
    <w:rPr>
      <w:rFonts w:ascii="Tahoma" w:hAnsi="Tahom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734467">
      <w:bodyDiv w:val="1"/>
      <w:marLeft w:val="0"/>
      <w:marRight w:val="0"/>
      <w:marTop w:val="0"/>
      <w:marBottom w:val="0"/>
      <w:divBdr>
        <w:top w:val="none" w:sz="0" w:space="0" w:color="auto"/>
        <w:left w:val="none" w:sz="0" w:space="0" w:color="auto"/>
        <w:bottom w:val="none" w:sz="0" w:space="0" w:color="auto"/>
        <w:right w:val="none" w:sz="0" w:space="0" w:color="auto"/>
      </w:divBdr>
      <w:divsChild>
        <w:div w:id="767775471">
          <w:marLeft w:val="0"/>
          <w:marRight w:val="0"/>
          <w:marTop w:val="0"/>
          <w:marBottom w:val="0"/>
          <w:divBdr>
            <w:top w:val="none" w:sz="0" w:space="0" w:color="auto"/>
            <w:left w:val="none" w:sz="0" w:space="0" w:color="auto"/>
            <w:bottom w:val="none" w:sz="0" w:space="0" w:color="auto"/>
            <w:right w:val="none" w:sz="0" w:space="0" w:color="auto"/>
          </w:divBdr>
        </w:div>
        <w:div w:id="715815241">
          <w:marLeft w:val="0"/>
          <w:marRight w:val="0"/>
          <w:marTop w:val="0"/>
          <w:marBottom w:val="0"/>
          <w:divBdr>
            <w:top w:val="none" w:sz="0" w:space="0" w:color="auto"/>
            <w:left w:val="none" w:sz="0" w:space="0" w:color="auto"/>
            <w:bottom w:val="none" w:sz="0" w:space="0" w:color="auto"/>
            <w:right w:val="none" w:sz="0" w:space="0" w:color="auto"/>
          </w:divBdr>
        </w:div>
        <w:div w:id="359168449">
          <w:marLeft w:val="0"/>
          <w:marRight w:val="0"/>
          <w:marTop w:val="0"/>
          <w:marBottom w:val="0"/>
          <w:divBdr>
            <w:top w:val="none" w:sz="0" w:space="0" w:color="auto"/>
            <w:left w:val="none" w:sz="0" w:space="0" w:color="auto"/>
            <w:bottom w:val="none" w:sz="0" w:space="0" w:color="auto"/>
            <w:right w:val="none" w:sz="0" w:space="0" w:color="auto"/>
          </w:divBdr>
        </w:div>
        <w:div w:id="2072342718">
          <w:marLeft w:val="0"/>
          <w:marRight w:val="0"/>
          <w:marTop w:val="0"/>
          <w:marBottom w:val="0"/>
          <w:divBdr>
            <w:top w:val="none" w:sz="0" w:space="0" w:color="auto"/>
            <w:left w:val="none" w:sz="0" w:space="0" w:color="auto"/>
            <w:bottom w:val="none" w:sz="0" w:space="0" w:color="auto"/>
            <w:right w:val="none" w:sz="0" w:space="0" w:color="auto"/>
          </w:divBdr>
        </w:div>
        <w:div w:id="11364878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1636</TotalTime>
  <Pages>4</Pages>
  <Words>392</Words>
  <Characters>2240</Characters>
  <Application>Microsoft Office Word</Application>
  <DocSecurity>0</DocSecurity>
  <Lines>18</Lines>
  <Paragraphs>5</Paragraphs>
  <ScaleCrop>false</ScaleCrop>
  <Company/>
  <LinksUpToDate>false</LinksUpToDate>
  <CharactersWithSpaces>2627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刘云飞</cp:lastModifiedBy>
  <cp:revision>132</cp:revision>
  <cp:lastPrinted>2021-06-03T04:20:00Z</cp:lastPrinted>
  <dcterms:created xsi:type="dcterms:W3CDTF">2008-09-11T17:20:00Z</dcterms:created>
  <dcterms:modified xsi:type="dcterms:W3CDTF">2022-06-16T07:39:00Z</dcterms:modified>
</cp:coreProperties>
</file>