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南银理财珠联璧合鑫逸稳一年125期封闭式公募人民币理财产品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5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 w:firstRow="1" w:lastRow="0" w:firstColumn="1" w:lastColumn="0" w:noHBand="0" w:noVBand="1"/>
      </w:tblPr>
      <w:tblGrid>
        <w:gridCol w:w="2518"/>
        <w:gridCol w:w="6662"/>
      </w:tblGrid>
      <w:tr w:rsidR="00646F9B" w:rsidRPr="00B82CFA" w:rsidTr="00B001FC">
        <w:tc>
          <w:tcPr>
            <w:tcW w:w="9180" w:type="dxa"/>
            <w:gridSpan w:val="2"/>
          </w:tcPr>
          <w:p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南银理财珠联璧合鑫逸稳一年125期封闭式公募人民币理财产品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ZZ700322301565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Y30125、Y31125、Y32125、Y33125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2023年07月26日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2024年08月17日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:rsidTr="00B001FC">
        <w:trPr>
          <w:jc w:val="center"/>
        </w:trPr>
        <w:tc>
          <w:tcPr>
            <w:tcW w:w="10597" w:type="dxa"/>
            <w:gridSpan w:val="8"/>
          </w:tcPr>
          <w:p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:rsidTr="00B001FC">
        <w:trPr>
          <w:jc w:val="center"/>
        </w:trPr>
        <w:tc>
          <w:tcPr>
            <w:tcW w:w="10598" w:type="dxa"/>
            <w:gridSpan w:val="8"/>
          </w:tcPr>
          <w:p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3、减少的非标准化资产明细</w:t>
            </w:r>
            <w:bookmarkStart w:id="0" w:name="_GoBack"/>
            <w:bookmarkEnd w:id="0"/>
          </w:p>
        </w:tc>
      </w:tr>
      <w:tr w:rsidR="00646F9B" w:rsidRPr="00B82CFA" w:rsidTr="003F4F93">
        <w:trPr>
          <w:jc w:val="center"/>
        </w:trPr>
        <w:tc>
          <w:tcPr>
            <w:tcW w:w="708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</w:t>
            </w: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限（天）</w:t>
            </w:r>
          </w:p>
        </w:tc>
        <w:tc>
          <w:tcPr>
            <w:tcW w:w="169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到期收益分配</w:t>
            </w:r>
          </w:p>
        </w:tc>
        <w:tc>
          <w:tcPr>
            <w:tcW w:w="127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</w:t>
            </w: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2024年08月17日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徐州市铜山区城市建设投资有限责任公司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23铜山城投05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0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利随本清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理财直接融资工具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:rsidR="00646F9B" w:rsidRDefault="00646F9B" w:rsidP="00646F9B">
      <w:pPr>
        <w:pStyle w:val="1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南银理财有限责任公司</w:t>
      </w:r>
    </w:p>
    <w:p w:rsidR="00646F9B" w:rsidRPr="00B82CFA" w:rsidRDefault="00F902BF" w:rsidP="00646F9B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2024年08月19日</w:t>
      </w:r>
    </w:p>
    <w:p w:rsidR="00984DCF" w:rsidRPr="00646F9B" w:rsidRDefault="00984DCF"/>
    <w:sectPr w:rsidR="00984DCF" w:rsidRPr="00646F9B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239EA" w:rsidRDefault="00C239EA" w:rsidP="00646F9B">
      <w:r>
        <w:separator/>
      </w:r>
    </w:p>
  </w:endnote>
  <w:endnote w:type="continuationSeparator" w:id="0">
    <w:p w:rsidR="00C239EA" w:rsidRDefault="00C239EA" w:rsidP="00646F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239EA" w:rsidRDefault="00C239EA" w:rsidP="00646F9B">
      <w:r>
        <w:separator/>
      </w:r>
    </w:p>
  </w:footnote>
  <w:footnote w:type="continuationSeparator" w:id="0">
    <w:p w:rsidR="00C239EA" w:rsidRDefault="00C239EA" w:rsidP="00646F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64271C"/>
    <w:rsid w:val="00646F9B"/>
    <w:rsid w:val="00714FDD"/>
    <w:rsid w:val="00793FDD"/>
    <w:rsid w:val="007E30E7"/>
    <w:rsid w:val="007F54FF"/>
    <w:rsid w:val="008340A5"/>
    <w:rsid w:val="00834388"/>
    <w:rsid w:val="00870DDB"/>
    <w:rsid w:val="00882F95"/>
    <w:rsid w:val="00984DCF"/>
    <w:rsid w:val="009966B9"/>
    <w:rsid w:val="00A97B16"/>
    <w:rsid w:val="00B82CFA"/>
    <w:rsid w:val="00C02B4D"/>
    <w:rsid w:val="00C118B5"/>
    <w:rsid w:val="00C239EA"/>
    <w:rsid w:val="00CC5DCF"/>
    <w:rsid w:val="00D21766"/>
    <w:rsid w:val="00D625CD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EE550A3-0AEF-4A60-95A8-0E6E7AB4F2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6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5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2</Pages>
  <Words>103</Words>
  <Characters>588</Characters>
  <Application>Microsoft Office Word</Application>
  <DocSecurity>0</DocSecurity>
  <Lines>4</Lines>
  <Paragraphs>1</Paragraphs>
  <ScaleCrop>false</ScaleCrop>
  <Company/>
  <LinksUpToDate>false</LinksUpToDate>
  <CharactersWithSpaces>690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兆尹科技</cp:lastModifiedBy>
  <dcterms:modified xsi:type="dcterms:W3CDTF">2023-11-17T00:39:00Z</dcterms:modified>
  <cp:revision>25</cp:revision>
</cp:coreProperties>
</file>