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BAC237" w14:textId="77777777" w:rsidR="00693847" w:rsidRDefault="00FC1D70">
      <w:pPr>
        <w:spacing w:line="0" w:lineRule="atLeast"/>
        <w:jc w:val="center"/>
        <w:rPr>
          <w:rFonts w:hAnsi="方正黑体_GBK" w:cs="方正黑体_GBK" w:hint="eastAsia"/>
          <w:b/>
          <w:bCs/>
          <w:kern w:val="0"/>
          <w:sz w:val="24"/>
          <w:szCs w:val="24"/>
        </w:rPr>
      </w:pPr>
      <w:r>
        <w:rPr>
          <w:rFonts w:hAnsi="方正黑体_GBK" w:cs="方正黑体_GBK" w:hint="eastAsia"/>
          <w:b/>
          <w:bCs/>
          <w:kern w:val="0"/>
          <w:sz w:val="24"/>
          <w:szCs w:val="24"/>
        </w:rPr>
        <w:t>理财产品风险揭示书</w:t>
      </w:r>
    </w:p>
    <w:p w14:paraId="5BB96A1B" w14:textId="77777777" w:rsidR="00693847" w:rsidRDefault="00FC1D70">
      <w:pPr>
        <w:spacing w:line="0" w:lineRule="atLeast"/>
        <w:jc w:val="center"/>
        <w:rPr>
          <w:rFonts w:hAnsi="方正黑体_GBK" w:cs="方正黑体_GBK" w:hint="eastAsia"/>
          <w:color w:val="3D3D3D"/>
          <w:kern w:val="0"/>
          <w:sz w:val="18"/>
          <w:szCs w:val="18"/>
        </w:rPr>
      </w:pPr>
      <w:r>
        <w:rPr>
          <w:rFonts w:hAnsi="方正黑体_GBK" w:cs="方正黑体_GBK" w:hint="eastAsia"/>
          <w:b/>
          <w:bCs/>
          <w:i/>
          <w:iCs/>
          <w:kern w:val="0"/>
          <w:sz w:val="24"/>
          <w:szCs w:val="24"/>
          <w:u w:val="single"/>
        </w:rPr>
        <w:t>“理财非存款、产品有风险、投资须谨慎”！</w:t>
      </w:r>
    </w:p>
    <w:p w14:paraId="73287B80" w14:textId="77777777" w:rsidR="00693847" w:rsidRDefault="00FC1D70">
      <w:pPr>
        <w:widowControl/>
        <w:spacing w:line="200" w:lineRule="exact"/>
        <w:ind w:firstLineChars="200" w:firstLine="260"/>
        <w:rPr>
          <w:rFonts w:hAnsi="方正黑体_GBK" w:cs="方正黑体_GBK" w:hint="eastAsia"/>
          <w:b/>
          <w:color w:val="3D3D3D"/>
          <w:kern w:val="0"/>
          <w:sz w:val="13"/>
          <w:szCs w:val="13"/>
        </w:rPr>
      </w:pPr>
      <w:r>
        <w:rPr>
          <w:rFonts w:hAnsi="方正黑体_GBK" w:cs="方正黑体_GBK" w:hint="eastAsia"/>
          <w:b/>
          <w:color w:val="3D3D3D"/>
          <w:kern w:val="0"/>
          <w:sz w:val="13"/>
          <w:szCs w:val="13"/>
        </w:rPr>
        <w:t>本理财产品是</w:t>
      </w:r>
      <w:r>
        <w:rPr>
          <w:rFonts w:hAnsi="方正黑体_GBK" w:cs="方正黑体_GBK" w:hint="eastAsia"/>
          <w:b/>
          <w:i/>
          <w:iCs/>
          <w:color w:val="3D3D3D"/>
          <w:kern w:val="0"/>
          <w:sz w:val="20"/>
          <w:szCs w:val="20"/>
          <w:u w:val="single"/>
        </w:rPr>
        <w:t>开放式、固定收益类、公募、净值型</w:t>
      </w:r>
      <w:r>
        <w:rPr>
          <w:rFonts w:hAnsi="方正黑体_GBK" w:cs="方正黑体_GBK" w:hint="eastAsia"/>
          <w:b/>
          <w:color w:val="3D3D3D"/>
          <w:kern w:val="0"/>
          <w:sz w:val="13"/>
          <w:szCs w:val="13"/>
        </w:rPr>
        <w:t>理财产品，</w:t>
      </w:r>
      <w:r>
        <w:rPr>
          <w:rFonts w:hAnsi="方正黑体_GBK" w:cs="方正黑体_GBK" w:hint="eastAsia"/>
          <w:b/>
          <w:i/>
          <w:iCs/>
          <w:color w:val="3D3D3D"/>
          <w:kern w:val="0"/>
          <w:sz w:val="20"/>
          <w:szCs w:val="20"/>
          <w:u w:val="single"/>
        </w:rPr>
        <w:t>不保证本金和收益</w:t>
      </w:r>
      <w:r>
        <w:rPr>
          <w:rFonts w:hAnsi="方正黑体_GBK" w:cs="方正黑体_GBK" w:hint="eastAsia"/>
          <w:b/>
          <w:color w:val="3D3D3D"/>
          <w:kern w:val="0"/>
          <w:sz w:val="13"/>
          <w:szCs w:val="13"/>
        </w:rPr>
        <w:t>，您（以下或称为“投资者”）的本金与收益可能会蒙受全部或部分损失，在您选择购买本理财产品前，您应仔细阅读对应期次的《理财产品风险揭示书》《理财产品说明书》《投资者权益须知》《理财产品销售协议书》和《理财产品投资协议书》（以下合称“理财产品销售文件”），了解本理财产品信息及详细条款。</w:t>
      </w:r>
    </w:p>
    <w:p w14:paraId="7316DAB4" w14:textId="77777777" w:rsidR="00693847" w:rsidRDefault="00FC1D70">
      <w:pPr>
        <w:widowControl/>
        <w:spacing w:line="200" w:lineRule="exact"/>
        <w:ind w:firstLineChars="200" w:firstLine="260"/>
        <w:rPr>
          <w:rFonts w:hAnsi="方正黑体_GBK" w:cs="方正黑体_GBK" w:hint="eastAsia"/>
          <w:b/>
          <w:color w:val="3D3D3D"/>
          <w:kern w:val="0"/>
          <w:sz w:val="13"/>
          <w:szCs w:val="13"/>
        </w:rPr>
      </w:pPr>
      <w:r>
        <w:rPr>
          <w:rFonts w:hAnsi="方正黑体_GBK" w:cs="方正黑体_GBK" w:hint="eastAsia"/>
          <w:b/>
          <w:color w:val="3D3D3D"/>
          <w:kern w:val="0"/>
          <w:sz w:val="13"/>
          <w:szCs w:val="13"/>
        </w:rPr>
        <w:t>重要提示：南银理财有限责任公司（以下简称为“南银理财”、“理财产品管理人”、“产品管理人”或“管理人”）作为本理财产品管理人将为投资者利益以诚实信用、勤勉尽职的原则管理和运用理财产品资金，但不保证理财产品本金和收益，您可能因市场变动或多种风险因素而损失全部本金且无法取得任何收益。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您应该充分认识本理财产品的投资风险，本着“充分了解风险，自主选择购买”的原则，谨慎决策，自主决定将合法所有的自有资金用于购买本理财产品。理财产品过往业绩不代表其未来表现，不等于理财产品实际收益，不构成管理人对理财产品业绩表现的保证，投资须谨慎！在购买本理财产品后，您应随时关注产品的信息披露情况，及时获取相关信息。</w:t>
      </w:r>
    </w:p>
    <w:p w14:paraId="4ED1194F" w14:textId="77777777" w:rsidR="00693847" w:rsidRDefault="00FC1D70">
      <w:pPr>
        <w:widowControl/>
        <w:spacing w:line="200" w:lineRule="exact"/>
        <w:ind w:firstLineChars="200" w:firstLine="260"/>
        <w:rPr>
          <w:rFonts w:hAnsi="方正黑体_GBK" w:cs="方正黑体_GBK" w:hint="eastAsia"/>
          <w:color w:val="3D3D3D"/>
          <w:kern w:val="0"/>
          <w:sz w:val="13"/>
          <w:szCs w:val="13"/>
        </w:rPr>
      </w:pPr>
      <w:r>
        <w:rPr>
          <w:rFonts w:hAnsi="方正黑体_GBK" w:cs="方正黑体_GBK" w:hint="eastAsia"/>
          <w:b/>
          <w:color w:val="3D3D3D"/>
          <w:kern w:val="0"/>
          <w:sz w:val="13"/>
          <w:szCs w:val="13"/>
        </w:rPr>
        <w:t>本风险揭示书列示的风险指理财产品项下可能涉及的风险，包括但不限于：</w:t>
      </w:r>
    </w:p>
    <w:p w14:paraId="46C4D785" w14:textId="77777777" w:rsidR="00693847" w:rsidRDefault="00FC1D70">
      <w:pPr>
        <w:widowControl/>
        <w:spacing w:line="200" w:lineRule="exact"/>
        <w:ind w:firstLineChars="200" w:firstLine="260"/>
        <w:rPr>
          <w:rFonts w:hAnsi="方正黑体_GBK" w:cs="方正黑体_GBK" w:hint="eastAsia"/>
          <w:color w:val="3D3D3D"/>
          <w:kern w:val="0"/>
          <w:sz w:val="13"/>
          <w:szCs w:val="13"/>
        </w:rPr>
      </w:pPr>
      <w:r>
        <w:rPr>
          <w:rFonts w:hAnsi="方正黑体_GBK" w:cs="方正黑体_GBK" w:hint="eastAsia"/>
          <w:color w:val="3D3D3D"/>
          <w:kern w:val="0"/>
          <w:sz w:val="13"/>
          <w:szCs w:val="13"/>
        </w:rPr>
        <w:t>第一条</w:t>
      </w: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理财产品共性风险提示和管控措施</w:t>
      </w:r>
    </w:p>
    <w:p w14:paraId="088CF1C5" w14:textId="77777777" w:rsidR="00693847" w:rsidRDefault="00FC1D70">
      <w:pPr>
        <w:widowControl/>
        <w:spacing w:line="200" w:lineRule="exact"/>
        <w:ind w:firstLine="260"/>
        <w:rPr>
          <w:rFonts w:hAnsi="方正黑体_GBK" w:cs="方正黑体_GBK" w:hint="eastAsia"/>
          <w:color w:val="3D3D3D"/>
          <w:kern w:val="0"/>
          <w:sz w:val="13"/>
          <w:szCs w:val="13"/>
        </w:rPr>
      </w:pPr>
      <w:r>
        <w:rPr>
          <w:rFonts w:hAnsi="方正黑体_GBK" w:cs="方正黑体_GBK" w:hint="eastAsia"/>
          <w:color w:val="3D3D3D"/>
          <w:kern w:val="0"/>
          <w:sz w:val="13"/>
          <w:szCs w:val="13"/>
        </w:rPr>
        <w:t>（一）政策风险：本理财产品是根据当前相关法律法规、监管规定和政策设计的。理财产品在实际运作过程中，如遇到国家宏观政策和相关法律法规、监管规定发生变化，影响理财产品的发行、管理、投资运作和清算分配等业务的正常进行，可能导致理财产品的收益降低或无法取得任何收益甚至本理财产品的本金遭受部分或全部损失，也可能导致本理财产品违反国家法律、法规或者其他合同的有关规定，进而导致本理财产品被宣告无效、撤销、解除或提前终止等。</w:t>
      </w:r>
    </w:p>
    <w:p w14:paraId="2223CDFD" w14:textId="77777777" w:rsidR="00693847" w:rsidRDefault="00FC1D70">
      <w:pPr>
        <w:widowControl/>
        <w:spacing w:line="200" w:lineRule="exact"/>
        <w:ind w:firstLine="260"/>
        <w:rPr>
          <w:rFonts w:hAnsi="方正黑体_GBK" w:cs="方正黑体_GBK" w:hint="eastAsia"/>
          <w:color w:val="3D3D3D"/>
          <w:kern w:val="0"/>
          <w:sz w:val="13"/>
          <w:szCs w:val="13"/>
        </w:rPr>
      </w:pPr>
      <w:r>
        <w:rPr>
          <w:rFonts w:hAnsi="方正黑体_GBK" w:cs="方正黑体_GBK" w:hint="eastAsia"/>
          <w:color w:val="3D3D3D"/>
          <w:kern w:val="0"/>
          <w:sz w:val="13"/>
          <w:szCs w:val="13"/>
        </w:rPr>
        <w:t>（二）信用风险：本理财产品收益来源于理财产品项下投资对象的回报。本理财产品所投资的资产，可能因债务人违约或者其他原因在投资期限届满时不能足额变现，由此可能导致本理财产品的本金及收益遭受损失。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14:paraId="52A217F5" w14:textId="77777777" w:rsidR="00693847" w:rsidRDefault="00FC1D70">
      <w:pPr>
        <w:widowControl/>
        <w:spacing w:line="200" w:lineRule="exact"/>
        <w:ind w:firstLine="260"/>
        <w:rPr>
          <w:rFonts w:hAnsi="方正黑体_GBK" w:cs="方正黑体_GBK" w:hint="eastAsia"/>
          <w:color w:val="3D3D3D"/>
          <w:kern w:val="0"/>
          <w:sz w:val="13"/>
          <w:szCs w:val="13"/>
        </w:rPr>
      </w:pPr>
      <w:r>
        <w:rPr>
          <w:rFonts w:hAnsi="方正黑体_GBK" w:cs="方正黑体_GBK" w:hint="eastAsia"/>
          <w:color w:val="3D3D3D"/>
          <w:kern w:val="0"/>
          <w:sz w:val="13"/>
          <w:szCs w:val="13"/>
        </w:rPr>
        <w:t>（三）市场风险：理财产品面临的市场风险主要指因市场各种风险因子变动，使得理财产品配置资产的价格发生波动，导致理财产品本金或收益蒙受损失的风险。</w:t>
      </w:r>
    </w:p>
    <w:p w14:paraId="2F7E02EC" w14:textId="77777777" w:rsidR="00693847" w:rsidRDefault="00FC1D70">
      <w:pPr>
        <w:widowControl/>
        <w:spacing w:line="200" w:lineRule="exact"/>
        <w:ind w:firstLine="260"/>
        <w:rPr>
          <w:rFonts w:hAnsi="方正黑体_GBK" w:cs="方正黑体_GBK" w:hint="eastAsia"/>
          <w:color w:val="3D3D3D"/>
          <w:kern w:val="0"/>
          <w:sz w:val="13"/>
          <w:szCs w:val="13"/>
        </w:rPr>
      </w:pPr>
      <w:r>
        <w:rPr>
          <w:rFonts w:hAnsi="方正黑体_GBK" w:cs="方正黑体_GBK" w:hint="eastAsia"/>
          <w:color w:val="3D3D3D"/>
          <w:kern w:val="0"/>
          <w:sz w:val="13"/>
          <w:szCs w:val="13"/>
        </w:rPr>
        <w:t>理财产品投资不同类型的资产可能面临的市场风险包括但不限于：</w:t>
      </w:r>
      <w:r>
        <w:rPr>
          <w:rFonts w:hAnsi="方正黑体_GBK" w:cs="方正黑体_GBK" w:hint="eastAsia"/>
          <w:color w:val="3D3D3D"/>
          <w:kern w:val="0"/>
          <w:sz w:val="13"/>
          <w:szCs w:val="13"/>
        </w:rPr>
        <w:t>1.</w:t>
      </w:r>
      <w:r>
        <w:rPr>
          <w:rFonts w:hAnsi="方正黑体_GBK" w:cs="方正黑体_GBK" w:hint="eastAsia"/>
          <w:color w:val="3D3D3D"/>
          <w:kern w:val="0"/>
          <w:sz w:val="13"/>
          <w:szCs w:val="13"/>
        </w:rPr>
        <w:t>理财产品投资债券等固定收益率资产将面临利率、汇率变化等市场风险以及债券价格波动风险；</w:t>
      </w:r>
      <w:r>
        <w:rPr>
          <w:rFonts w:hAnsi="方正黑体_GBK" w:cs="方正黑体_GBK" w:hint="eastAsia"/>
          <w:color w:val="3D3D3D"/>
          <w:kern w:val="0"/>
          <w:sz w:val="13"/>
          <w:szCs w:val="13"/>
        </w:rPr>
        <w:t>2.</w:t>
      </w:r>
      <w:r>
        <w:rPr>
          <w:rFonts w:hAnsi="方正黑体_GBK" w:cs="方正黑体_GBK" w:hint="eastAsia"/>
          <w:color w:val="3D3D3D"/>
          <w:kern w:val="0"/>
          <w:sz w:val="13"/>
          <w:szCs w:val="13"/>
        </w:rPr>
        <w:t>理财产品投资股票等权益类资产将面临股票价格波动风险和股票发行人的经营风险、管理风险等风险；</w:t>
      </w:r>
      <w:r>
        <w:rPr>
          <w:rFonts w:hAnsi="方正黑体_GBK" w:cs="方正黑体_GBK" w:hint="eastAsia"/>
          <w:color w:val="3D3D3D"/>
          <w:kern w:val="0"/>
          <w:sz w:val="13"/>
          <w:szCs w:val="13"/>
        </w:rPr>
        <w:t>3.</w:t>
      </w:r>
      <w:r>
        <w:rPr>
          <w:rFonts w:hAnsi="方正黑体_GBK" w:cs="方正黑体_GBK" w:hint="eastAsia"/>
          <w:color w:val="3D3D3D"/>
          <w:kern w:val="0"/>
          <w:sz w:val="13"/>
          <w:szCs w:val="13"/>
        </w:rPr>
        <w:t>理财产品投资商品及金融衍生品类产品可能面临衍生品公允价值变化风险等。</w:t>
      </w:r>
    </w:p>
    <w:p w14:paraId="1042E750" w14:textId="77777777" w:rsidR="00693847" w:rsidRDefault="00FC1D70">
      <w:pPr>
        <w:widowControl/>
        <w:spacing w:line="200" w:lineRule="exact"/>
        <w:ind w:firstLine="260"/>
        <w:rPr>
          <w:rFonts w:hAnsi="方正黑体_GBK" w:cs="方正黑体_GBK" w:hint="eastAsia"/>
          <w:color w:val="3D3D3D"/>
          <w:kern w:val="0"/>
          <w:sz w:val="13"/>
          <w:szCs w:val="13"/>
        </w:rPr>
      </w:pPr>
      <w:r>
        <w:rPr>
          <w:rFonts w:hAnsi="方正黑体_GBK" w:cs="方正黑体_GBK" w:hint="eastAsia"/>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在理财产品存续期内的非开放日（如有）投资者不得赎回，在开放日（如有）可能因发生理财产品说明书中约定的限制赎回情况，导致投资者在需要资金时无法随时变现，当市场上出现更高收益的产品时，将有可能导致投资者因此丧失其他投资机会。</w:t>
      </w:r>
    </w:p>
    <w:p w14:paraId="71B097CA" w14:textId="77777777" w:rsidR="00693847" w:rsidRDefault="00FC1D70">
      <w:pPr>
        <w:widowControl/>
        <w:spacing w:line="200" w:lineRule="exact"/>
        <w:ind w:firstLine="260"/>
        <w:rPr>
          <w:rFonts w:hAnsi="方正黑体_GBK" w:cs="方正黑体_GBK" w:hint="eastAsia"/>
          <w:color w:val="3D3D3D"/>
          <w:kern w:val="0"/>
          <w:sz w:val="13"/>
          <w:szCs w:val="13"/>
        </w:rPr>
      </w:pPr>
      <w:r>
        <w:rPr>
          <w:rFonts w:hAnsi="方正黑体_GBK" w:cs="方正黑体_GBK" w:hint="eastAsia"/>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14:paraId="1EBC1546" w14:textId="77777777" w:rsidR="00693847" w:rsidRDefault="00FC1D70">
      <w:pPr>
        <w:widowControl/>
        <w:spacing w:line="200" w:lineRule="exact"/>
        <w:ind w:firstLine="260"/>
        <w:rPr>
          <w:rFonts w:hAnsi="方正黑体_GBK" w:cs="方正黑体_GBK" w:hint="eastAsia"/>
          <w:color w:val="3D3D3D"/>
          <w:kern w:val="0"/>
          <w:sz w:val="13"/>
          <w:szCs w:val="13"/>
        </w:rPr>
      </w:pPr>
      <w:r>
        <w:rPr>
          <w:rFonts w:hAnsi="方正黑体_GBK" w:cs="方正黑体_GBK" w:hint="eastAsia"/>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14:paraId="3088DFB2" w14:textId="77777777" w:rsidR="00693847" w:rsidRDefault="00FC1D70">
      <w:pPr>
        <w:widowControl/>
        <w:spacing w:line="200" w:lineRule="exact"/>
        <w:ind w:firstLine="260"/>
        <w:rPr>
          <w:rFonts w:hAnsi="方正黑体_GBK" w:cs="方正黑体_GBK" w:hint="eastAsia"/>
          <w:color w:val="3D3D3D"/>
          <w:kern w:val="0"/>
          <w:sz w:val="13"/>
          <w:szCs w:val="13"/>
        </w:rPr>
      </w:pPr>
      <w:r>
        <w:rPr>
          <w:rFonts w:hAnsi="方正黑体_GBK" w:cs="方正黑体_GBK" w:hint="eastAsia"/>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14:paraId="0DFA6B29" w14:textId="77777777" w:rsidR="00693847" w:rsidRDefault="00FC1D70">
      <w:pPr>
        <w:widowControl/>
        <w:spacing w:line="200" w:lineRule="exact"/>
        <w:ind w:firstLine="260"/>
        <w:rPr>
          <w:rFonts w:hAnsi="方正黑体_GBK" w:cs="方正黑体_GBK" w:hint="eastAsia"/>
          <w:color w:val="3D3D3D"/>
          <w:kern w:val="0"/>
          <w:sz w:val="13"/>
          <w:szCs w:val="13"/>
        </w:rPr>
      </w:pPr>
      <w:r>
        <w:rPr>
          <w:rFonts w:hAnsi="方正黑体_GBK" w:cs="方正黑体_GBK" w:hint="eastAsia"/>
          <w:color w:val="3D3D3D"/>
          <w:kern w:val="0"/>
          <w:sz w:val="13"/>
          <w:szCs w:val="13"/>
        </w:rPr>
        <w:t>（八）理财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或通过销售机构通知）理财产品不成立且不承担任何违约责任，投资者将面临再投资风险。</w:t>
      </w:r>
    </w:p>
    <w:p w14:paraId="5AEDBFE9" w14:textId="77777777" w:rsidR="00693847" w:rsidRDefault="00FC1D70">
      <w:pPr>
        <w:widowControl/>
        <w:spacing w:line="200" w:lineRule="exact"/>
        <w:ind w:firstLine="260"/>
        <w:rPr>
          <w:rFonts w:hAnsi="方正黑体_GBK" w:cs="方正黑体_GBK" w:hint="eastAsia"/>
          <w:color w:val="3D3D3D"/>
          <w:kern w:val="0"/>
          <w:sz w:val="13"/>
          <w:szCs w:val="13"/>
        </w:rPr>
      </w:pPr>
      <w:r>
        <w:rPr>
          <w:rFonts w:hAnsi="方正黑体_GBK" w:cs="方正黑体_GBK" w:hint="eastAsia"/>
          <w:color w:val="3D3D3D"/>
          <w:kern w:val="0"/>
          <w:sz w:val="13"/>
          <w:szCs w:val="13"/>
        </w:rPr>
        <w:t>（九）延期分配风险：如因理财产品投资的资产市场流动性不足或受限导致未能正常买卖结算，或投资资产正常到期，投资资产相关发行人或融资主体未能及时偿付本息，所投资工具无法及时变现等原因造成不能按时支付理财产品本金和收益，则投资者面临理财产品期限延期、调整等风险。</w:t>
      </w:r>
    </w:p>
    <w:p w14:paraId="6DE83A70" w14:textId="77777777" w:rsidR="00693847" w:rsidRDefault="00FC1D70">
      <w:pPr>
        <w:widowControl/>
        <w:spacing w:line="200" w:lineRule="exact"/>
        <w:ind w:firstLine="260"/>
        <w:rPr>
          <w:rFonts w:hAnsi="方正黑体_GBK" w:cs="方正黑体_GBK" w:hint="eastAsia"/>
          <w:color w:val="3D3D3D"/>
          <w:kern w:val="0"/>
          <w:sz w:val="13"/>
          <w:szCs w:val="13"/>
        </w:rPr>
      </w:pPr>
      <w:r>
        <w:rPr>
          <w:rFonts w:hAnsi="方正黑体_GBK" w:cs="方正黑体_GBK" w:hint="eastAsia"/>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14:paraId="0116D101" w14:textId="77777777" w:rsidR="00693847" w:rsidRDefault="00FC1D70">
      <w:pPr>
        <w:widowControl/>
        <w:spacing w:line="200" w:lineRule="exact"/>
        <w:ind w:firstLine="260"/>
        <w:rPr>
          <w:rFonts w:hAnsi="方正黑体_GBK" w:cs="方正黑体_GBK" w:hint="eastAsia"/>
          <w:b/>
          <w:bCs/>
          <w:color w:val="3D3D3D"/>
          <w:kern w:val="0"/>
          <w:sz w:val="13"/>
          <w:szCs w:val="13"/>
        </w:rPr>
      </w:pPr>
      <w:r>
        <w:rPr>
          <w:rFonts w:hAnsi="方正黑体_GBK" w:cs="方正黑体_GBK" w:hint="eastAsia"/>
          <w:b/>
          <w:bCs/>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者蒙受损失的风险。</w:t>
      </w:r>
    </w:p>
    <w:p w14:paraId="635CBFA5" w14:textId="77777777" w:rsidR="00693847" w:rsidRDefault="00FC1D70">
      <w:pPr>
        <w:widowControl/>
        <w:spacing w:line="200" w:lineRule="exact"/>
        <w:ind w:firstLine="260"/>
        <w:rPr>
          <w:rFonts w:hAnsi="方正黑体_GBK" w:cs="方正黑体_GBK" w:hint="eastAsia"/>
          <w:b/>
          <w:bCs/>
          <w:color w:val="3D3D3D"/>
          <w:kern w:val="0"/>
          <w:sz w:val="13"/>
          <w:szCs w:val="13"/>
        </w:rPr>
      </w:pPr>
      <w:r>
        <w:rPr>
          <w:rFonts w:hAnsi="方正黑体_GBK" w:cs="方正黑体_GBK" w:hint="eastAsia"/>
          <w:b/>
          <w:bCs/>
          <w:color w:val="3D3D3D"/>
          <w:kern w:val="0"/>
          <w:sz w:val="13"/>
          <w:szCs w:val="13"/>
        </w:rPr>
        <w:t>南银理财按照对应期次《理财产品说明书》有关条款的约定，发布当期理财产品的运作、到期清算或提前终止等信息公告或报告。投资者应根据《理财产品说明书》中约定的信息披露渠道及时查询相关信息，以获知有关本理财产品相关信息，如果投资者未及时查询，或由于通信故障、系统故障以及其他不可抗力等因素的影响使得投资者无法及时了解产品信息，投资者承担因此而产生的责任和风险。</w:t>
      </w:r>
    </w:p>
    <w:p w14:paraId="78310431" w14:textId="77777777" w:rsidR="00693847" w:rsidRDefault="00FC1D70">
      <w:pPr>
        <w:widowControl/>
        <w:spacing w:line="200" w:lineRule="exact"/>
        <w:ind w:firstLine="260"/>
        <w:rPr>
          <w:rFonts w:hAnsi="方正黑体_GBK" w:cs="方正黑体_GBK" w:hint="eastAsia"/>
          <w:b/>
          <w:bCs/>
          <w:color w:val="3D3D3D"/>
          <w:kern w:val="0"/>
          <w:sz w:val="13"/>
          <w:szCs w:val="13"/>
        </w:rPr>
      </w:pPr>
      <w:r>
        <w:rPr>
          <w:rFonts w:hAnsi="方正黑体_GBK" w:cs="方正黑体_GBK" w:hint="eastAsia"/>
          <w:b/>
          <w:bCs/>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14:paraId="0B7ABCA5" w14:textId="77777777" w:rsidR="00693847" w:rsidRDefault="00FC1D70">
      <w:pPr>
        <w:widowControl/>
        <w:spacing w:line="200" w:lineRule="exact"/>
        <w:ind w:firstLine="260"/>
        <w:rPr>
          <w:rFonts w:hAnsi="方正黑体_GBK" w:cs="方正黑体_GBK" w:hint="eastAsia"/>
          <w:color w:val="3D3D3D"/>
          <w:kern w:val="0"/>
          <w:sz w:val="13"/>
          <w:szCs w:val="13"/>
        </w:rPr>
      </w:pPr>
      <w:r>
        <w:rPr>
          <w:rFonts w:hAnsi="方正黑体_GBK" w:cs="方正黑体_GBK" w:hint="eastAsia"/>
          <w:color w:val="3D3D3D"/>
          <w:kern w:val="0"/>
          <w:sz w:val="13"/>
          <w:szCs w:val="13"/>
        </w:rPr>
        <w:t>（十二）不可抗力及意外事件风险：理财产品面临的不可抗力及意外事件风险是指《理财产品说明书》规定的不可抗力或南银理财、销售机构、托管机构系统故障、通讯故障、投资市场停止交易等意外事件的出现，严重影响金融市场的正常运行，从而对理财产品的成立、发行、投资运作、资金返还、信息披露、公告通知等造成影响，甚至影响理财产品的受理、投资、分配等事宜的正常进行，进而导致投资者蒙受本金和收益遭受损失的风险。因不可抗力及意外事件风险导致的任何损失，由投资者自行承担。</w:t>
      </w:r>
    </w:p>
    <w:p w14:paraId="7EA3CEB1" w14:textId="77777777" w:rsidR="00693847" w:rsidRDefault="00FC1D70">
      <w:pPr>
        <w:widowControl/>
        <w:spacing w:line="200" w:lineRule="exact"/>
        <w:ind w:firstLine="260"/>
        <w:rPr>
          <w:rFonts w:hAnsi="方正黑体_GBK" w:cs="方正黑体_GBK" w:hint="eastAsia"/>
          <w:color w:val="3D3D3D"/>
          <w:kern w:val="0"/>
          <w:sz w:val="13"/>
          <w:szCs w:val="13"/>
        </w:rPr>
      </w:pPr>
      <w:r>
        <w:rPr>
          <w:rFonts w:hAnsi="方正黑体_GBK" w:cs="方正黑体_GBK" w:hint="eastAsia"/>
          <w:color w:val="3D3D3D"/>
          <w:kern w:val="0"/>
          <w:sz w:val="13"/>
          <w:szCs w:val="13"/>
        </w:rPr>
        <w:t>（十三）税收风险：南银理财暂不负责代扣代缴投资者购买本理财产品所得收益应缴纳的各项税款。若相关税收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14:paraId="6D3D6AD0" w14:textId="77777777" w:rsidR="00693847" w:rsidRDefault="00FC1D70">
      <w:pPr>
        <w:widowControl/>
        <w:spacing w:line="200" w:lineRule="exact"/>
        <w:ind w:firstLine="260"/>
        <w:rPr>
          <w:rFonts w:hAnsi="方正黑体_GBK" w:cs="方正黑体_GBK" w:hint="eastAsia"/>
          <w:color w:val="3D3D3D"/>
          <w:kern w:val="0"/>
          <w:sz w:val="13"/>
          <w:szCs w:val="13"/>
        </w:rPr>
      </w:pPr>
      <w:r>
        <w:rPr>
          <w:rFonts w:hAnsi="方正黑体_GBK" w:cs="方正黑体_GBK" w:hint="eastAsia"/>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14:paraId="683799FB" w14:textId="77777777" w:rsidR="00693847" w:rsidRDefault="00FC1D70">
      <w:pPr>
        <w:widowControl/>
        <w:spacing w:line="200" w:lineRule="exact"/>
        <w:ind w:firstLine="260"/>
        <w:rPr>
          <w:rFonts w:hAnsi="方正黑体_GBK" w:cs="方正黑体_GBK" w:hint="eastAsia"/>
          <w:color w:val="3D3D3D"/>
          <w:kern w:val="0"/>
          <w:sz w:val="13"/>
          <w:szCs w:val="13"/>
        </w:rPr>
      </w:pPr>
      <w:r>
        <w:rPr>
          <w:rFonts w:hAnsi="方正黑体_GBK" w:cs="方正黑体_GBK" w:hint="eastAsia"/>
          <w:color w:val="3D3D3D"/>
          <w:kern w:val="0"/>
          <w:sz w:val="13"/>
          <w:szCs w:val="13"/>
        </w:rPr>
        <w:t>（十五）操作风险：若管理人、销售机构、托管机构由于内部作业、人员管理及系统操作不当或失误，处理事务不当等，可能导致本理财产品的本金及收益遭受损失。</w:t>
      </w:r>
    </w:p>
    <w:p w14:paraId="381B2C18" w14:textId="77777777" w:rsidR="00693847" w:rsidRDefault="00FC1D70">
      <w:pPr>
        <w:widowControl/>
        <w:spacing w:line="200" w:lineRule="exact"/>
        <w:ind w:firstLine="260"/>
        <w:rPr>
          <w:rFonts w:hAnsi="方正黑体_GBK" w:cs="方正黑体_GBK" w:hint="eastAsia"/>
          <w:color w:val="3D3D3D"/>
          <w:kern w:val="0"/>
          <w:sz w:val="13"/>
          <w:szCs w:val="13"/>
        </w:rPr>
      </w:pPr>
      <w:r>
        <w:rPr>
          <w:rFonts w:hAnsi="方正黑体_GBK" w:cs="方正黑体_GBK" w:hint="eastAsia"/>
          <w:color w:val="3D3D3D"/>
          <w:kern w:val="0"/>
          <w:sz w:val="13"/>
          <w:szCs w:val="13"/>
        </w:rPr>
        <w:t>（十六）代销风险：本理财产品通过代销机构销售时，认购</w:t>
      </w:r>
      <w:r>
        <w:rPr>
          <w:rFonts w:hAnsi="方正黑体_GBK" w:cs="方正黑体_GBK" w:hint="eastAsia"/>
          <w:color w:val="3D3D3D"/>
          <w:kern w:val="0"/>
          <w:sz w:val="13"/>
          <w:szCs w:val="13"/>
        </w:rPr>
        <w:t>/</w:t>
      </w:r>
      <w:r>
        <w:rPr>
          <w:rFonts w:hAnsi="方正黑体_GBK" w:cs="方正黑体_GBK" w:hint="eastAsia"/>
          <w:color w:val="3D3D3D"/>
          <w:kern w:val="0"/>
          <w:sz w:val="13"/>
          <w:szCs w:val="13"/>
        </w:rPr>
        <w:t>申购时投资者购买理财产品的资金由代销机构从投资者账户扣收并划付管理人，赎回时理财本金和理财收益相应款项由管理人按理财产品销售文件约定划付至代销机构，并由代销机构向投资者支付。如果投资者在代销机构的资金账户余额不足，或代销机构未及时将投资者认购</w:t>
      </w:r>
      <w:r>
        <w:rPr>
          <w:rFonts w:hAnsi="方正黑体_GBK" w:cs="方正黑体_GBK" w:hint="eastAsia"/>
          <w:color w:val="3D3D3D"/>
          <w:kern w:val="0"/>
          <w:sz w:val="13"/>
          <w:szCs w:val="13"/>
        </w:rPr>
        <w:t>/</w:t>
      </w:r>
      <w:r>
        <w:rPr>
          <w:rFonts w:hAnsi="方正黑体_GBK" w:cs="方正黑体_GBK" w:hint="eastAsia"/>
          <w:color w:val="3D3D3D"/>
          <w:kern w:val="0"/>
          <w:sz w:val="13"/>
          <w:szCs w:val="13"/>
        </w:rPr>
        <w:t>申购资金划转至南银理财，将导致投资者无法完成认购</w:t>
      </w:r>
      <w:r>
        <w:rPr>
          <w:rFonts w:hAnsi="方正黑体_GBK" w:cs="方正黑体_GBK" w:hint="eastAsia"/>
          <w:color w:val="3D3D3D"/>
          <w:kern w:val="0"/>
          <w:sz w:val="13"/>
          <w:szCs w:val="13"/>
        </w:rPr>
        <w:t>/</w:t>
      </w:r>
      <w:r>
        <w:rPr>
          <w:rFonts w:hAnsi="方正黑体_GBK" w:cs="方正黑体_GBK" w:hint="eastAsia"/>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代销机构用于划付理财产品项下资金的账户内资金被依法冻结或扣划、账户处于被挂失、冻结、注销或其他非正常状态等原因而导致交易失败的，由代销机构与投资者依法协商解决。</w:t>
      </w:r>
    </w:p>
    <w:p w14:paraId="05775C81" w14:textId="77777777" w:rsidR="00693847" w:rsidRDefault="00FC1D70">
      <w:pPr>
        <w:widowControl/>
        <w:spacing w:line="200" w:lineRule="exact"/>
        <w:ind w:firstLine="260"/>
        <w:rPr>
          <w:rFonts w:hAnsi="方正黑体_GBK" w:cs="方正黑体_GBK" w:hint="eastAsia"/>
          <w:color w:val="3D3D3D"/>
          <w:kern w:val="0"/>
          <w:sz w:val="13"/>
          <w:szCs w:val="13"/>
        </w:rPr>
      </w:pPr>
      <w:r>
        <w:rPr>
          <w:rFonts w:hAnsi="方正黑体_GBK" w:cs="方正黑体_GBK" w:hint="eastAsia"/>
          <w:color w:val="3D3D3D"/>
          <w:kern w:val="0"/>
          <w:sz w:val="13"/>
          <w:szCs w:val="13"/>
        </w:rPr>
        <w:t>（十七）未知价风险：净值型产品采用“金额申购、份额赎回”原则，即产品认</w:t>
      </w:r>
      <w:r>
        <w:rPr>
          <w:rFonts w:hAnsi="方正黑体_GBK" w:cs="方正黑体_GBK" w:hint="eastAsia"/>
          <w:color w:val="3D3D3D"/>
          <w:kern w:val="0"/>
          <w:sz w:val="13"/>
          <w:szCs w:val="13"/>
        </w:rPr>
        <w:t>/</w:t>
      </w:r>
      <w:r>
        <w:rPr>
          <w:rFonts w:hAnsi="方正黑体_GBK" w:cs="方正黑体_GBK" w:hint="eastAsia"/>
          <w:color w:val="3D3D3D"/>
          <w:kern w:val="0"/>
          <w:sz w:val="13"/>
          <w:szCs w:val="13"/>
        </w:rPr>
        <w:t>申购以金额申请，赎回以份额申请，认</w:t>
      </w:r>
      <w:r>
        <w:rPr>
          <w:rFonts w:hAnsi="方正黑体_GBK" w:cs="方正黑体_GBK" w:hint="eastAsia"/>
          <w:color w:val="3D3D3D"/>
          <w:kern w:val="0"/>
          <w:sz w:val="13"/>
          <w:szCs w:val="13"/>
        </w:rPr>
        <w:t>/</w:t>
      </w:r>
      <w:r>
        <w:rPr>
          <w:rFonts w:hAnsi="方正黑体_GBK" w:cs="方正黑体_GBK" w:hint="eastAsia"/>
          <w:color w:val="3D3D3D"/>
          <w:kern w:val="0"/>
          <w:sz w:val="13"/>
          <w:szCs w:val="13"/>
        </w:rPr>
        <w:t>申购与赎回价格以“未知价原则”受理申请。“未知价原则”，即理财产品申购申请和赎回申请提交时，适用的产品单位净值都是未知的，单位净值固定的产品除外。</w:t>
      </w:r>
    </w:p>
    <w:p w14:paraId="4F2474CA" w14:textId="77777777" w:rsidR="00693847" w:rsidRDefault="00FC1D70">
      <w:pPr>
        <w:widowControl/>
        <w:spacing w:line="200" w:lineRule="exact"/>
        <w:ind w:firstLine="260"/>
        <w:rPr>
          <w:rFonts w:hAnsi="方正黑体_GBK" w:cs="方正黑体_GBK" w:hint="eastAsia"/>
        </w:rPr>
      </w:pPr>
      <w:r>
        <w:rPr>
          <w:rFonts w:hAnsi="方正黑体_GBK" w:cs="方正黑体_GBK" w:hint="eastAsia"/>
          <w:color w:val="3D3D3D"/>
          <w:kern w:val="0"/>
          <w:sz w:val="13"/>
          <w:szCs w:val="13"/>
        </w:rPr>
        <w:t>（十八）关联交易风险：在合法合规且履行应履行的内、外部程序后，理财产品可能投资于管理人或托管机构的主要股东、实际控制人、一致行动人、最终受益人，托管机构，同一股东或托管机构控股的机构，或者与管理人或托管机构有重大利害关系的机构发行或承销的证券，或者从事其他关联交易，本理财产品也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44A13E80" w14:textId="77777777" w:rsidR="00693847" w:rsidRDefault="00FC1D70">
      <w:pPr>
        <w:pStyle w:val="Normal8c656329"/>
        <w:widowControl/>
        <w:spacing w:line="200" w:lineRule="exact"/>
        <w:ind w:firstLine="260"/>
        <w:rPr>
          <w:rFonts w:hAnsi="方正黑体_GBK" w:cs="方正黑体_GBK" w:hint="eastAsia"/>
          <w:color w:val="3D3D3D"/>
          <w:kern w:val="0"/>
          <w:sz w:val="13"/>
          <w:szCs w:val="13"/>
        </w:rPr>
      </w:pPr>
      <w:r>
        <w:rPr>
          <w:rFonts w:hAnsi="方正黑体_GBK" w:cs="方正黑体_GBK" w:hint="eastAsia"/>
          <w:color w:val="3D3D3D"/>
          <w:sz w:val="13"/>
          <w:szCs w:val="13"/>
        </w:rPr>
        <w:t xml:space="preserve"> </w:t>
      </w:r>
      <w:r>
        <w:rPr>
          <w:rFonts w:hAnsi="方正黑体_GBK" w:cs="方正黑体_GBK" w:hint="eastAsia"/>
          <w:color w:val="3D3D3D"/>
          <w:kern w:val="0"/>
          <w:sz w:val="13"/>
          <w:szCs w:val="13"/>
        </w:rPr>
        <w:t>第二条</w:t>
      </w: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本理财产品特定风险揭示</w:t>
      </w:r>
    </w:p>
    <w:p w14:paraId="78E79B86" w14:textId="77777777" w:rsidR="00693847" w:rsidRDefault="00FC1D70">
      <w:pPr>
        <w:spacing w:line="200" w:lineRule="exact"/>
        <w:rPr>
          <w:rFonts w:hAnsi="方正黑体_GBK" w:cs="方正黑体_GBK" w:hint="eastAsia"/>
        </w:rPr>
      </w:pPr>
      <w:r>
        <w:rPr>
          <w:rFonts w:hAnsi="方正黑体_GBK" w:cs="方正黑体_GBK" w:hint="eastAsia"/>
          <w:b/>
          <w:sz w:val="13"/>
        </w:rPr>
        <w:t xml:space="preserve">    1.</w:t>
      </w:r>
      <w:r>
        <w:rPr>
          <w:rFonts w:hAnsi="方正黑体_GBK" w:cs="方正黑体_GBK" w:hint="eastAsia"/>
          <w:b/>
          <w:sz w:val="13"/>
        </w:rPr>
        <w:t>债券类资产投资风险</w:t>
      </w:r>
    </w:p>
    <w:p w14:paraId="68465A84" w14:textId="77777777" w:rsidR="00693847" w:rsidRDefault="00FC1D70">
      <w:pPr>
        <w:spacing w:line="200" w:lineRule="exact"/>
        <w:rPr>
          <w:rFonts w:hAnsi="方正黑体_GBK" w:cs="方正黑体_GBK" w:hint="eastAsia"/>
        </w:rPr>
      </w:pPr>
      <w:r>
        <w:rPr>
          <w:rFonts w:hAnsi="方正黑体_GBK" w:cs="方正黑体_GBK" w:hint="eastAsia"/>
          <w:b/>
          <w:sz w:val="13"/>
        </w:rPr>
        <w:t xml:space="preserve">    </w:t>
      </w:r>
      <w:r>
        <w:rPr>
          <w:rFonts w:hAnsi="方正黑体_GBK" w:cs="方正黑体_GBK" w:hint="eastAsia"/>
          <w:b/>
          <w:sz w:val="13"/>
        </w:rPr>
        <w:t>利率是影响债券类资产价格的重要因素，当利率上升时，债券类资产价格将下跌；当利率下降时，债券类资产的价格将上升。本理财产品投资于债券类资产，可能面临因市场利率变</w:t>
      </w:r>
      <w:r>
        <w:rPr>
          <w:rFonts w:hAnsi="方正黑体_GBK" w:cs="方正黑体_GBK" w:hint="eastAsia"/>
          <w:b/>
          <w:sz w:val="13"/>
        </w:rPr>
        <w:lastRenderedPageBreak/>
        <w:t>化导致债券价格变化、或因债券发行人、担保人信用资质下降导致债券价格下降，或出现拒绝支付到期本息等违约行为，或因债券流通和转让较难等因素导致的投资本金及收益无法及时实现的风险。</w:t>
      </w:r>
    </w:p>
    <w:p w14:paraId="6E0B5716" w14:textId="77777777" w:rsidR="00693847" w:rsidRDefault="00FC1D70">
      <w:pPr>
        <w:spacing w:line="200" w:lineRule="exact"/>
        <w:rPr>
          <w:rFonts w:hAnsi="方正黑体_GBK" w:cs="方正黑体_GBK" w:hint="eastAsia"/>
        </w:rPr>
      </w:pPr>
      <w:r>
        <w:rPr>
          <w:rFonts w:hAnsi="方正黑体_GBK" w:cs="方正黑体_GBK" w:hint="eastAsia"/>
          <w:b/>
          <w:sz w:val="13"/>
        </w:rPr>
        <w:t xml:space="preserve">    2.</w:t>
      </w:r>
      <w:r>
        <w:rPr>
          <w:rFonts w:hAnsi="方正黑体_GBK" w:cs="方正黑体_GBK" w:hint="eastAsia"/>
          <w:b/>
          <w:sz w:val="13"/>
        </w:rPr>
        <w:t>资产管理产品投资风险</w:t>
      </w:r>
    </w:p>
    <w:p w14:paraId="4418DEBA" w14:textId="77777777" w:rsidR="00693847" w:rsidRDefault="00FC1D70">
      <w:pPr>
        <w:spacing w:line="200" w:lineRule="exact"/>
        <w:rPr>
          <w:rFonts w:hAnsi="方正黑体_GBK" w:cs="方正黑体_GBK" w:hint="eastAsia"/>
        </w:rPr>
      </w:pPr>
      <w:r>
        <w:rPr>
          <w:rFonts w:hAnsi="方正黑体_GBK" w:cs="方正黑体_GBK" w:hint="eastAsia"/>
          <w:b/>
          <w:sz w:val="13"/>
        </w:rPr>
        <w:t xml:space="preserve">    </w:t>
      </w:r>
      <w:r>
        <w:rPr>
          <w:rFonts w:hAnsi="方正黑体_GBK" w:cs="方正黑体_GBK" w:hint="eastAsia"/>
          <w:b/>
          <w:sz w:val="13"/>
        </w:rPr>
        <w:t>本理财产品通过资产管理产品间接投资时，可能因资产管理产品的相关受托人</w:t>
      </w:r>
      <w:r>
        <w:rPr>
          <w:rFonts w:hAnsi="方正黑体_GBK" w:cs="方正黑体_GBK" w:hint="eastAsia"/>
          <w:b/>
          <w:sz w:val="13"/>
        </w:rPr>
        <w:t>/</w:t>
      </w:r>
      <w:r>
        <w:rPr>
          <w:rFonts w:hAnsi="方正黑体_GBK" w:cs="方正黑体_GBK" w:hint="eastAsia"/>
          <w:b/>
          <w:sz w:val="13"/>
        </w:rPr>
        <w:t>资产管理人违反法律法规和</w:t>
      </w:r>
      <w:r>
        <w:rPr>
          <w:rFonts w:hAnsi="方正黑体_GBK" w:cs="方正黑体_GBK" w:hint="eastAsia"/>
          <w:b/>
          <w:sz w:val="13"/>
        </w:rPr>
        <w:t>/</w:t>
      </w:r>
      <w:r>
        <w:rPr>
          <w:rFonts w:hAnsi="方正黑体_GBK" w:cs="方正黑体_GBK" w:hint="eastAsia"/>
          <w:b/>
          <w:sz w:val="13"/>
        </w:rPr>
        <w:t>或合同约定、未尽受托人</w:t>
      </w:r>
      <w:r>
        <w:rPr>
          <w:rFonts w:hAnsi="方正黑体_GBK" w:cs="方正黑体_GBK" w:hint="eastAsia"/>
          <w:b/>
          <w:sz w:val="13"/>
        </w:rPr>
        <w:t>/</w:t>
      </w:r>
      <w:r>
        <w:rPr>
          <w:rFonts w:hAnsi="方正黑体_GBK" w:cs="方正黑体_GBK" w:hint="eastAsia"/>
          <w:b/>
          <w:sz w:val="13"/>
        </w:rPr>
        <w:t>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w:t>
      </w:r>
      <w:r>
        <w:rPr>
          <w:rFonts w:hAnsi="方正黑体_GBK" w:cs="方正黑体_GBK" w:hint="eastAsia"/>
          <w:b/>
          <w:sz w:val="13"/>
        </w:rPr>
        <w:t>/</w:t>
      </w:r>
      <w:r>
        <w:rPr>
          <w:rFonts w:hAnsi="方正黑体_GBK" w:cs="方正黑体_GBK" w:hint="eastAsia"/>
          <w:b/>
          <w:sz w:val="13"/>
        </w:rPr>
        <w:t>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14:paraId="0925699A" w14:textId="77777777" w:rsidR="00693847" w:rsidRDefault="00FC1D70">
      <w:pPr>
        <w:pStyle w:val="Normal8c656329"/>
        <w:widowControl/>
        <w:spacing w:line="200" w:lineRule="exact"/>
        <w:ind w:firstLine="260"/>
        <w:rPr>
          <w:rFonts w:hAnsi="方正黑体_GBK" w:cs="方正黑体_GBK" w:hint="eastAsia"/>
          <w:b/>
          <w:bCs/>
          <w:color w:val="3D3D3D"/>
          <w:kern w:val="0"/>
          <w:sz w:val="13"/>
          <w:szCs w:val="13"/>
        </w:rPr>
      </w:pPr>
      <w:r>
        <w:rPr>
          <w:rFonts w:hAnsi="方正黑体_GBK" w:cs="方正黑体_GBK" w:hint="eastAsia"/>
          <w:b/>
          <w:bCs/>
          <w:color w:val="3D3D3D"/>
          <w:kern w:val="0"/>
          <w:sz w:val="13"/>
          <w:szCs w:val="13"/>
        </w:rPr>
        <w:t>本理财产品</w:t>
      </w:r>
      <w:r>
        <w:rPr>
          <w:rFonts w:hAnsi="方正黑体_GBK" w:cs="方正黑体_GBK" w:hint="eastAsia"/>
          <w:b/>
          <w:bCs/>
          <w:color w:val="3D3D3D"/>
          <w:kern w:val="0"/>
          <w:sz w:val="13"/>
          <w:szCs w:val="13"/>
        </w:rPr>
        <w:t>类型：开放式、固定收益类、公募、净值型。</w:t>
      </w:r>
    </w:p>
    <w:p w14:paraId="7B50FF3A" w14:textId="77777777" w:rsidR="00693847" w:rsidRDefault="00FC1D70">
      <w:pPr>
        <w:pStyle w:val="Normal8c656329"/>
        <w:widowControl/>
        <w:spacing w:line="200" w:lineRule="exact"/>
        <w:ind w:firstLine="270"/>
        <w:rPr>
          <w:rFonts w:hAnsi="方正黑体_GBK" w:cs="方正黑体_GBK" w:hint="eastAsia"/>
          <w:b/>
          <w:bCs/>
          <w:color w:val="3D3D3D"/>
          <w:kern w:val="0"/>
          <w:sz w:val="13"/>
          <w:szCs w:val="13"/>
        </w:rPr>
      </w:pPr>
      <w:r>
        <w:rPr>
          <w:rFonts w:hAnsi="方正黑体_GBK" w:cs="方正黑体_GBK" w:hint="eastAsia"/>
          <w:b/>
          <w:color w:val="3D3D3D"/>
          <w:kern w:val="0"/>
          <w:sz w:val="13"/>
          <w:szCs w:val="13"/>
        </w:rPr>
        <w:t>本理财产品期限为</w:t>
      </w:r>
      <w:r>
        <w:rPr>
          <w:rFonts w:hAnsi="方正黑体_GBK" w:cs="方正黑体_GBK" w:hint="eastAsia"/>
          <w:b/>
          <w:bCs/>
          <w:color w:val="3D3D3D"/>
          <w:kern w:val="0"/>
          <w:sz w:val="13"/>
          <w:szCs w:val="13"/>
        </w:rPr>
        <w:t>10</w:t>
      </w:r>
      <w:r>
        <w:rPr>
          <w:rFonts w:hAnsi="方正黑体_GBK" w:cs="方正黑体_GBK" w:hint="eastAsia"/>
          <w:b/>
          <w:bCs/>
          <w:color w:val="3D3D3D"/>
          <w:kern w:val="0"/>
          <w:sz w:val="13"/>
          <w:szCs w:val="13"/>
        </w:rPr>
        <w:t>年</w:t>
      </w:r>
      <w:r>
        <w:rPr>
          <w:rFonts w:hAnsi="方正黑体_GBK" w:cs="方正黑体_GBK" w:hint="eastAsia"/>
          <w:b/>
          <w:color w:val="3D3D3D"/>
          <w:kern w:val="0"/>
          <w:sz w:val="13"/>
          <w:szCs w:val="13"/>
        </w:rPr>
        <w:t>（若本理财产品被提前终止或延期终止，以实际到期日计算持有天数）。</w:t>
      </w:r>
    </w:p>
    <w:p w14:paraId="6D5C3C71" w14:textId="77777777" w:rsidR="00693847" w:rsidRDefault="00FC1D70">
      <w:pPr>
        <w:pStyle w:val="annotationtext23"/>
        <w:spacing w:line="200" w:lineRule="exact"/>
        <w:rPr>
          <w:rFonts w:hAnsi="方正黑体_GBK" w:cs="方正黑体_GBK" w:hint="eastAsia"/>
          <w:color w:val="3D3D3D"/>
          <w:kern w:val="0"/>
          <w:sz w:val="13"/>
          <w:szCs w:val="13"/>
        </w:rPr>
      </w:pPr>
      <w:r>
        <w:rPr>
          <w:rFonts w:hAnsi="方正黑体_GBK" w:cs="方正黑体_GBK" w:hint="eastAsia"/>
          <w:b/>
          <w:bCs/>
          <w:color w:val="3D3D3D"/>
          <w:kern w:val="0"/>
          <w:sz w:val="13"/>
          <w:szCs w:val="13"/>
        </w:rPr>
        <w:t>本理财产品风险评级结果：</w:t>
      </w:r>
      <w:r>
        <w:rPr>
          <w:rFonts w:hAnsi="方正黑体_GBK" w:cs="方正黑体_GBK" w:hint="eastAsia"/>
          <w:color w:val="3D3D3D"/>
          <w:kern w:val="0"/>
          <w:sz w:val="13"/>
          <w:szCs w:val="13"/>
        </w:rPr>
        <w:t>根据管理人内部风险评级，该产品风险等级为</w:t>
      </w:r>
      <w:r>
        <w:rPr>
          <w:rFonts w:hAnsi="方正黑体_GBK" w:cs="方正黑体_GBK" w:hint="eastAsia"/>
          <w:b/>
          <w:color w:val="3D3D3D"/>
          <w:kern w:val="0"/>
          <w:sz w:val="13"/>
          <w:szCs w:val="13"/>
        </w:rPr>
        <w:t>中低风险</w:t>
      </w:r>
      <w:r>
        <w:rPr>
          <w:rFonts w:hAnsi="方正黑体_GBK" w:cs="方正黑体_GBK" w:hint="eastAsia"/>
          <w:color w:val="3D3D3D"/>
          <w:kern w:val="0"/>
          <w:sz w:val="13"/>
          <w:szCs w:val="13"/>
        </w:rPr>
        <w:t>。</w:t>
      </w:r>
      <w:r>
        <w:rPr>
          <w:rFonts w:hAnsi="方正黑体_GBK" w:cs="方正黑体_GBK" w:hint="eastAsia"/>
          <w:b/>
          <w:color w:val="3D3D3D"/>
          <w:kern w:val="0"/>
          <w:sz w:val="13"/>
          <w:szCs w:val="13"/>
        </w:rPr>
        <w:t xml:space="preserve"> </w:t>
      </w:r>
      <w:r>
        <w:rPr>
          <w:rFonts w:hAnsi="方正黑体_GBK" w:cs="方正黑体_GBK" w:hint="eastAsia"/>
          <w:color w:val="3D3D3D"/>
          <w:kern w:val="0"/>
          <w:sz w:val="13"/>
          <w:szCs w:val="13"/>
        </w:rPr>
        <w:t>管理人不承诺本金保障，产品收益随投资表现变动，产品存在较低的本金损失风险</w:t>
      </w:r>
      <w:r>
        <w:rPr>
          <w:rFonts w:hAnsi="方正黑体_GBK" w:cs="方正黑体_GBK" w:hint="eastAsia"/>
          <w:color w:val="3D3D3D"/>
          <w:kern w:val="0"/>
          <w:sz w:val="13"/>
          <w:szCs w:val="13"/>
        </w:rPr>
        <w:t>。</w:t>
      </w:r>
    </w:p>
    <w:p w14:paraId="0687BC4E" w14:textId="77777777" w:rsidR="00693847" w:rsidRDefault="00FC1D70">
      <w:pPr>
        <w:pStyle w:val="annotationtext23"/>
        <w:spacing w:line="200" w:lineRule="exact"/>
        <w:ind w:firstLineChars="200" w:firstLine="260"/>
        <w:rPr>
          <w:rFonts w:hAnsi="方正黑体_GBK" w:cs="方正黑体_GBK" w:hint="eastAsia"/>
          <w:color w:val="3D3D3D"/>
          <w:kern w:val="0"/>
          <w:sz w:val="13"/>
          <w:szCs w:val="13"/>
        </w:rPr>
      </w:pPr>
      <w:r>
        <w:rPr>
          <w:rFonts w:hAnsi="方正黑体_GBK" w:cs="方正黑体_GBK" w:hint="eastAsia"/>
          <w:b/>
          <w:bCs/>
          <w:color w:val="3D3D3D"/>
          <w:kern w:val="0"/>
          <w:sz w:val="13"/>
          <w:szCs w:val="13"/>
        </w:rPr>
        <w:t>本风险等级为南银理财风险评级结果，该产品通过代理销售机构渠道销售的，理财产品评级应当以代理销售机构最终披露的评级结果为准。</w:t>
      </w:r>
      <w:r>
        <w:rPr>
          <w:rFonts w:hAnsi="方正黑体_GBK" w:cs="方正黑体_GBK" w:hint="eastAsia"/>
          <w:color w:val="3D3D3D"/>
          <w:kern w:val="0"/>
          <w:sz w:val="13"/>
          <w:szCs w:val="13"/>
        </w:rPr>
        <w:t>您需充分认识投资风险，谨慎投资。</w:t>
      </w:r>
    </w:p>
    <w:p w14:paraId="204FBC8D" w14:textId="77777777" w:rsidR="00693847" w:rsidRDefault="00FC1D70">
      <w:pPr>
        <w:pStyle w:val="Normal8c656329"/>
        <w:widowControl/>
        <w:spacing w:line="200" w:lineRule="exact"/>
        <w:ind w:firstLineChars="200" w:firstLine="260"/>
        <w:rPr>
          <w:rFonts w:hAnsi="方正黑体_GBK" w:cs="方正黑体_GBK" w:hint="eastAsia"/>
          <w:b/>
          <w:bCs/>
          <w:color w:val="3D3D3D"/>
          <w:kern w:val="0"/>
          <w:sz w:val="13"/>
          <w:szCs w:val="13"/>
        </w:rPr>
      </w:pPr>
      <w:r>
        <w:rPr>
          <w:rFonts w:hAnsi="方正黑体_GBK" w:cs="方正黑体_GBK" w:hint="eastAsia"/>
          <w:b/>
          <w:bCs/>
          <w:color w:val="3D3D3D"/>
          <w:kern w:val="0"/>
          <w:sz w:val="13"/>
          <w:szCs w:val="13"/>
        </w:rPr>
        <w:t>适合购买本理财产品的投资者：</w:t>
      </w:r>
      <w:r>
        <w:rPr>
          <w:rFonts w:hAnsi="方正黑体_GBK" w:cs="方正黑体_GBK" w:hint="eastAsia"/>
          <w:color w:val="3D3D3D"/>
          <w:kern w:val="0"/>
          <w:sz w:val="13"/>
          <w:szCs w:val="13"/>
        </w:rPr>
        <w:t>符合相关法律法规、监管规定要求的，经销售机构的风险承受能力评估体系评定为适合的个人和机构投资者</w:t>
      </w:r>
      <w:r>
        <w:rPr>
          <w:rFonts w:hAnsi="方正黑体_GBK" w:cs="方正黑体_GBK" w:hint="eastAsia"/>
          <w:b/>
          <w:bCs/>
          <w:color w:val="3D3D3D"/>
          <w:kern w:val="0"/>
          <w:sz w:val="13"/>
          <w:szCs w:val="13"/>
        </w:rPr>
        <w:t>。</w:t>
      </w:r>
    </w:p>
    <w:p w14:paraId="2E013A40" w14:textId="77777777" w:rsidR="00693847" w:rsidRDefault="00FC1D70">
      <w:pPr>
        <w:pStyle w:val="Normal8c656329"/>
        <w:widowControl/>
        <w:spacing w:line="200" w:lineRule="exact"/>
        <w:ind w:firstLine="260"/>
        <w:rPr>
          <w:rFonts w:hAnsi="方正黑体_GBK" w:cs="方正黑体_GBK" w:hint="eastAsia"/>
          <w:b/>
          <w:bCs/>
          <w:color w:val="3D3D3D"/>
          <w:kern w:val="0"/>
          <w:sz w:val="13"/>
          <w:szCs w:val="13"/>
        </w:rPr>
      </w:pPr>
      <w:r>
        <w:rPr>
          <w:rFonts w:hAnsi="方正黑体_GBK" w:cs="方正黑体_GBK" w:hint="eastAsia"/>
          <w:b/>
          <w:bCs/>
          <w:color w:val="3D3D3D"/>
          <w:kern w:val="0"/>
          <w:sz w:val="13"/>
          <w:szCs w:val="13"/>
        </w:rPr>
        <w:t>个人投资者在首次通过销售机构购买理财产品时应根据销售机构的要求进行风险承受能力评估。如影响您风险承受能力的因素发生变化，请及时完成风险承受能力评估。</w:t>
      </w:r>
    </w:p>
    <w:p w14:paraId="0024789A" w14:textId="77777777" w:rsidR="00693847" w:rsidRDefault="00FC1D70">
      <w:pPr>
        <w:pStyle w:val="Normal8c656329"/>
        <w:widowControl/>
        <w:spacing w:line="200" w:lineRule="exact"/>
        <w:ind w:firstLine="260"/>
        <w:rPr>
          <w:rFonts w:hAnsi="方正黑体_GBK" w:cs="方正黑体_GBK" w:hint="eastAsia"/>
        </w:rPr>
      </w:pPr>
      <w:r>
        <w:rPr>
          <w:rFonts w:hAnsi="方正黑体_GBK" w:cs="方正黑体_GBK" w:hint="eastAsia"/>
          <w:b/>
          <w:bCs/>
          <w:color w:val="3D3D3D"/>
          <w:kern w:val="0"/>
          <w:sz w:val="13"/>
          <w:szCs w:val="13"/>
        </w:rPr>
        <w:t>最不利投资情形下的投资结果：若投资者认购或申购本理财产品，最不利情况下，投资组合内所有资产均发生以上所述的风险事件，且投资组合内所有资产均发生全额损失，则投资者赎回或到期收到款项为</w:t>
      </w:r>
      <w:r>
        <w:rPr>
          <w:rFonts w:hAnsi="方正黑体_GBK" w:cs="方正黑体_GBK" w:hint="eastAsia"/>
          <w:b/>
          <w:bCs/>
          <w:color w:val="3D3D3D"/>
          <w:kern w:val="0"/>
          <w:sz w:val="13"/>
          <w:szCs w:val="13"/>
        </w:rPr>
        <w:t>0</w:t>
      </w:r>
      <w:r>
        <w:rPr>
          <w:rFonts w:hAnsi="方正黑体_GBK" w:cs="方正黑体_GBK" w:hint="eastAsia"/>
          <w:b/>
          <w:bCs/>
          <w:color w:val="3D3D3D"/>
          <w:kern w:val="0"/>
          <w:sz w:val="13"/>
          <w:szCs w:val="13"/>
        </w:rPr>
        <w:t>，即投资者面临全部本金的损失。为保证当期理财投资者权益而产生的费用由当期理财产品承担。</w:t>
      </w:r>
    </w:p>
    <w:p w14:paraId="12336D23" w14:textId="77777777" w:rsidR="00693847" w:rsidRDefault="00FC1D70">
      <w:pPr>
        <w:pStyle w:val="Normal8c656329"/>
        <w:widowControl/>
        <w:spacing w:line="200" w:lineRule="exact"/>
        <w:ind w:firstLine="260"/>
        <w:rPr>
          <w:rFonts w:hAnsi="方正黑体_GBK" w:cs="方正黑体_GBK" w:hint="eastAsia"/>
          <w:b/>
          <w:bCs/>
          <w:color w:val="3D3D3D"/>
          <w:kern w:val="0"/>
          <w:sz w:val="13"/>
          <w:szCs w:val="13"/>
        </w:rPr>
      </w:pPr>
      <w:r>
        <w:rPr>
          <w:rFonts w:hAnsi="方正黑体_GBK" w:cs="方正黑体_GBK" w:hint="eastAsia"/>
          <w:b/>
          <w:bCs/>
          <w:color w:val="3D3D3D"/>
          <w:kern w:val="0"/>
          <w:sz w:val="13"/>
          <w:szCs w:val="13"/>
        </w:rPr>
        <w:t>示例：如投资者购买本理财产品，本金为</w:t>
      </w:r>
      <w:r>
        <w:rPr>
          <w:rFonts w:hAnsi="方正黑体_GBK" w:cs="方正黑体_GBK" w:hint="eastAsia"/>
          <w:b/>
          <w:bCs/>
          <w:color w:val="3D3D3D"/>
          <w:kern w:val="0"/>
          <w:sz w:val="13"/>
          <w:szCs w:val="13"/>
        </w:rPr>
        <w:t>1</w:t>
      </w:r>
      <w:r>
        <w:rPr>
          <w:rFonts w:hAnsi="方正黑体_GBK" w:cs="方正黑体_GBK" w:hint="eastAsia"/>
          <w:b/>
          <w:bCs/>
          <w:color w:val="3D3D3D"/>
          <w:kern w:val="0"/>
          <w:sz w:val="13"/>
          <w:szCs w:val="13"/>
        </w:rPr>
        <w:t>万元，在理财产品资产组合项下资产全部亏损的最不利情况下，理财产品</w:t>
      </w:r>
      <w:r>
        <w:rPr>
          <w:rFonts w:hAnsi="方正黑体_GBK" w:cs="方正黑体_GBK" w:hint="eastAsia"/>
          <w:b/>
          <w:bCs/>
          <w:color w:val="3D3D3D"/>
          <w:kern w:val="0"/>
          <w:sz w:val="13"/>
          <w:szCs w:val="13"/>
        </w:rPr>
        <w:t>1</w:t>
      </w:r>
      <w:r>
        <w:rPr>
          <w:rFonts w:hAnsi="方正黑体_GBK" w:cs="方正黑体_GBK" w:hint="eastAsia"/>
          <w:b/>
          <w:bCs/>
          <w:color w:val="3D3D3D"/>
          <w:kern w:val="0"/>
          <w:sz w:val="13"/>
          <w:szCs w:val="13"/>
        </w:rPr>
        <w:t>万元本金将全部损失。</w:t>
      </w:r>
    </w:p>
    <w:p w14:paraId="59EE8C3D" w14:textId="77777777" w:rsidR="00693847" w:rsidRDefault="00693847">
      <w:pPr>
        <w:pStyle w:val="Normal8c656329"/>
        <w:widowControl/>
        <w:spacing w:line="200" w:lineRule="exact"/>
        <w:ind w:firstLine="260"/>
        <w:rPr>
          <w:rFonts w:hAnsi="方正黑体_GBK" w:cs="方正黑体_GBK" w:hint="eastAsia"/>
          <w:b/>
          <w:color w:val="3D3D3D"/>
          <w:kern w:val="0"/>
          <w:sz w:val="13"/>
          <w:szCs w:val="13"/>
        </w:rPr>
      </w:pPr>
    </w:p>
    <w:p w14:paraId="2F86F508" w14:textId="77777777" w:rsidR="00693847" w:rsidRDefault="00FC1D70">
      <w:pPr>
        <w:pStyle w:val="Normal8c656329"/>
        <w:widowControl/>
        <w:spacing w:line="200" w:lineRule="exact"/>
        <w:ind w:firstLine="260"/>
        <w:jc w:val="center"/>
        <w:rPr>
          <w:rFonts w:hAnsi="方正黑体_GBK" w:cs="方正黑体_GBK" w:hint="eastAsia"/>
          <w:b/>
          <w:color w:val="3D3D3D"/>
          <w:kern w:val="0"/>
          <w:sz w:val="15"/>
          <w:szCs w:val="15"/>
          <w:u w:val="single"/>
        </w:rPr>
      </w:pPr>
      <w:r>
        <w:rPr>
          <w:rFonts w:hAnsi="方正黑体_GBK" w:cs="方正黑体_GBK" w:hint="eastAsia"/>
          <w:b/>
          <w:color w:val="3D3D3D"/>
          <w:kern w:val="0"/>
          <w:sz w:val="15"/>
          <w:szCs w:val="15"/>
          <w:u w:val="single"/>
        </w:rPr>
        <w:t>上述风险客观存在，敬请投资者予以充分关注！</w:t>
      </w:r>
    </w:p>
    <w:p w14:paraId="6772FD09" w14:textId="77777777" w:rsidR="00693847" w:rsidRDefault="00693847">
      <w:pPr>
        <w:pStyle w:val="Normal8c656329"/>
        <w:widowControl/>
        <w:spacing w:line="200" w:lineRule="exact"/>
        <w:ind w:firstLine="260"/>
        <w:jc w:val="center"/>
        <w:rPr>
          <w:rFonts w:hAnsi="方正黑体_GBK" w:cs="方正黑体_GBK" w:hint="eastAsia"/>
          <w:b/>
          <w:color w:val="3D3D3D"/>
          <w:kern w:val="0"/>
          <w:sz w:val="15"/>
          <w:szCs w:val="15"/>
          <w:u w:val="single"/>
        </w:rPr>
      </w:pPr>
    </w:p>
    <w:p w14:paraId="416226E6" w14:textId="77777777" w:rsidR="00693847" w:rsidRDefault="00FC1D70">
      <w:pPr>
        <w:pStyle w:val="Normal8c656329"/>
        <w:widowControl/>
        <w:spacing w:line="200" w:lineRule="exact"/>
        <w:ind w:firstLine="260"/>
        <w:jc w:val="left"/>
        <w:rPr>
          <w:rFonts w:hAnsi="方正黑体_GBK" w:cs="方正黑体_GBK" w:hint="eastAsia"/>
          <w:b/>
          <w:color w:val="3D3D3D"/>
          <w:kern w:val="0"/>
          <w:sz w:val="15"/>
          <w:szCs w:val="15"/>
          <w:u w:val="single"/>
        </w:rPr>
      </w:pPr>
      <w:r>
        <w:rPr>
          <w:rFonts w:hAnsi="方正黑体_GBK" w:cs="方正黑体_GBK" w:hint="eastAsia"/>
          <w:b/>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本风险揭示书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14:paraId="6D7B1D38" w14:textId="77777777" w:rsidR="00693847" w:rsidRDefault="00FC1D70">
      <w:pPr>
        <w:widowControl/>
        <w:spacing w:line="200" w:lineRule="exact"/>
        <w:rPr>
          <w:rFonts w:hAnsi="方正黑体_GBK" w:cs="方正黑体_GBK" w:hint="eastAsia"/>
          <w:b/>
          <w:color w:val="3D3D3D"/>
          <w:kern w:val="0"/>
          <w:sz w:val="15"/>
          <w:szCs w:val="15"/>
          <w:u w:val="single"/>
        </w:rPr>
      </w:pPr>
      <w:r>
        <w:rPr>
          <w:rFonts w:hAnsi="方正黑体_GBK" w:cs="方正黑体_GBK" w:hint="eastAsia"/>
          <w:b/>
          <w:color w:val="3D3D3D"/>
          <w:kern w:val="0"/>
          <w:sz w:val="15"/>
          <w:szCs w:val="15"/>
          <w:u w:val="single"/>
        </w:rPr>
        <w:t>投资者声明：</w:t>
      </w:r>
    </w:p>
    <w:p w14:paraId="271CDB1E" w14:textId="77777777" w:rsidR="00693847" w:rsidRDefault="00FC1D70">
      <w:pPr>
        <w:widowControl/>
        <w:spacing w:line="200" w:lineRule="exact"/>
        <w:ind w:firstLine="420"/>
        <w:rPr>
          <w:rFonts w:hAnsi="方正黑体_GBK" w:cs="方正黑体_GBK" w:hint="eastAsia"/>
          <w:b/>
          <w:color w:val="3D3D3D"/>
          <w:kern w:val="0"/>
          <w:sz w:val="15"/>
          <w:szCs w:val="15"/>
          <w:u w:val="single"/>
        </w:rPr>
      </w:pPr>
      <w:r>
        <w:rPr>
          <w:rFonts w:hAnsi="方正黑体_GBK" w:cs="方正黑体_GBK" w:hint="eastAsia"/>
          <w:b/>
          <w:color w:val="3D3D3D"/>
          <w:kern w:val="0"/>
          <w:sz w:val="15"/>
          <w:szCs w:val="15"/>
        </w:rPr>
        <w:t>1.</w:t>
      </w:r>
      <w:r>
        <w:rPr>
          <w:rFonts w:hAnsi="方正黑体_GBK" w:cs="方正黑体_GBK" w:hint="eastAsia"/>
          <w:b/>
          <w:color w:val="3D3D3D"/>
          <w:kern w:val="0"/>
          <w:sz w:val="15"/>
          <w:szCs w:val="15"/>
          <w:u w:val="single"/>
        </w:rPr>
        <w:t>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确认，本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购买本理财产品为本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真实的意思表示</w:t>
      </w:r>
      <w:r>
        <w:rPr>
          <w:rFonts w:hAnsi="方正黑体_GBK" w:cs="方正黑体_GBK" w:hint="eastAsia"/>
          <w:b/>
          <w:color w:val="3D3D3D"/>
          <w:kern w:val="0"/>
          <w:sz w:val="15"/>
          <w:szCs w:val="15"/>
          <w:u w:val="single"/>
        </w:rPr>
        <w:t>,</w:t>
      </w:r>
      <w:r>
        <w:rPr>
          <w:rFonts w:hAnsi="方正黑体_GBK" w:cs="方正黑体_GBK" w:hint="eastAsia"/>
          <w:b/>
          <w:color w:val="3D3D3D"/>
          <w:kern w:val="0"/>
          <w:sz w:val="15"/>
          <w:szCs w:val="15"/>
          <w:u w:val="single"/>
        </w:rPr>
        <w:t>并认为该理财产品完全适合本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的投资目标、投资预期以及风险承受能力，本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自愿承担由此带来的一切后果。本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确认南银理财</w:t>
      </w:r>
      <w:r>
        <w:rPr>
          <w:rFonts w:hAnsi="方正黑体_GBK" w:cs="方正黑体_GBK" w:hint="eastAsia"/>
          <w:b/>
          <w:color w:val="3D3D3D"/>
          <w:kern w:val="0"/>
          <w:sz w:val="15"/>
          <w:szCs w:val="15"/>
          <w:u w:val="single"/>
        </w:rPr>
        <w:t>/</w:t>
      </w:r>
      <w:r>
        <w:rPr>
          <w:rFonts w:hAnsi="方正黑体_GBK" w:cs="方正黑体_GBK" w:hint="eastAsia"/>
          <w:b/>
          <w:color w:val="3D3D3D"/>
          <w:kern w:val="0"/>
          <w:sz w:val="15"/>
          <w:szCs w:val="15"/>
          <w:u w:val="single"/>
        </w:rPr>
        <w:t>销售机构相关业务人员对于理财产品销售文件中限制或排除本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权利、增加或加重本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义务或责任以及有关免除或减轻南银理财责任或南银理财单方面拥有某些权利的条款已向本人予以说明，本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已完全理解并自愿接受。</w:t>
      </w:r>
    </w:p>
    <w:p w14:paraId="190EC56C" w14:textId="77777777" w:rsidR="00693847" w:rsidRDefault="00FC1D70">
      <w:pPr>
        <w:widowControl/>
        <w:spacing w:line="200" w:lineRule="exact"/>
        <w:ind w:firstLine="420"/>
        <w:rPr>
          <w:rFonts w:hAnsi="方正黑体_GBK" w:cs="方正黑体_GBK" w:hint="eastAsia"/>
          <w:b/>
          <w:color w:val="3D3D3D"/>
          <w:kern w:val="0"/>
          <w:sz w:val="15"/>
          <w:szCs w:val="15"/>
          <w:u w:val="single"/>
        </w:rPr>
      </w:pPr>
      <w:r>
        <w:rPr>
          <w:rFonts w:hAnsi="方正黑体_GBK" w:cs="方正黑体_GBK" w:hint="eastAsia"/>
          <w:b/>
          <w:color w:val="3D3D3D"/>
          <w:kern w:val="0"/>
          <w:sz w:val="15"/>
          <w:szCs w:val="15"/>
        </w:rPr>
        <w:t>2.</w:t>
      </w:r>
      <w:r>
        <w:rPr>
          <w:rFonts w:hAnsi="方正黑体_GBK" w:cs="方正黑体_GBK" w:hint="eastAsia"/>
          <w:b/>
          <w:color w:val="3D3D3D"/>
          <w:kern w:val="0"/>
          <w:sz w:val="15"/>
          <w:szCs w:val="15"/>
          <w:u w:val="single"/>
        </w:rPr>
        <w:t>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确认，将向本理财产品销售机构真实提供信息，自主作出认购</w:t>
      </w:r>
      <w:r>
        <w:rPr>
          <w:rFonts w:hAnsi="方正黑体_GBK" w:cs="方正黑体_GBK" w:hint="eastAsia"/>
          <w:b/>
          <w:color w:val="3D3D3D"/>
          <w:kern w:val="0"/>
          <w:sz w:val="15"/>
          <w:szCs w:val="15"/>
          <w:u w:val="single"/>
        </w:rPr>
        <w:t>/</w:t>
      </w:r>
      <w:r>
        <w:rPr>
          <w:rFonts w:hAnsi="方正黑体_GBK" w:cs="方正黑体_GBK" w:hint="eastAsia"/>
          <w:b/>
          <w:color w:val="3D3D3D"/>
          <w:kern w:val="0"/>
          <w:sz w:val="15"/>
          <w:szCs w:val="15"/>
          <w:u w:val="single"/>
        </w:rPr>
        <w:t>申购</w:t>
      </w:r>
      <w:r>
        <w:rPr>
          <w:rFonts w:hAnsi="方正黑体_GBK" w:cs="方正黑体_GBK" w:hint="eastAsia"/>
          <w:b/>
          <w:color w:val="3D3D3D"/>
          <w:kern w:val="0"/>
          <w:sz w:val="15"/>
          <w:szCs w:val="15"/>
          <w:u w:val="single"/>
        </w:rPr>
        <w:t>/</w:t>
      </w:r>
      <w:r>
        <w:rPr>
          <w:rFonts w:hAnsi="方正黑体_GBK" w:cs="方正黑体_GBK" w:hint="eastAsia"/>
          <w:b/>
          <w:color w:val="3D3D3D"/>
          <w:kern w:val="0"/>
          <w:sz w:val="15"/>
          <w:szCs w:val="15"/>
          <w:u w:val="single"/>
        </w:rPr>
        <w:t>赎回等决定，自主承担投资风险。本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拒绝向销售机构提供或者未按照要求提供信息的，销售机构有权告知本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相应的后果和责任，并有权拒绝向本</w:t>
      </w:r>
      <w:r>
        <w:rPr>
          <w:rFonts w:hAnsi="方正黑体_GBK" w:cs="方正黑体_GBK" w:hint="eastAsia"/>
          <w:b/>
          <w:bCs/>
          <w:color w:val="3D3D3D"/>
          <w:kern w:val="0"/>
          <w:sz w:val="15"/>
          <w:szCs w:val="15"/>
          <w:u w:val="single"/>
        </w:rPr>
        <w:t>投资者</w:t>
      </w:r>
      <w:r>
        <w:rPr>
          <w:rFonts w:hAnsi="方正黑体_GBK" w:cs="方正黑体_GBK" w:hint="eastAsia"/>
          <w:b/>
          <w:color w:val="3D3D3D"/>
          <w:kern w:val="0"/>
          <w:sz w:val="15"/>
          <w:szCs w:val="15"/>
          <w:u w:val="single"/>
        </w:rPr>
        <w:t>提供销售服务。</w:t>
      </w:r>
    </w:p>
    <w:p w14:paraId="66B88A90" w14:textId="77777777" w:rsidR="00693847" w:rsidRDefault="00FC1D70">
      <w:pPr>
        <w:widowControl/>
        <w:spacing w:line="200" w:lineRule="exact"/>
        <w:ind w:firstLine="420"/>
        <w:rPr>
          <w:rFonts w:hAnsi="方正黑体_GBK" w:cs="方正黑体_GBK" w:hint="eastAsia"/>
          <w:b/>
          <w:color w:val="3D3D3D"/>
          <w:kern w:val="0"/>
          <w:sz w:val="15"/>
          <w:szCs w:val="15"/>
          <w:u w:val="single"/>
        </w:rPr>
      </w:pPr>
      <w:r>
        <w:rPr>
          <w:rFonts w:hAnsi="方正黑体_GBK" w:cs="方正黑体_GBK" w:hint="eastAsia"/>
          <w:b/>
          <w:color w:val="3D3D3D"/>
          <w:kern w:val="0"/>
          <w:sz w:val="15"/>
          <w:szCs w:val="15"/>
        </w:rPr>
        <w:t>3.</w:t>
      </w:r>
      <w:r>
        <w:rPr>
          <w:rFonts w:hAnsi="方正黑体_GBK" w:cs="方正黑体_GBK" w:hint="eastAsia"/>
          <w:b/>
          <w:color w:val="3D3D3D"/>
          <w:kern w:val="0"/>
          <w:sz w:val="15"/>
          <w:szCs w:val="15"/>
          <w:u w:val="single"/>
        </w:rPr>
        <w:t>本投资者确认，投资本理财产品的资金非贷款、发行债券等募集的非自有资金。</w:t>
      </w:r>
    </w:p>
    <w:p w14:paraId="50A89758" w14:textId="77777777" w:rsidR="00693847" w:rsidRDefault="00FC1D70">
      <w:pPr>
        <w:widowControl/>
        <w:spacing w:line="200" w:lineRule="exact"/>
        <w:ind w:firstLine="420"/>
        <w:rPr>
          <w:rFonts w:hAnsi="方正黑体_GBK" w:cs="方正黑体_GBK" w:hint="eastAsia"/>
          <w:b/>
          <w:color w:val="3D3D3D"/>
          <w:kern w:val="0"/>
          <w:sz w:val="15"/>
          <w:szCs w:val="15"/>
          <w:u w:val="single"/>
        </w:rPr>
      </w:pPr>
      <w:r>
        <w:rPr>
          <w:rFonts w:hAnsi="方正黑体_GBK" w:cs="方正黑体_GBK" w:hint="eastAsia"/>
          <w:b/>
          <w:color w:val="3D3D3D"/>
          <w:kern w:val="0"/>
          <w:sz w:val="15"/>
          <w:szCs w:val="15"/>
        </w:rPr>
        <w:t>4.</w:t>
      </w:r>
      <w:r>
        <w:rPr>
          <w:rFonts w:hAnsi="方正黑体_GBK" w:cs="方正黑体_GBK" w:hint="eastAsia"/>
          <w:b/>
          <w:color w:val="3D3D3D"/>
          <w:kern w:val="0"/>
          <w:sz w:val="15"/>
          <w:szCs w:val="15"/>
          <w:u w:val="single"/>
        </w:rPr>
        <w:t>本投资者在购买本理财产品前已完成风险承受能力评估，且该评估结果具有效力。本投资者的风险评级结果为</w:t>
      </w:r>
      <w:r>
        <w:rPr>
          <w:rFonts w:hAnsi="方正黑体_GBK" w:cs="方正黑体_GBK" w:hint="eastAsia"/>
          <w:b/>
          <w:color w:val="3D3D3D"/>
          <w:kern w:val="0"/>
          <w:sz w:val="15"/>
          <w:szCs w:val="15"/>
          <w:u w:val="single"/>
        </w:rPr>
        <w:t xml:space="preserve">    </w:t>
      </w:r>
      <w:r>
        <w:rPr>
          <w:rFonts w:hAnsi="方正黑体_GBK" w:cs="方正黑体_GBK" w:hint="eastAsia"/>
          <w:b/>
          <w:color w:val="3D3D3D"/>
          <w:kern w:val="0"/>
          <w:sz w:val="15"/>
          <w:szCs w:val="15"/>
          <w:u w:val="single"/>
        </w:rPr>
        <w:t>（低、</w:t>
      </w:r>
      <w:r>
        <w:rPr>
          <w:rFonts w:hAnsi="方正黑体_GBK" w:cs="方正黑体_GBK" w:hint="eastAsia"/>
          <w:b/>
          <w:color w:val="3D3D3D"/>
          <w:kern w:val="0"/>
          <w:sz w:val="15"/>
          <w:szCs w:val="15"/>
          <w:u w:val="single"/>
        </w:rPr>
        <w:t xml:space="preserve"> </w:t>
      </w:r>
      <w:r>
        <w:rPr>
          <w:rFonts w:hAnsi="方正黑体_GBK" w:cs="方正黑体_GBK" w:hint="eastAsia"/>
          <w:b/>
          <w:color w:val="3D3D3D"/>
          <w:kern w:val="0"/>
          <w:sz w:val="15"/>
          <w:szCs w:val="15"/>
          <w:u w:val="single"/>
        </w:rPr>
        <w:t>中低、中、中高、高）。如果影响本投资者风险承受能力的因素发生变化，本投资者将及时完成风险承受能力评估，否则由此产生的责任和风险由本投资者自行承担。（仅由个人投资者亲自填写）</w:t>
      </w:r>
    </w:p>
    <w:p w14:paraId="6EC2ED6C" w14:textId="77777777" w:rsidR="00693847" w:rsidRDefault="00FC1D70">
      <w:pPr>
        <w:widowControl/>
        <w:spacing w:line="200" w:lineRule="exact"/>
        <w:ind w:firstLine="420"/>
        <w:rPr>
          <w:rFonts w:hAnsi="方正黑体_GBK" w:cs="方正黑体_GBK" w:hint="eastAsia"/>
          <w:b/>
          <w:color w:val="3D3D3D"/>
          <w:kern w:val="0"/>
          <w:sz w:val="15"/>
          <w:szCs w:val="15"/>
          <w:u w:val="single"/>
        </w:rPr>
      </w:pPr>
      <w:r>
        <w:rPr>
          <w:rFonts w:hAnsi="方正黑体_GBK" w:cs="方正黑体_GBK" w:hint="eastAsia"/>
          <w:b/>
          <w:color w:val="3D3D3D"/>
          <w:kern w:val="0"/>
          <w:sz w:val="15"/>
          <w:szCs w:val="15"/>
        </w:rPr>
        <w:t>5.</w:t>
      </w:r>
      <w:r>
        <w:rPr>
          <w:rFonts w:hAnsi="方正黑体_GBK" w:cs="方正黑体_GBK" w:hint="eastAsia"/>
          <w:b/>
          <w:color w:val="3D3D3D"/>
          <w:kern w:val="0"/>
          <w:sz w:val="15"/>
          <w:szCs w:val="15"/>
          <w:u w:val="single"/>
        </w:rPr>
        <w:t>本投资者已认真阅读并充分理解本风险揭示书及对应期次《理财产品销售协议书》《理财产品说明书》《投资者权益须知》《理财产品投资协议书》等理财产品销售文件的全部条款与内容，完全清楚理财产品购买流程、风险评估、产品评级含义、信息披露方式及渠道、南银理财及销售机构联系方式及投诉程序等内容，充分了解履行上述文件的责任，具有识别及承担相关风险的能力，充分了解本理财产品的风险并愿意承担相关风险。</w:t>
      </w:r>
    </w:p>
    <w:p w14:paraId="471B3C00" w14:textId="77777777" w:rsidR="00693847" w:rsidRDefault="00FC1D70">
      <w:pPr>
        <w:widowControl/>
        <w:spacing w:line="200" w:lineRule="exact"/>
        <w:ind w:firstLine="420"/>
        <w:rPr>
          <w:rFonts w:hAnsi="方正黑体_GBK" w:cs="方正黑体_GBK" w:hint="eastAsia"/>
          <w:b/>
          <w:color w:val="3D3D3D"/>
          <w:kern w:val="0"/>
          <w:sz w:val="15"/>
          <w:szCs w:val="15"/>
          <w:u w:val="single"/>
        </w:rPr>
      </w:pPr>
      <w:r>
        <w:rPr>
          <w:rFonts w:hAnsi="方正黑体_GBK" w:cs="方正黑体_GBK" w:hint="eastAsia"/>
          <w:b/>
          <w:color w:val="3D3D3D"/>
          <w:kern w:val="0"/>
          <w:sz w:val="15"/>
          <w:szCs w:val="15"/>
        </w:rPr>
        <w:t>6.</w:t>
      </w:r>
      <w:r>
        <w:rPr>
          <w:rFonts w:hAnsi="方正黑体_GBK" w:cs="方正黑体_GBK" w:hint="eastAsia"/>
          <w:b/>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14:paraId="7AD997E6" w14:textId="77777777" w:rsidR="00693847" w:rsidRDefault="00FC1D70">
      <w:pPr>
        <w:widowControl/>
        <w:spacing w:line="200" w:lineRule="exact"/>
        <w:ind w:firstLine="420"/>
        <w:rPr>
          <w:rFonts w:hAnsi="方正黑体_GBK" w:cs="方正黑体_GBK" w:hint="eastAsia"/>
          <w:b/>
          <w:color w:val="3D3D3D"/>
          <w:kern w:val="0"/>
          <w:sz w:val="15"/>
          <w:szCs w:val="15"/>
          <w:u w:val="single"/>
        </w:rPr>
      </w:pPr>
      <w:r>
        <w:rPr>
          <w:rFonts w:hAnsi="方正黑体_GBK" w:cs="方正黑体_GBK" w:hint="eastAsia"/>
          <w:b/>
          <w:color w:val="3D3D3D"/>
          <w:kern w:val="0"/>
          <w:sz w:val="15"/>
          <w:szCs w:val="15"/>
        </w:rPr>
        <w:t>7.</w:t>
      </w:r>
      <w:r>
        <w:rPr>
          <w:rFonts w:hAnsi="方正黑体_GBK" w:cs="方正黑体_GBK" w:hint="eastAsia"/>
          <w:b/>
          <w:color w:val="3D3D3D"/>
          <w:kern w:val="0"/>
          <w:sz w:val="15"/>
          <w:szCs w:val="15"/>
          <w:u w:val="single"/>
        </w:rPr>
        <w:t>如销售机构为管理人关联方的，本投资者认可此等关联方及关联交易情形的存在并自愿承担相关投资风险。</w:t>
      </w:r>
    </w:p>
    <w:p w14:paraId="08A552D6" w14:textId="77777777" w:rsidR="00693847" w:rsidRDefault="00FC1D70">
      <w:pPr>
        <w:widowControl/>
        <w:spacing w:line="200" w:lineRule="exact"/>
        <w:ind w:firstLine="420"/>
        <w:rPr>
          <w:rFonts w:hAnsi="方正黑体_GBK" w:cs="方正黑体_GBK" w:hint="eastAsia"/>
          <w:color w:val="3D3D3D"/>
          <w:kern w:val="0"/>
          <w:sz w:val="15"/>
          <w:szCs w:val="15"/>
          <w:u w:val="single"/>
        </w:rPr>
      </w:pPr>
      <w:r>
        <w:rPr>
          <w:rFonts w:hAnsi="方正黑体_GBK" w:cs="方正黑体_GBK" w:hint="eastAsia"/>
          <w:color w:val="3D3D3D"/>
          <w:kern w:val="0"/>
          <w:sz w:val="15"/>
          <w:szCs w:val="15"/>
        </w:rPr>
        <w:t>8.</w:t>
      </w:r>
      <w:r>
        <w:rPr>
          <w:rFonts w:hAnsi="方正黑体_GBK" w:cs="方正黑体_GBK" w:hint="eastAsia"/>
          <w:color w:val="3D3D3D"/>
          <w:kern w:val="0"/>
          <w:sz w:val="15"/>
          <w:szCs w:val="15"/>
        </w:rPr>
        <w:t>以下划线部分，请投资者抄录确认：“</w:t>
      </w:r>
      <w:r>
        <w:rPr>
          <w:rFonts w:hAnsi="方正黑体_GBK" w:cs="方正黑体_GBK" w:hint="eastAsia"/>
          <w:b/>
          <w:color w:val="3D3D3D"/>
          <w:kern w:val="0"/>
          <w:sz w:val="15"/>
          <w:szCs w:val="15"/>
          <w:u w:val="single"/>
        </w:rPr>
        <w:t>本人已经阅读风险揭示，愿意承担投资风险</w:t>
      </w:r>
      <w:r>
        <w:rPr>
          <w:rFonts w:hAnsi="方正黑体_GBK" w:cs="方正黑体_GBK" w:hint="eastAsia"/>
          <w:color w:val="3D3D3D"/>
          <w:kern w:val="0"/>
          <w:sz w:val="15"/>
          <w:szCs w:val="15"/>
        </w:rPr>
        <w:t>”。</w:t>
      </w:r>
    </w:p>
    <w:p w14:paraId="49678E05" w14:textId="77777777" w:rsidR="00693847" w:rsidRDefault="00FC1D70">
      <w:pPr>
        <w:widowControl/>
        <w:spacing w:line="200" w:lineRule="exact"/>
        <w:ind w:firstLine="210"/>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w:t>
      </w:r>
    </w:p>
    <w:p w14:paraId="24C02B16" w14:textId="77777777" w:rsidR="00693847" w:rsidRDefault="00693847">
      <w:pPr>
        <w:widowControl/>
        <w:spacing w:line="200" w:lineRule="exact"/>
        <w:ind w:firstLine="210"/>
        <w:rPr>
          <w:rFonts w:hAnsi="方正黑体_GBK" w:cs="方正黑体_GBK" w:hint="eastAsia"/>
          <w:color w:val="3D3D3D"/>
          <w:kern w:val="0"/>
          <w:sz w:val="15"/>
          <w:szCs w:val="15"/>
        </w:rPr>
      </w:pPr>
    </w:p>
    <w:p w14:paraId="7B41B997" w14:textId="77777777" w:rsidR="00693847" w:rsidRDefault="00FC1D70">
      <w:pPr>
        <w:widowControl/>
        <w:spacing w:line="200" w:lineRule="exact"/>
        <w:ind w:firstLine="210"/>
        <w:rPr>
          <w:rFonts w:hAnsi="方正黑体_GBK" w:cs="方正黑体_GBK" w:hint="eastAsia"/>
          <w:color w:val="3D3D3D"/>
          <w:kern w:val="0"/>
          <w:sz w:val="15"/>
          <w:szCs w:val="15"/>
        </w:rPr>
      </w:pPr>
      <w:r>
        <w:rPr>
          <w:rFonts w:hAnsi="方正黑体_GBK" w:cs="方正黑体_GBK" w:hint="eastAsia"/>
          <w:color w:val="3D3D3D"/>
          <w:kern w:val="0"/>
          <w:sz w:val="15"/>
          <w:szCs w:val="15"/>
        </w:rPr>
        <w:t>投资者抄录：</w:t>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r>
        <w:rPr>
          <w:rFonts w:hAnsi="方正黑体_GBK" w:cs="方正黑体_GBK" w:hint="eastAsia"/>
          <w:sz w:val="15"/>
          <w:szCs w:val="15"/>
          <w:u w:val="single"/>
        </w:rPr>
        <w:tab/>
      </w:r>
    </w:p>
    <w:p w14:paraId="2379C474" w14:textId="77777777" w:rsidR="00693847" w:rsidRDefault="00693847">
      <w:pPr>
        <w:widowControl/>
        <w:spacing w:line="200" w:lineRule="exact"/>
        <w:ind w:firstLine="210"/>
        <w:rPr>
          <w:rFonts w:hAnsi="方正黑体_GBK" w:cs="方正黑体_GBK" w:hint="eastAsia"/>
          <w:color w:val="3D3D3D"/>
          <w:kern w:val="0"/>
          <w:sz w:val="13"/>
          <w:szCs w:val="13"/>
        </w:rPr>
      </w:pPr>
    </w:p>
    <w:p w14:paraId="11724D84" w14:textId="77777777" w:rsidR="00693847" w:rsidRDefault="00693847">
      <w:pPr>
        <w:widowControl/>
        <w:spacing w:line="200" w:lineRule="exact"/>
        <w:ind w:firstLine="210"/>
        <w:jc w:val="left"/>
        <w:rPr>
          <w:rFonts w:hAnsi="方正黑体_GBK" w:cs="方正黑体_GBK" w:hint="eastAsia"/>
          <w:color w:val="3D3D3D"/>
          <w:kern w:val="0"/>
          <w:sz w:val="13"/>
          <w:szCs w:val="13"/>
        </w:rPr>
      </w:pPr>
    </w:p>
    <w:p w14:paraId="69147D58" w14:textId="77777777" w:rsidR="00693847" w:rsidRDefault="00693847">
      <w:pPr>
        <w:widowControl/>
        <w:spacing w:line="200" w:lineRule="exact"/>
        <w:ind w:firstLine="210"/>
        <w:jc w:val="left"/>
        <w:rPr>
          <w:rFonts w:hAnsi="方正黑体_GBK" w:cs="方正黑体_GBK" w:hint="eastAsia"/>
          <w:color w:val="3D3D3D"/>
          <w:kern w:val="0"/>
          <w:sz w:val="13"/>
          <w:szCs w:val="13"/>
        </w:rPr>
      </w:pPr>
    </w:p>
    <w:tbl>
      <w:tblPr>
        <w:tblW w:w="0" w:type="auto"/>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4A0" w:firstRow="1" w:lastRow="0" w:firstColumn="1" w:lastColumn="0" w:noHBand="0" w:noVBand="1"/>
      </w:tblPr>
      <w:tblGrid>
        <w:gridCol w:w="9287"/>
      </w:tblGrid>
      <w:tr w:rsidR="00693847" w14:paraId="37A6663B" w14:textId="77777777">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14:paraId="5219823E" w14:textId="77777777" w:rsidR="00693847" w:rsidRDefault="00FC1D70">
            <w:pPr>
              <w:widowControl/>
              <w:spacing w:line="400" w:lineRule="exact"/>
              <w:jc w:val="center"/>
              <w:rPr>
                <w:rFonts w:hAnsi="方正黑体_GBK" w:cs="方正黑体_GBK" w:hint="eastAsia"/>
                <w:b/>
                <w:sz w:val="15"/>
                <w:szCs w:val="15"/>
              </w:rPr>
            </w:pPr>
            <w:r>
              <w:rPr>
                <w:rFonts w:hAnsi="方正黑体_GBK" w:cs="方正黑体_GBK" w:hint="eastAsia"/>
                <w:b/>
                <w:sz w:val="15"/>
                <w:szCs w:val="15"/>
              </w:rPr>
              <w:t>个人投资者</w:t>
            </w:r>
          </w:p>
        </w:tc>
      </w:tr>
      <w:tr w:rsidR="00693847" w14:paraId="6319A0B5" w14:textId="77777777">
        <w:tc>
          <w:tcPr>
            <w:tcW w:w="9287" w:type="dxa"/>
            <w:tcBorders>
              <w:top w:val="single" w:sz="4" w:space="0" w:color="auto"/>
              <w:left w:val="single" w:sz="4" w:space="0" w:color="auto"/>
              <w:bottom w:val="single" w:sz="4" w:space="0" w:color="auto"/>
              <w:right w:val="single" w:sz="4" w:space="0" w:color="auto"/>
              <w:tl2br w:val="nil"/>
              <w:tr2bl w:val="nil"/>
            </w:tcBorders>
          </w:tcPr>
          <w:p w14:paraId="05ACB9E2" w14:textId="77777777" w:rsidR="00693847" w:rsidRDefault="00FC1D70">
            <w:pPr>
              <w:widowControl/>
              <w:spacing w:line="360" w:lineRule="auto"/>
              <w:rPr>
                <w:rFonts w:hAnsi="方正黑体_GBK" w:cs="方正黑体_GBK" w:hint="eastAsia"/>
                <w:color w:val="3D3D3D"/>
                <w:kern w:val="0"/>
                <w:sz w:val="13"/>
                <w:szCs w:val="13"/>
              </w:rPr>
            </w:pPr>
            <w:r>
              <w:rPr>
                <w:rFonts w:hAnsi="方正黑体_GBK" w:cs="方正黑体_GBK" w:hint="eastAsia"/>
                <w:sz w:val="15"/>
                <w:szCs w:val="15"/>
              </w:rPr>
              <w:t>签名：</w:t>
            </w:r>
          </w:p>
          <w:p w14:paraId="4E63BB6A" w14:textId="77777777" w:rsidR="00693847" w:rsidRDefault="00FC1D70">
            <w:pPr>
              <w:widowControl/>
              <w:spacing w:line="360" w:lineRule="auto"/>
              <w:ind w:firstLineChars="100" w:firstLine="130"/>
              <w:rPr>
                <w:rFonts w:hAnsi="方正黑体_GBK" w:cs="方正黑体_GBK" w:hint="eastAsia"/>
                <w:sz w:val="15"/>
                <w:szCs w:val="15"/>
              </w:rPr>
            </w:pPr>
            <w:r>
              <w:rPr>
                <w:rFonts w:hAnsi="方正黑体_GBK" w:cs="方正黑体_GBK" w:hint="eastAsia"/>
                <w:color w:val="3D3D3D"/>
                <w:kern w:val="0"/>
                <w:sz w:val="13"/>
                <w:szCs w:val="13"/>
              </w:rPr>
              <w:t>年</w:t>
            </w: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月</w:t>
            </w: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日</w:t>
            </w:r>
          </w:p>
        </w:tc>
      </w:tr>
      <w:tr w:rsidR="00693847" w14:paraId="01D50E48" w14:textId="77777777">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14:paraId="6937195E" w14:textId="77777777" w:rsidR="00693847" w:rsidRDefault="00FC1D70">
            <w:pPr>
              <w:widowControl/>
              <w:spacing w:line="400" w:lineRule="exact"/>
              <w:jc w:val="center"/>
              <w:rPr>
                <w:rFonts w:hAnsi="方正黑体_GBK" w:cs="方正黑体_GBK" w:hint="eastAsia"/>
                <w:sz w:val="15"/>
                <w:szCs w:val="15"/>
              </w:rPr>
            </w:pPr>
            <w:r>
              <w:rPr>
                <w:rFonts w:hAnsi="方正黑体_GBK" w:cs="方正黑体_GBK" w:hint="eastAsia"/>
                <w:b/>
                <w:bCs/>
                <w:color w:val="3D3D3D"/>
                <w:kern w:val="0"/>
                <w:sz w:val="15"/>
                <w:szCs w:val="15"/>
              </w:rPr>
              <w:t>机构投资者</w:t>
            </w:r>
          </w:p>
        </w:tc>
      </w:tr>
      <w:tr w:rsidR="00693847" w14:paraId="0EEDB1E9" w14:textId="77777777">
        <w:tc>
          <w:tcPr>
            <w:tcW w:w="9287" w:type="dxa"/>
            <w:tcBorders>
              <w:top w:val="single" w:sz="4" w:space="0" w:color="auto"/>
              <w:left w:val="single" w:sz="4" w:space="0" w:color="auto"/>
              <w:bottom w:val="single" w:sz="4" w:space="0" w:color="auto"/>
              <w:right w:val="single" w:sz="4" w:space="0" w:color="auto"/>
              <w:tl2br w:val="nil"/>
              <w:tr2bl w:val="nil"/>
            </w:tcBorders>
          </w:tcPr>
          <w:p w14:paraId="65919F8B" w14:textId="77777777" w:rsidR="00693847" w:rsidRDefault="00693847">
            <w:pPr>
              <w:widowControl/>
              <w:spacing w:line="200" w:lineRule="exact"/>
              <w:jc w:val="left"/>
              <w:rPr>
                <w:rFonts w:hAnsi="方正黑体_GBK" w:cs="方正黑体_GBK" w:hint="eastAsia"/>
                <w:b/>
                <w:bCs/>
                <w:color w:val="3D3D3D"/>
                <w:kern w:val="0"/>
                <w:sz w:val="15"/>
                <w:szCs w:val="15"/>
              </w:rPr>
            </w:pPr>
          </w:p>
          <w:p w14:paraId="1EA28AF7" w14:textId="77777777" w:rsidR="00693847" w:rsidRDefault="00FC1D70">
            <w:pPr>
              <w:widowControl/>
              <w:spacing w:line="200" w:lineRule="exact"/>
              <w:jc w:val="left"/>
              <w:rPr>
                <w:rFonts w:hAnsi="方正黑体_GBK" w:cs="方正黑体_GBK" w:hint="eastAsia"/>
                <w:b/>
                <w:bCs/>
                <w:color w:val="3D3D3D"/>
                <w:kern w:val="0"/>
                <w:sz w:val="15"/>
                <w:szCs w:val="15"/>
              </w:rPr>
            </w:pPr>
            <w:r>
              <w:rPr>
                <w:rFonts w:hAnsi="方正黑体_GBK" w:cs="方正黑体_GBK" w:hint="eastAsia"/>
                <w:b/>
                <w:bCs/>
                <w:color w:val="3D3D3D"/>
                <w:kern w:val="0"/>
                <w:sz w:val="15"/>
                <w:szCs w:val="15"/>
              </w:rPr>
              <w:t>盖章（公章）</w:t>
            </w:r>
          </w:p>
          <w:p w14:paraId="5CB9ECB0" w14:textId="77777777" w:rsidR="00693847" w:rsidRDefault="00693847">
            <w:pPr>
              <w:widowControl/>
              <w:spacing w:line="200" w:lineRule="exact"/>
              <w:jc w:val="left"/>
              <w:rPr>
                <w:rFonts w:hAnsi="方正黑体_GBK" w:cs="方正黑体_GBK" w:hint="eastAsia"/>
                <w:b/>
                <w:bCs/>
                <w:color w:val="3D3D3D"/>
                <w:kern w:val="0"/>
                <w:sz w:val="15"/>
                <w:szCs w:val="15"/>
              </w:rPr>
            </w:pPr>
          </w:p>
          <w:p w14:paraId="63B9F64D" w14:textId="77777777" w:rsidR="00693847" w:rsidRDefault="00FC1D70">
            <w:pPr>
              <w:widowControl/>
              <w:spacing w:line="200" w:lineRule="exact"/>
              <w:jc w:val="left"/>
              <w:rPr>
                <w:rFonts w:hAnsi="方正黑体_GBK" w:cs="方正黑体_GBK" w:hint="eastAsia"/>
                <w:b/>
                <w:bCs/>
                <w:color w:val="3D3D3D"/>
                <w:kern w:val="0"/>
                <w:sz w:val="15"/>
                <w:szCs w:val="15"/>
              </w:rPr>
            </w:pPr>
            <w:r>
              <w:rPr>
                <w:rFonts w:hAnsi="方正黑体_GBK" w:cs="方正黑体_GBK" w:hint="eastAsia"/>
                <w:b/>
                <w:bCs/>
                <w:color w:val="3D3D3D"/>
                <w:kern w:val="0"/>
                <w:sz w:val="15"/>
                <w:szCs w:val="15"/>
              </w:rPr>
              <w:t>法定代表人或授权代理人（签名或盖章）：</w:t>
            </w:r>
            <w:r>
              <w:rPr>
                <w:rFonts w:hAnsi="方正黑体_GBK" w:cs="方正黑体_GBK" w:hint="eastAsia"/>
                <w:b/>
                <w:bCs/>
                <w:color w:val="3D3D3D"/>
                <w:kern w:val="0"/>
                <w:sz w:val="15"/>
                <w:szCs w:val="15"/>
              </w:rPr>
              <w:t xml:space="preserve"> </w:t>
            </w:r>
            <w:r>
              <w:rPr>
                <w:rFonts w:hAnsi="方正黑体_GBK" w:cs="方正黑体_GBK" w:hint="eastAsia"/>
                <w:b/>
                <w:bCs/>
                <w:color w:val="3D3D3D"/>
                <w:kern w:val="0"/>
                <w:sz w:val="15"/>
                <w:szCs w:val="15"/>
              </w:rPr>
              <w:tab/>
            </w:r>
          </w:p>
          <w:p w14:paraId="702AC40F" w14:textId="77777777" w:rsidR="00693847" w:rsidRDefault="00693847">
            <w:pPr>
              <w:widowControl/>
              <w:spacing w:line="200" w:lineRule="exact"/>
              <w:jc w:val="left"/>
              <w:rPr>
                <w:rFonts w:hAnsi="方正黑体_GBK" w:cs="方正黑体_GBK" w:hint="eastAsia"/>
                <w:color w:val="3D3D3D"/>
                <w:kern w:val="0"/>
                <w:sz w:val="13"/>
                <w:szCs w:val="13"/>
              </w:rPr>
            </w:pPr>
          </w:p>
          <w:p w14:paraId="33B0565B" w14:textId="77777777" w:rsidR="00693847" w:rsidRDefault="00FC1D70">
            <w:pPr>
              <w:widowControl/>
              <w:spacing w:line="200" w:lineRule="exact"/>
              <w:jc w:val="left"/>
              <w:rPr>
                <w:rFonts w:hAnsi="方正黑体_GBK" w:cs="方正黑体_GBK" w:hint="eastAsia"/>
                <w:sz w:val="15"/>
                <w:szCs w:val="15"/>
              </w:rPr>
            </w:pP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年</w:t>
            </w: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月</w:t>
            </w:r>
            <w:r>
              <w:rPr>
                <w:rFonts w:hAnsi="方正黑体_GBK" w:cs="方正黑体_GBK" w:hint="eastAsia"/>
                <w:color w:val="3D3D3D"/>
                <w:kern w:val="0"/>
                <w:sz w:val="13"/>
                <w:szCs w:val="13"/>
              </w:rPr>
              <w:t xml:space="preserve">    </w:t>
            </w:r>
            <w:r>
              <w:rPr>
                <w:rFonts w:hAnsi="方正黑体_GBK" w:cs="方正黑体_GBK" w:hint="eastAsia"/>
                <w:color w:val="3D3D3D"/>
                <w:kern w:val="0"/>
                <w:sz w:val="13"/>
                <w:szCs w:val="13"/>
              </w:rPr>
              <w:t>日</w:t>
            </w:r>
          </w:p>
        </w:tc>
      </w:tr>
      <w:tr w:rsidR="00693847" w14:paraId="50107694" w14:textId="77777777">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14:paraId="4FCEEABF" w14:textId="77777777" w:rsidR="00693847" w:rsidRDefault="00FC1D70">
            <w:pPr>
              <w:widowControl/>
              <w:spacing w:line="400" w:lineRule="exact"/>
              <w:jc w:val="center"/>
              <w:rPr>
                <w:rFonts w:hAnsi="方正黑体_GBK" w:cs="方正黑体_GBK" w:hint="eastAsia"/>
                <w:sz w:val="15"/>
                <w:szCs w:val="15"/>
              </w:rPr>
            </w:pPr>
            <w:r>
              <w:rPr>
                <w:rFonts w:hAnsi="方正黑体_GBK" w:cs="方正黑体_GBK" w:hint="eastAsia"/>
                <w:b/>
                <w:bCs/>
                <w:sz w:val="15"/>
                <w:szCs w:val="15"/>
              </w:rPr>
              <w:t>电子渠道</w:t>
            </w:r>
          </w:p>
        </w:tc>
      </w:tr>
      <w:tr w:rsidR="00693847" w14:paraId="3AF77A31" w14:textId="77777777">
        <w:tc>
          <w:tcPr>
            <w:tcW w:w="9287" w:type="dxa"/>
            <w:tcBorders>
              <w:top w:val="single" w:sz="4" w:space="0" w:color="auto"/>
              <w:left w:val="single" w:sz="4" w:space="0" w:color="auto"/>
              <w:bottom w:val="single" w:sz="4" w:space="0" w:color="auto"/>
              <w:right w:val="single" w:sz="4" w:space="0" w:color="auto"/>
              <w:tl2br w:val="nil"/>
              <w:tr2bl w:val="nil"/>
            </w:tcBorders>
          </w:tcPr>
          <w:p w14:paraId="22A1F9C3" w14:textId="77777777" w:rsidR="00693847" w:rsidRDefault="00FC1D70">
            <w:pPr>
              <w:widowControl/>
              <w:spacing w:line="200" w:lineRule="exact"/>
              <w:ind w:firstLineChars="200" w:firstLine="300"/>
              <w:rPr>
                <w:rFonts w:hAnsi="方正黑体_GBK" w:cs="方正黑体_GBK" w:hint="eastAsia"/>
                <w:sz w:val="15"/>
                <w:szCs w:val="15"/>
              </w:rPr>
            </w:pPr>
            <w:r>
              <w:rPr>
                <w:rFonts w:hAnsi="方正黑体_GBK" w:cs="方正黑体_GBK" w:hint="eastAsia"/>
                <w:b/>
                <w:color w:val="3D3D3D"/>
                <w:kern w:val="0"/>
                <w:sz w:val="15"/>
                <w:szCs w:val="15"/>
                <w:u w:val="single"/>
              </w:rPr>
              <w:t>如投资者通过电子渠道（包括但不限于网上银行、手机银行或官方网站等）购买本理财产品的，</w:t>
            </w:r>
            <w:r>
              <w:rPr>
                <w:rFonts w:hAnsi="方正黑体_GBK" w:cs="方正黑体_GBK" w:hint="eastAsia"/>
                <w:spacing w:val="10"/>
                <w:sz w:val="15"/>
                <w:szCs w:val="15"/>
              </w:rPr>
              <w:t>本风险揭示书以数据电文形式订立，</w:t>
            </w:r>
            <w:r>
              <w:rPr>
                <w:rFonts w:hAnsi="方正黑体_GBK" w:cs="方正黑体_GBK" w:hint="eastAsia"/>
                <w:b/>
                <w:color w:val="3D3D3D"/>
                <w:kern w:val="0"/>
                <w:sz w:val="15"/>
                <w:szCs w:val="15"/>
                <w:u w:val="single"/>
              </w:rPr>
              <w:t>投资者应在电子渠道仔细阅读风险揭示书的所有条款，对风险揭示书条款的含义及相应的法律后果应全部知晓并充分理解，同意接受风险揭示书条款，投资者成功缴纳购买资金并经管理人系统确认购买份额后即视为投资者确认其符合本理财产品的风险等级并自愿承担投资风</w:t>
            </w:r>
            <w:r>
              <w:rPr>
                <w:rFonts w:hAnsi="方正黑体_GBK" w:cs="方正黑体_GBK" w:hint="eastAsia"/>
                <w:b/>
                <w:color w:val="3D3D3D"/>
                <w:kern w:val="0"/>
                <w:sz w:val="15"/>
                <w:szCs w:val="15"/>
                <w:u w:val="single"/>
              </w:rPr>
              <w:lastRenderedPageBreak/>
              <w:t>险。</w:t>
            </w:r>
            <w:r>
              <w:rPr>
                <w:rFonts w:hAnsi="方正黑体_GBK" w:cs="方正黑体_GBK" w:hint="eastAsia"/>
                <w:spacing w:val="10"/>
                <w:sz w:val="15"/>
                <w:szCs w:val="15"/>
              </w:rPr>
              <w:t>电子渠道所生成和保留记载的相关电子数据及交易记录以及南银理财、销售机构、托管机构制作或保留的相关电子及纸质单据、凭证、记录等相关资料，构成有效证明投资者与南银理财双方之间权利义务关系的确定证据，投资者无条件认可电子数据的有效性和证据效力。</w:t>
            </w:r>
          </w:p>
        </w:tc>
      </w:tr>
    </w:tbl>
    <w:p w14:paraId="43178729" w14:textId="77777777" w:rsidR="00693847" w:rsidRDefault="00693847">
      <w:pPr>
        <w:rPr>
          <w:rFonts w:hAnsi="方正黑体_GBK" w:cs="方正黑体_GBK" w:hint="eastAsia"/>
        </w:rPr>
      </w:pPr>
    </w:p>
    <w:sectPr w:rsidR="00693847">
      <w:headerReference w:type="default" r:id="rId6"/>
      <w:footerReference w:type="default" r:id="rId7"/>
      <w:pgSz w:w="11907" w:h="16839"/>
      <w:pgMar w:top="720" w:right="720" w:bottom="720" w:left="72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176A86" w14:textId="77777777" w:rsidR="00693847" w:rsidRDefault="00FC1D70">
      <w:r>
        <w:separator/>
      </w:r>
    </w:p>
  </w:endnote>
  <w:endnote w:type="continuationSeparator" w:id="0">
    <w:p w14:paraId="0FF91F11" w14:textId="77777777" w:rsidR="00693847" w:rsidRDefault="00FC1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_GBK">
    <w:altName w:val="微软雅黑"/>
    <w:charset w:val="86"/>
    <w:family w:val="auto"/>
    <w:pitch w:val="default"/>
    <w:sig w:usb0="00000000" w:usb1="00000000" w:usb2="00000000" w:usb3="00000000" w:csb0="00040000" w:csb1="00000000"/>
  </w:font>
  <w:font w:name="MicrosoftYaHei_PDF_Subset">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2E96A" w14:textId="77777777" w:rsidR="00693847" w:rsidRDefault="00FC1D70">
    <w:pPr>
      <w:pStyle w:val="a4"/>
      <w:tabs>
        <w:tab w:val="clear" w:pos="8307"/>
        <w:tab w:val="right" w:pos="8306"/>
      </w:tabs>
      <w:jc w:val="center"/>
    </w:pPr>
    <w:r>
      <w:rPr>
        <w:b/>
        <w:sz w:val="24"/>
        <w:szCs w:val="24"/>
      </w:rPr>
      <w:fldChar w:fldCharType="begin"/>
    </w:r>
    <w:r>
      <w:rPr>
        <w:b/>
      </w:rPr>
      <w:instrText>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rPr>
      <w:t>11</w:t>
    </w:r>
    <w:r>
      <w:rPr>
        <w:b/>
        <w:sz w:val="24"/>
        <w:szCs w:val="24"/>
      </w:rPr>
      <w:fldChar w:fldCharType="end"/>
    </w:r>
  </w:p>
  <w:p w14:paraId="46D16BD6" w14:textId="77777777" w:rsidR="00693847" w:rsidRDefault="00693847">
    <w:pPr>
      <w:pStyle w:val="a4"/>
      <w:tabs>
        <w:tab w:val="clear" w:pos="8307"/>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C46D81" w14:textId="77777777" w:rsidR="00693847" w:rsidRDefault="00FC1D70">
      <w:r>
        <w:separator/>
      </w:r>
    </w:p>
  </w:footnote>
  <w:footnote w:type="continuationSeparator" w:id="0">
    <w:p w14:paraId="3A854DEF" w14:textId="77777777" w:rsidR="00693847" w:rsidRDefault="00FC1D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4F879" w14:textId="77777777" w:rsidR="00693847" w:rsidRDefault="00FC1D70">
    <w:pPr>
      <w:pStyle w:val="a5"/>
      <w:jc w:val="right"/>
    </w:pPr>
    <w:r>
      <w:t>南银理财理财产品销售文件（</w:t>
    </w:r>
    <w:r>
      <w:t>2021</w:t>
    </w:r>
    <w:r>
      <w:t>第</w:t>
    </w:r>
    <w:r>
      <w:t>2</w:t>
    </w:r>
    <w:r>
      <w:t>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trackRevisions/>
  <w:documentProtection w:edit="readOnly" w:enforcement="0"/>
  <w:defaultTabStop w:val="420"/>
  <w:drawingGridHorizontalSpacing w:val="1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useWord2013TrackBottomHyphenation" w:uri="http://schemas.microsoft.com/office/word" w:val="1"/>
  </w:compat>
  <w:docVars>
    <w:docVar w:name="commondata" w:val="eyJoZGlkIjoiMWYwYzZjMjc0ZWUwNTYxNjQxZTk1ZGJlNzhlMGUwOTAifQ=="/>
  </w:docVars>
  <w:rsids>
    <w:rsidRoot w:val="00693847"/>
    <w:rsid w:val="00693847"/>
    <w:rsid w:val="007869E8"/>
    <w:rsid w:val="00FC1D70"/>
    <w:rsid w:val="05DF4009"/>
    <w:rsid w:val="067E3B3F"/>
    <w:rsid w:val="07225256"/>
    <w:rsid w:val="1A473B8E"/>
    <w:rsid w:val="249E192F"/>
    <w:rsid w:val="25D104EA"/>
    <w:rsid w:val="354163E1"/>
    <w:rsid w:val="36AD5DB7"/>
    <w:rsid w:val="37023232"/>
    <w:rsid w:val="5F4B3515"/>
    <w:rsid w:val="61C022DD"/>
    <w:rsid w:val="62B1009C"/>
    <w:rsid w:val="6A0C653B"/>
    <w:rsid w:val="6EEA73EF"/>
    <w:rsid w:val="7A3A14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83EE2"/>
  <w15:docId w15:val="{514AAD3A-2BBF-40A6-BDBB-CBD553F7E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toc 4" w:qFormat="1"/>
    <w:lsdException w:name="toc 5" w:qFormat="1"/>
    <w:lsdException w:name="annotation text" w:uiPriority="99" w:unhideWhenUsed="1" w:qFormat="1"/>
    <w:lsdException w:name="header" w:qFormat="1"/>
    <w:lsdException w:name="footer" w:qFormat="1"/>
    <w:lsdException w:name="caption" w:semiHidden="1" w:unhideWhenUsed="1" w:qFormat="1"/>
    <w:lsdException w:name="Title" w:qFormat="1"/>
    <w:lsdException w:name="Default Paragraph Fo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1"/>
    <w:qFormat/>
    <w:pPr>
      <w:widowControl w:val="0"/>
      <w:jc w:val="both"/>
    </w:pPr>
    <w:rPr>
      <w:rFonts w:ascii="方正黑体_GBK" w:eastAsia="方正黑体_GBK"/>
      <w:kern w:val="2"/>
      <w:sz w:val="21"/>
      <w:szCs w:val="21"/>
    </w:rPr>
  </w:style>
  <w:style w:type="paragraph" w:styleId="10">
    <w:name w:val="heading 1"/>
    <w:basedOn w:val="a"/>
    <w:next w:val="a"/>
    <w:qFormat/>
    <w:pPr>
      <w:keepNext/>
      <w:keepLines/>
      <w:spacing w:before="340" w:after="330" w:line="578" w:lineRule="auto"/>
      <w:outlineLvl w:val="0"/>
    </w:pPr>
    <w:rPr>
      <w:b/>
      <w:bCs/>
      <w:kern w:val="44"/>
      <w:sz w:val="44"/>
    </w:rPr>
  </w:style>
  <w:style w:type="paragraph" w:styleId="2">
    <w:name w:val="heading 2"/>
    <w:basedOn w:val="a"/>
    <w:next w:val="a"/>
    <w:qFormat/>
    <w:pPr>
      <w:keepNext/>
      <w:keepLines/>
      <w:spacing w:before="260" w:after="260" w:line="415" w:lineRule="auto"/>
      <w:outlineLvl w:val="1"/>
    </w:pPr>
    <w:rPr>
      <w:b/>
      <w:sz w:val="32"/>
    </w:rPr>
  </w:style>
  <w:style w:type="paragraph" w:styleId="3">
    <w:name w:val="heading 3"/>
    <w:basedOn w:val="a"/>
    <w:next w:val="a"/>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引文目录1"/>
    <w:basedOn w:val="a"/>
    <w:next w:val="a"/>
    <w:qFormat/>
    <w:pPr>
      <w:ind w:leftChars="200" w:left="420"/>
    </w:pPr>
  </w:style>
  <w:style w:type="paragraph" w:styleId="a3">
    <w:name w:val="annotation text"/>
    <w:basedOn w:val="a"/>
    <w:uiPriority w:val="99"/>
    <w:unhideWhenUsed/>
    <w:qFormat/>
    <w:pPr>
      <w:jc w:val="left"/>
    </w:pPr>
  </w:style>
  <w:style w:type="paragraph" w:styleId="TOC5">
    <w:name w:val="toc 5"/>
    <w:basedOn w:val="a"/>
    <w:next w:val="a"/>
    <w:qFormat/>
    <w:pPr>
      <w:ind w:left="1680"/>
    </w:pPr>
  </w:style>
  <w:style w:type="paragraph" w:styleId="TOC3">
    <w:name w:val="toc 3"/>
    <w:basedOn w:val="a"/>
    <w:next w:val="a"/>
    <w:qFormat/>
    <w:pPr>
      <w:ind w:left="840"/>
    </w:pPr>
  </w:style>
  <w:style w:type="paragraph" w:styleId="a4">
    <w:name w:val="footer"/>
    <w:basedOn w:val="a"/>
    <w:qFormat/>
    <w:pPr>
      <w:tabs>
        <w:tab w:val="center" w:pos="4153"/>
        <w:tab w:val="right" w:pos="8307"/>
      </w:tabs>
      <w:snapToGrid w:val="0"/>
      <w:jc w:val="left"/>
    </w:pPr>
    <w:rPr>
      <w:sz w:val="18"/>
    </w:rPr>
  </w:style>
  <w:style w:type="paragraph" w:styleId="a5">
    <w:name w:val="header"/>
    <w:basedOn w:val="a"/>
    <w:qFormat/>
    <w:pPr>
      <w:pBdr>
        <w:bottom w:val="single" w:sz="6" w:space="1" w:color="auto"/>
      </w:pBdr>
      <w:tabs>
        <w:tab w:val="center" w:pos="4153"/>
        <w:tab w:val="right" w:pos="8307"/>
      </w:tabs>
      <w:snapToGrid w:val="0"/>
      <w:jc w:val="center"/>
    </w:pPr>
    <w:rPr>
      <w:sz w:val="18"/>
    </w:rPr>
  </w:style>
  <w:style w:type="paragraph" w:styleId="TOC1">
    <w:name w:val="toc 1"/>
    <w:basedOn w:val="a"/>
    <w:next w:val="a"/>
    <w:qFormat/>
  </w:style>
  <w:style w:type="paragraph" w:styleId="TOC4">
    <w:name w:val="toc 4"/>
    <w:basedOn w:val="a"/>
    <w:next w:val="a"/>
    <w:qFormat/>
    <w:pPr>
      <w:ind w:left="1260"/>
    </w:pPr>
  </w:style>
  <w:style w:type="paragraph" w:styleId="TOC2">
    <w:name w:val="toc 2"/>
    <w:basedOn w:val="a"/>
    <w:next w:val="a"/>
    <w:qFormat/>
    <w:pPr>
      <w:ind w:left="420"/>
    </w:pPr>
  </w:style>
  <w:style w:type="paragraph" w:styleId="a6">
    <w:name w:val="Normal (Web)"/>
    <w:basedOn w:val="a"/>
    <w:qFormat/>
    <w:pPr>
      <w:widowControl/>
      <w:spacing w:before="102" w:after="102" w:line="1099" w:lineRule="atLeast"/>
      <w:ind w:firstLine="419"/>
      <w:jc w:val="left"/>
      <w:textAlignment w:val="baseline"/>
    </w:pPr>
    <w:rPr>
      <w:rFonts w:ascii="Times New Roman" w:eastAsia="宋体"/>
      <w:color w:val="000000"/>
      <w:kern w:val="0"/>
      <w:sz w:val="24"/>
      <w:szCs w:val="20"/>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qFormat/>
    <w:rPr>
      <w:b/>
    </w:rPr>
  </w:style>
  <w:style w:type="paragraph" w:customStyle="1" w:styleId="Normal8c656329">
    <w:name w:val="Normal8c656329"/>
    <w:qFormat/>
    <w:pPr>
      <w:widowControl w:val="0"/>
      <w:jc w:val="both"/>
    </w:pPr>
    <w:rPr>
      <w:rFonts w:ascii="方正黑体_GBK" w:eastAsia="方正黑体_GBK"/>
      <w:kern w:val="2"/>
      <w:sz w:val="21"/>
      <w:szCs w:val="21"/>
    </w:rPr>
  </w:style>
  <w:style w:type="paragraph" w:customStyle="1" w:styleId="heading1f6a0623e">
    <w:name w:val="heading 1f6a0623e"/>
    <w:basedOn w:val="Normal8c656329"/>
    <w:next w:val="a"/>
    <w:qFormat/>
    <w:pPr>
      <w:keepNext/>
      <w:keepLines/>
      <w:spacing w:before="340" w:after="330" w:line="578" w:lineRule="auto"/>
      <w:outlineLvl w:val="0"/>
    </w:pPr>
    <w:rPr>
      <w:b/>
      <w:bCs/>
      <w:kern w:val="44"/>
      <w:sz w:val="44"/>
    </w:rPr>
  </w:style>
  <w:style w:type="paragraph" w:customStyle="1" w:styleId="heading20820775a">
    <w:name w:val="heading 20820775a"/>
    <w:basedOn w:val="Normal8c656329"/>
    <w:next w:val="a"/>
    <w:qFormat/>
    <w:pPr>
      <w:keepNext/>
      <w:keepLines/>
      <w:spacing w:before="260" w:after="260" w:line="415" w:lineRule="auto"/>
      <w:outlineLvl w:val="1"/>
    </w:pPr>
    <w:rPr>
      <w:b/>
      <w:sz w:val="32"/>
    </w:rPr>
  </w:style>
  <w:style w:type="paragraph" w:customStyle="1" w:styleId="heading3c8ea7462">
    <w:name w:val="heading 3c8ea7462"/>
    <w:basedOn w:val="Normal8c656329"/>
    <w:next w:val="a"/>
    <w:qFormat/>
    <w:pPr>
      <w:keepNext/>
      <w:keepLines/>
      <w:spacing w:before="260" w:after="260" w:line="415" w:lineRule="auto"/>
      <w:outlineLvl w:val="2"/>
    </w:pPr>
    <w:rPr>
      <w:b/>
      <w:sz w:val="32"/>
    </w:rPr>
  </w:style>
  <w:style w:type="character" w:customStyle="1" w:styleId="DefaultParagraphFont03303f34">
    <w:name w:val="Default Paragraph Font03303f34"/>
    <w:qFormat/>
  </w:style>
  <w:style w:type="paragraph" w:customStyle="1" w:styleId="toc17f12ce8d">
    <w:name w:val="toc 17f12ce8d"/>
    <w:basedOn w:val="Normal8c656329"/>
    <w:next w:val="a"/>
    <w:qFormat/>
  </w:style>
  <w:style w:type="paragraph" w:customStyle="1" w:styleId="toc25c7954b4">
    <w:name w:val="toc 25c7954b4"/>
    <w:basedOn w:val="Normal8c656329"/>
    <w:next w:val="a"/>
    <w:qFormat/>
    <w:pPr>
      <w:ind w:left="420"/>
    </w:pPr>
  </w:style>
  <w:style w:type="paragraph" w:customStyle="1" w:styleId="toc34597f55c">
    <w:name w:val="toc 34597f55c"/>
    <w:basedOn w:val="Normal8c656329"/>
    <w:next w:val="a"/>
    <w:qFormat/>
    <w:pPr>
      <w:ind w:left="840"/>
    </w:pPr>
  </w:style>
  <w:style w:type="paragraph" w:customStyle="1" w:styleId="toc4b1419ae4">
    <w:name w:val="toc 4b1419ae4"/>
    <w:basedOn w:val="Normal8c656329"/>
    <w:next w:val="a"/>
    <w:qFormat/>
    <w:pPr>
      <w:ind w:left="1260"/>
    </w:pPr>
  </w:style>
  <w:style w:type="paragraph" w:customStyle="1" w:styleId="toc587869459">
    <w:name w:val="toc 587869459"/>
    <w:basedOn w:val="Normal8c656329"/>
    <w:next w:val="a"/>
    <w:qFormat/>
    <w:pPr>
      <w:ind w:left="1680"/>
    </w:pPr>
  </w:style>
  <w:style w:type="paragraph" w:customStyle="1" w:styleId="header80b641b0">
    <w:name w:val="header80b641b0"/>
    <w:basedOn w:val="Normal8c656329"/>
    <w:qFormat/>
    <w:pPr>
      <w:pBdr>
        <w:bottom w:val="single" w:sz="6" w:space="1" w:color="auto"/>
      </w:pBdr>
      <w:tabs>
        <w:tab w:val="center" w:pos="4153"/>
        <w:tab w:val="right" w:pos="8307"/>
      </w:tabs>
      <w:snapToGrid w:val="0"/>
      <w:jc w:val="center"/>
    </w:pPr>
    <w:rPr>
      <w:sz w:val="18"/>
    </w:rPr>
  </w:style>
  <w:style w:type="paragraph" w:customStyle="1" w:styleId="footer07f44cbf">
    <w:name w:val="footer07f44cbf"/>
    <w:basedOn w:val="Normal8c656329"/>
    <w:qFormat/>
    <w:pPr>
      <w:tabs>
        <w:tab w:val="center" w:pos="4153"/>
        <w:tab w:val="right" w:pos="8307"/>
      </w:tabs>
      <w:snapToGrid w:val="0"/>
      <w:jc w:val="left"/>
    </w:pPr>
    <w:rPr>
      <w:sz w:val="18"/>
    </w:rPr>
  </w:style>
  <w:style w:type="character" w:customStyle="1" w:styleId="Strong55c6af57">
    <w:name w:val="Strong55c6af57"/>
    <w:qFormat/>
    <w:rPr>
      <w:b/>
    </w:rPr>
  </w:style>
  <w:style w:type="paragraph" w:customStyle="1" w:styleId="annotationtext23">
    <w:name w:val="annotation text23"/>
    <w:next w:val="TOC1"/>
    <w:qFormat/>
    <w:pPr>
      <w:widowControl w:val="0"/>
    </w:pPr>
    <w:rPr>
      <w:rFonts w:ascii="方正黑体_GBK" w:eastAsia="方正黑体_GBK"/>
      <w:kern w:val="2"/>
      <w:sz w:val="21"/>
      <w:szCs w:val="21"/>
    </w:rPr>
  </w:style>
  <w:style w:type="paragraph" w:customStyle="1" w:styleId="Normalfd6decb6">
    <w:name w:val="Normalfd6decb6"/>
    <w:next w:val="TOC1"/>
    <w:qFormat/>
    <w:pPr>
      <w:widowControl w:val="0"/>
      <w:jc w:val="both"/>
    </w:pPr>
    <w:rPr>
      <w:rFonts w:ascii="方正黑体_GBK" w:eastAsia="方正黑体_GBK"/>
      <w:kern w:val="2"/>
      <w:sz w:val="18"/>
      <w:szCs w:val="18"/>
    </w:rPr>
  </w:style>
  <w:style w:type="paragraph" w:customStyle="1" w:styleId="heading13e6c4c3c">
    <w:name w:val="heading 13e6c4c3c"/>
    <w:basedOn w:val="Normalfd6decb6"/>
    <w:next w:val="a"/>
    <w:qFormat/>
    <w:pPr>
      <w:keepNext/>
      <w:keepLines/>
      <w:spacing w:before="340" w:after="330" w:line="578" w:lineRule="auto"/>
      <w:outlineLvl w:val="0"/>
    </w:pPr>
    <w:rPr>
      <w:b/>
      <w:bCs/>
      <w:kern w:val="44"/>
      <w:sz w:val="44"/>
    </w:rPr>
  </w:style>
  <w:style w:type="paragraph" w:customStyle="1" w:styleId="heading245e3bdcf">
    <w:name w:val="heading 245e3bdcf"/>
    <w:basedOn w:val="Normalfd6decb6"/>
    <w:next w:val="a"/>
    <w:qFormat/>
    <w:pPr>
      <w:keepNext/>
      <w:keepLines/>
      <w:spacing w:before="260" w:after="260" w:line="415" w:lineRule="auto"/>
      <w:outlineLvl w:val="1"/>
    </w:pPr>
    <w:rPr>
      <w:b/>
      <w:sz w:val="32"/>
    </w:rPr>
  </w:style>
  <w:style w:type="paragraph" w:customStyle="1" w:styleId="heading3b7cd9761">
    <w:name w:val="heading 3b7cd9761"/>
    <w:basedOn w:val="Normalfd6decb6"/>
    <w:next w:val="a"/>
    <w:qFormat/>
    <w:pPr>
      <w:keepNext/>
      <w:keepLines/>
      <w:spacing w:before="260" w:after="260" w:line="415" w:lineRule="auto"/>
      <w:outlineLvl w:val="2"/>
    </w:pPr>
    <w:rPr>
      <w:b/>
      <w:sz w:val="32"/>
    </w:rPr>
  </w:style>
  <w:style w:type="character" w:customStyle="1" w:styleId="DefaultParagraphFont1ddb1d98">
    <w:name w:val="Default Paragraph Font1ddb1d98"/>
    <w:qFormat/>
  </w:style>
  <w:style w:type="paragraph" w:customStyle="1" w:styleId="NormalIndent7051af35">
    <w:name w:val="Normal Indent7051af35"/>
    <w:basedOn w:val="Normalfd6decb6"/>
    <w:qFormat/>
    <w:pPr>
      <w:ind w:firstLineChars="200" w:firstLine="200"/>
    </w:pPr>
  </w:style>
  <w:style w:type="paragraph" w:customStyle="1" w:styleId="toc5e52b10bd">
    <w:name w:val="toc 5e52b10bd"/>
    <w:basedOn w:val="Normalfd6decb6"/>
    <w:next w:val="a"/>
    <w:qFormat/>
    <w:pPr>
      <w:ind w:left="1680"/>
    </w:pPr>
  </w:style>
  <w:style w:type="paragraph" w:customStyle="1" w:styleId="toc3cd3416d3">
    <w:name w:val="toc 3cd3416d3"/>
    <w:basedOn w:val="Normalfd6decb6"/>
    <w:next w:val="a"/>
    <w:qFormat/>
    <w:pPr>
      <w:ind w:left="840"/>
    </w:pPr>
  </w:style>
  <w:style w:type="paragraph" w:customStyle="1" w:styleId="footera7ad4b9e">
    <w:name w:val="footera7ad4b9e"/>
    <w:basedOn w:val="Normalfd6decb6"/>
    <w:qFormat/>
    <w:pPr>
      <w:tabs>
        <w:tab w:val="center" w:pos="4153"/>
        <w:tab w:val="right" w:pos="8307"/>
      </w:tabs>
      <w:snapToGrid w:val="0"/>
      <w:jc w:val="left"/>
    </w:pPr>
  </w:style>
  <w:style w:type="paragraph" w:customStyle="1" w:styleId="headera61e3d99">
    <w:name w:val="headera61e3d99"/>
    <w:basedOn w:val="Normalfd6decb6"/>
    <w:qFormat/>
    <w:pPr>
      <w:pBdr>
        <w:bottom w:val="single" w:sz="6" w:space="1" w:color="auto"/>
      </w:pBdr>
      <w:tabs>
        <w:tab w:val="center" w:pos="4153"/>
        <w:tab w:val="right" w:pos="8307"/>
      </w:tabs>
      <w:snapToGrid w:val="0"/>
      <w:jc w:val="center"/>
    </w:pPr>
  </w:style>
  <w:style w:type="paragraph" w:customStyle="1" w:styleId="toc12eeb23ec">
    <w:name w:val="toc 12eeb23ec"/>
    <w:basedOn w:val="Normalfd6decb6"/>
    <w:next w:val="a"/>
    <w:qFormat/>
  </w:style>
  <w:style w:type="paragraph" w:customStyle="1" w:styleId="toc4496caa6a">
    <w:name w:val="toc 4496caa6a"/>
    <w:basedOn w:val="Normalfd6decb6"/>
    <w:next w:val="a"/>
    <w:qFormat/>
    <w:pPr>
      <w:ind w:left="1260"/>
    </w:pPr>
  </w:style>
  <w:style w:type="paragraph" w:customStyle="1" w:styleId="toc2b2f6722c">
    <w:name w:val="toc 2b2f6722c"/>
    <w:basedOn w:val="Normalfd6decb6"/>
    <w:next w:val="a"/>
    <w:qFormat/>
    <w:pPr>
      <w:ind w:left="420"/>
    </w:pPr>
  </w:style>
  <w:style w:type="paragraph" w:customStyle="1" w:styleId="NormalWeb1679184d">
    <w:name w:val="Normal (Web)1679184d"/>
    <w:next w:val="a5"/>
    <w:qFormat/>
    <w:pPr>
      <w:spacing w:before="102" w:after="102" w:line="1099" w:lineRule="atLeast"/>
      <w:ind w:firstLine="419"/>
      <w:textAlignment w:val="baseline"/>
    </w:pPr>
    <w:rPr>
      <w:rFonts w:ascii="方正黑体_GBK" w:eastAsia="方正黑体_GBK"/>
      <w:sz w:val="24"/>
      <w:szCs w:val="24"/>
    </w:rPr>
  </w:style>
  <w:style w:type="paragraph" w:customStyle="1" w:styleId="124">
    <w:name w:val="引文目录124"/>
    <w:next w:val="a"/>
    <w:qFormat/>
    <w:pPr>
      <w:widowControl w:val="0"/>
      <w:spacing w:before="100" w:beforeAutospacing="1" w:after="100" w:afterAutospacing="1"/>
      <w:ind w:leftChars="200" w:left="200"/>
      <w:jc w:val="both"/>
      <w:textAlignment w:val="baseline"/>
    </w:pPr>
    <w:rPr>
      <w:rFonts w:ascii="方正黑体_GBK" w:eastAsia="方正黑体_GBK"/>
      <w:kern w:val="2"/>
      <w:sz w:val="21"/>
      <w:szCs w:val="21"/>
    </w:rPr>
  </w:style>
  <w:style w:type="paragraph" w:customStyle="1" w:styleId="Normalc866bd8cc866bd8c">
    <w:name w:val="Normalc866bd8cc866bd8c"/>
    <w:next w:val="TOC1"/>
    <w:qFormat/>
    <w:pPr>
      <w:widowControl w:val="0"/>
      <w:jc w:val="both"/>
    </w:pPr>
    <w:rPr>
      <w:rFonts w:ascii="方正黑体_GBK" w:eastAsia="方正黑体_GBK"/>
      <w:kern w:val="2"/>
      <w:sz w:val="21"/>
      <w:szCs w:val="21"/>
    </w:rPr>
  </w:style>
  <w:style w:type="paragraph" w:customStyle="1" w:styleId="heading18cdefa5c8cdefa5c">
    <w:name w:val="heading 18cdefa5c8cdefa5c"/>
    <w:basedOn w:val="Normalc866bd8cc866bd8c"/>
    <w:next w:val="a"/>
    <w:qFormat/>
    <w:pPr>
      <w:keepNext/>
      <w:keepLines/>
      <w:spacing w:before="340" w:after="330" w:line="578" w:lineRule="auto"/>
      <w:outlineLvl w:val="0"/>
    </w:pPr>
    <w:rPr>
      <w:b/>
      <w:bCs/>
      <w:kern w:val="44"/>
      <w:sz w:val="44"/>
    </w:rPr>
  </w:style>
  <w:style w:type="paragraph" w:customStyle="1" w:styleId="heading2f2aa9dd2f2aa9dd2">
    <w:name w:val="heading 2f2aa9dd2f2aa9dd2"/>
    <w:basedOn w:val="Normalc866bd8cc866bd8c"/>
    <w:next w:val="a"/>
    <w:qFormat/>
    <w:pPr>
      <w:keepNext/>
      <w:keepLines/>
      <w:spacing w:before="260" w:after="260" w:line="415" w:lineRule="auto"/>
      <w:outlineLvl w:val="1"/>
    </w:pPr>
    <w:rPr>
      <w:b/>
      <w:sz w:val="32"/>
    </w:rPr>
  </w:style>
  <w:style w:type="paragraph" w:customStyle="1" w:styleId="heading32b8def692b8def69">
    <w:name w:val="heading 32b8def692b8def69"/>
    <w:basedOn w:val="Normalc866bd8cc866bd8c"/>
    <w:next w:val="a"/>
    <w:qFormat/>
    <w:pPr>
      <w:keepNext/>
      <w:keepLines/>
      <w:spacing w:before="260" w:after="260" w:line="415" w:lineRule="auto"/>
      <w:outlineLvl w:val="2"/>
    </w:pPr>
    <w:rPr>
      <w:b/>
      <w:sz w:val="32"/>
    </w:rPr>
  </w:style>
  <w:style w:type="character" w:customStyle="1" w:styleId="DefaultParagraphFont3a644ee33a644ee3">
    <w:name w:val="Default Paragraph Font3a644ee33a644ee3"/>
    <w:qFormat/>
  </w:style>
  <w:style w:type="paragraph" w:customStyle="1" w:styleId="1135c6abf135c6abf">
    <w:name w:val="引文目录1135c6abf135c6abf"/>
    <w:basedOn w:val="Normalc866bd8cc866bd8c"/>
    <w:next w:val="a"/>
    <w:qFormat/>
    <w:pPr>
      <w:ind w:leftChars="200" w:left="200"/>
    </w:pPr>
  </w:style>
  <w:style w:type="paragraph" w:customStyle="1" w:styleId="toc59acae25c9acae25c">
    <w:name w:val="toc 59acae25c9acae25c"/>
    <w:basedOn w:val="Normalc866bd8cc866bd8c"/>
    <w:next w:val="a"/>
    <w:qFormat/>
    <w:pPr>
      <w:ind w:left="1680"/>
    </w:pPr>
  </w:style>
  <w:style w:type="paragraph" w:customStyle="1" w:styleId="toc3a637f125a637f125">
    <w:name w:val="toc 3a637f125a637f125"/>
    <w:basedOn w:val="Normalc866bd8cc866bd8c"/>
    <w:next w:val="a"/>
    <w:qFormat/>
    <w:pPr>
      <w:ind w:left="840"/>
    </w:pPr>
  </w:style>
  <w:style w:type="paragraph" w:customStyle="1" w:styleId="footerc7beaddbc7beaddb">
    <w:name w:val="footerc7beaddbc7beaddb"/>
    <w:basedOn w:val="Normalc866bd8cc866bd8c"/>
    <w:qFormat/>
    <w:pPr>
      <w:tabs>
        <w:tab w:val="center" w:pos="4153"/>
        <w:tab w:val="right" w:pos="8307"/>
      </w:tabs>
      <w:snapToGrid w:val="0"/>
      <w:jc w:val="left"/>
    </w:pPr>
    <w:rPr>
      <w:sz w:val="18"/>
    </w:rPr>
  </w:style>
  <w:style w:type="paragraph" w:customStyle="1" w:styleId="header103a42b1103a42b1">
    <w:name w:val="header103a42b1103a42b1"/>
    <w:basedOn w:val="Normalc866bd8cc866bd8c"/>
    <w:qFormat/>
    <w:pPr>
      <w:pBdr>
        <w:bottom w:val="single" w:sz="6" w:space="1" w:color="auto"/>
      </w:pBdr>
      <w:tabs>
        <w:tab w:val="center" w:pos="4153"/>
        <w:tab w:val="right" w:pos="8307"/>
      </w:tabs>
      <w:snapToGrid w:val="0"/>
      <w:jc w:val="center"/>
    </w:pPr>
    <w:rPr>
      <w:sz w:val="18"/>
    </w:rPr>
  </w:style>
  <w:style w:type="paragraph" w:customStyle="1" w:styleId="toc18e3c9b1a8e3c9b1a">
    <w:name w:val="toc 18e3c9b1a8e3c9b1a"/>
    <w:basedOn w:val="Normalc866bd8cc866bd8c"/>
    <w:next w:val="a"/>
    <w:qFormat/>
  </w:style>
  <w:style w:type="paragraph" w:customStyle="1" w:styleId="toc45d925cd45d925cd4">
    <w:name w:val="toc 45d925cd45d925cd4"/>
    <w:basedOn w:val="Normalc866bd8cc866bd8c"/>
    <w:next w:val="a"/>
    <w:qFormat/>
    <w:pPr>
      <w:ind w:left="1260"/>
    </w:pPr>
  </w:style>
  <w:style w:type="paragraph" w:customStyle="1" w:styleId="toc283aa3a0f83aa3a0f">
    <w:name w:val="toc 283aa3a0f83aa3a0f"/>
    <w:basedOn w:val="Normalc866bd8cc866bd8c"/>
    <w:next w:val="a"/>
    <w:qFormat/>
    <w:pPr>
      <w:ind w:left="420"/>
    </w:pPr>
  </w:style>
  <w:style w:type="paragraph" w:customStyle="1" w:styleId="1270ac8b0270ac8b0">
    <w:name w:val="列出段落1270ac8b0270ac8b0"/>
    <w:link w:val="1270ac8b0270ac8b0Char"/>
    <w:qFormat/>
    <w:pPr>
      <w:widowControl w:val="0"/>
      <w:ind w:firstLineChars="200" w:firstLine="200"/>
      <w:jc w:val="both"/>
    </w:pPr>
    <w:rPr>
      <w:rFonts w:ascii="方正黑体_GBK" w:eastAsia="方正黑体_GBK"/>
      <w:kern w:val="2"/>
      <w:sz w:val="21"/>
      <w:szCs w:val="21"/>
    </w:rPr>
  </w:style>
  <w:style w:type="character" w:customStyle="1" w:styleId="1270ac8b0270ac8b0Char">
    <w:name w:val="列出段落1270ac8b0270ac8b0 Char"/>
    <w:basedOn w:val="a0"/>
    <w:link w:val="1270ac8b0270ac8b0"/>
    <w:qFormat/>
    <w:rPr>
      <w:rFonts w:ascii="方正黑体_GBK" w:eastAsia="方正黑体_GBK" w:cs="Times New Roman"/>
      <w:snapToGrid/>
      <w:color w:val="auto"/>
      <w:spacing w:val="0"/>
      <w:w w:val="100"/>
      <w:kern w:val="2"/>
      <w:position w:val="0"/>
      <w:sz w:val="21"/>
      <w:szCs w:val="21"/>
      <w:u w:val="none"/>
      <w:shd w:val="clear" w:color="auto" w:fill="auto"/>
      <w:vertAlign w:val="baseline"/>
      <w:lang w:val="en-US" w:eastAsia="zh-CN" w:bidi="ar-SA"/>
    </w:rPr>
  </w:style>
  <w:style w:type="paragraph" w:customStyle="1" w:styleId="Normal8191da778191da77">
    <w:name w:val="Normal8191da778191da77"/>
    <w:qFormat/>
    <w:pPr>
      <w:widowControl w:val="0"/>
      <w:jc w:val="both"/>
    </w:pPr>
    <w:rPr>
      <w:rFonts w:ascii="方正黑体_GBK" w:eastAsia="方正黑体_GBK"/>
      <w:kern w:val="2"/>
      <w:sz w:val="21"/>
      <w:szCs w:val="21"/>
    </w:rPr>
  </w:style>
  <w:style w:type="paragraph" w:customStyle="1" w:styleId="11">
    <w:name w:val="列出段落1"/>
    <w:basedOn w:val="a"/>
    <w:uiPriority w:val="99"/>
    <w:qFormat/>
    <w:pPr>
      <w:ind w:firstLineChars="200" w:firstLine="420"/>
    </w:pPr>
  </w:style>
  <w:style w:type="paragraph" w:customStyle="1" w:styleId="12">
    <w:name w:val="列表段落1"/>
    <w:basedOn w:val="a"/>
    <w:uiPriority w:val="34"/>
    <w:unhideWhenUsed/>
    <w:qFormat/>
    <w:pPr>
      <w:ind w:firstLineChars="200" w:firstLine="420"/>
    </w:pPr>
  </w:style>
  <w:style w:type="character" w:customStyle="1" w:styleId="fontstyle01">
    <w:name w:val="fontstyle01"/>
    <w:basedOn w:val="a0"/>
    <w:qFormat/>
    <w:rPr>
      <w:rFonts w:ascii="MicrosoftYaHei_PDF_Subset" w:hAnsi="MicrosoftYaHei_PDF_Subset"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1022</Words>
  <Characters>5831</Characters>
  <Application>Microsoft Office Word</Application>
  <DocSecurity>0</DocSecurity>
  <Lines>48</Lines>
  <Paragraphs>13</Paragraphs>
  <ScaleCrop>false</ScaleCrop>
  <Company/>
  <LinksUpToDate>false</LinksUpToDate>
  <CharactersWithSpaces>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ZHANG MINGHAO</cp:lastModifiedBy>
  <cp:revision>1</cp:revision>
  <cp:lastPrinted>2024-08-16T03:00:00Z</cp:lastPrinted>
  <dcterms:created xsi:type="dcterms:W3CDTF">2022-08-09T07:38:00Z</dcterms:created>
  <dcterms:modified xsi:type="dcterms:W3CDTF">2024-08-16T03:00:00Z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178A405E14B845A9A47CF98087134DC8_13</vt:lpwstr>
  </property>
</Properties>
</file>