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D80BDE" w:rsidRPr="00D80BDE">
        <w:rPr>
          <w:rFonts w:ascii="宋体" w:eastAsia="宋体" w:hAnsi="宋体" w:cs="宋体" w:hint="eastAsia"/>
          <w:b/>
          <w:bCs/>
          <w:sz w:val="36"/>
        </w:rPr>
        <w:t>恒源</w:t>
      </w:r>
      <w:r w:rsidR="001F2E15">
        <w:rPr>
          <w:rFonts w:ascii="宋体" w:eastAsia="宋体" w:hAnsi="宋体" w:cs="宋体" w:hint="eastAsia"/>
          <w:b/>
          <w:bCs/>
          <w:sz w:val="36"/>
        </w:rPr>
        <w:t>1年定开6期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710225"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D80BDE" w:rsidRPr="00D80BDE">
        <w:rPr>
          <w:rFonts w:ascii="仿宋_GB2312" w:eastAsia="仿宋_GB2312" w:hAnsi="微软雅黑" w:cs="宋体" w:hint="eastAsia"/>
          <w:color w:val="000000"/>
          <w:sz w:val="32"/>
          <w:szCs w:val="32"/>
        </w:rPr>
        <w:t>恒源</w:t>
      </w:r>
      <w:r w:rsidR="001F2E15">
        <w:rPr>
          <w:rFonts w:ascii="仿宋_GB2312" w:eastAsia="仿宋_GB2312" w:hAnsi="微软雅黑" w:cs="宋体" w:hint="eastAsia"/>
          <w:color w:val="000000"/>
          <w:sz w:val="32"/>
          <w:szCs w:val="32"/>
        </w:rPr>
        <w:t>1年定开6期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921873">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921873">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月</w:t>
      </w:r>
      <w:r w:rsidR="003969D9">
        <w:rPr>
          <w:rFonts w:ascii="仿宋_GB2312" w:eastAsia="仿宋_GB2312" w:hAnsi="微软雅黑" w:cs="宋体" w:hint="eastAsia"/>
          <w:color w:val="FF0000"/>
          <w:sz w:val="32"/>
          <w:szCs w:val="32"/>
        </w:rPr>
        <w:t>3</w:t>
      </w:r>
      <w:r w:rsidR="001F2E15">
        <w:rPr>
          <w:rFonts w:ascii="仿宋_GB2312" w:eastAsia="仿宋_GB2312" w:hAnsi="微软雅黑" w:cs="宋体" w:hint="eastAsia"/>
          <w:color w:val="FF0000"/>
          <w:sz w:val="32"/>
          <w:szCs w:val="32"/>
        </w:rPr>
        <w:t>0</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921873">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1F2E15">
        <w:rPr>
          <w:rFonts w:ascii="仿宋_GB2312" w:eastAsia="仿宋_GB2312" w:hAnsi="微软雅黑" w:cs="宋体" w:hint="eastAsia"/>
          <w:color w:val="FF0000"/>
          <w:sz w:val="32"/>
          <w:szCs w:val="32"/>
        </w:rPr>
        <w:t>5</w:t>
      </w:r>
      <w:r>
        <w:rPr>
          <w:rFonts w:ascii="仿宋_GB2312" w:eastAsia="仿宋_GB2312" w:hAnsi="微软雅黑" w:cs="宋体" w:hint="eastAsia"/>
          <w:color w:val="FF0000"/>
          <w:sz w:val="32"/>
          <w:szCs w:val="32"/>
        </w:rPr>
        <w:t>月</w:t>
      </w:r>
      <w:r w:rsidR="001F2E15">
        <w:rPr>
          <w:rFonts w:ascii="仿宋_GB2312" w:eastAsia="仿宋_GB2312" w:hAnsi="微软雅黑" w:cs="宋体" w:hint="eastAsia"/>
          <w:color w:val="FF0000"/>
          <w:sz w:val="32"/>
          <w:szCs w:val="32"/>
        </w:rPr>
        <w:t>6</w:t>
      </w:r>
      <w:r>
        <w:rPr>
          <w:rFonts w:ascii="仿宋_GB2312" w:eastAsia="仿宋_GB2312" w:hAnsi="微软雅黑" w:cs="宋体" w:hint="eastAsia"/>
          <w:color w:val="FF0000"/>
          <w:sz w:val="32"/>
          <w:szCs w:val="32"/>
        </w:rPr>
        <w:t>日17:00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B325DB">
        <w:rPr>
          <w:rFonts w:ascii="仿宋_GB2312" w:eastAsia="仿宋_GB2312" w:hAnsi="微软雅黑" w:cs="宋体" w:hint="eastAsia"/>
          <w:b/>
          <w:color w:val="FF0000"/>
          <w:sz w:val="32"/>
          <w:szCs w:val="32"/>
        </w:rPr>
        <w:t>和柜面</w:t>
      </w:r>
      <w:r w:rsidR="006854AC" w:rsidRPr="006854AC">
        <w:rPr>
          <w:rFonts w:ascii="仿宋_GB2312" w:eastAsia="仿宋_GB2312" w:hAnsi="微软雅黑" w:cs="宋体" w:hint="eastAsia"/>
          <w:b/>
          <w:sz w:val="32"/>
          <w:szCs w:val="32"/>
        </w:rPr>
        <w:t>等</w:t>
      </w:r>
      <w:r w:rsidR="00BA4BCB">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292F0B">
        <w:rPr>
          <w:rFonts w:ascii="仿宋_GB2312" w:eastAsia="仿宋_GB2312" w:hAnsi="微软雅黑" w:cs="宋体" w:hint="eastAsia"/>
          <w:color w:val="000000"/>
          <w:sz w:val="32"/>
          <w:szCs w:val="32"/>
        </w:rPr>
        <w:t>销售服务费率：A份额0.30%/年，B份额0.25%/年</w:t>
      </w:r>
      <w:r w:rsidR="00710225">
        <w:rPr>
          <w:rFonts w:ascii="仿宋_GB2312" w:eastAsia="仿宋_GB2312" w:hAnsi="微软雅黑" w:cs="宋体" w:hint="eastAsia"/>
          <w:color w:val="000000"/>
          <w:sz w:val="32"/>
          <w:szCs w:val="32"/>
        </w:rPr>
        <w:t>。</w:t>
      </w:r>
      <w:r>
        <w:rPr>
          <w:rFonts w:ascii="仿宋_GB2312" w:eastAsia="仿宋_GB2312" w:hAnsi="微软雅黑" w:cs="宋体" w:hint="eastAsia"/>
          <w:color w:val="000000"/>
          <w:sz w:val="32"/>
          <w:szCs w:val="32"/>
        </w:rPr>
        <w:t>部分要素如下：</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8"/>
        <w:gridCol w:w="6614"/>
      </w:tblGrid>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1"/>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产品名称</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苏银理财恒源1年定开6期</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40"/>
              <w:ind w:left="55"/>
              <w:jc w:val="both"/>
              <w:rPr>
                <w:rFonts w:ascii="楷体" w:eastAsia="楷体" w:hAnsi="楷体" w:cs="宋体"/>
                <w:b/>
                <w:spacing w:val="-2"/>
                <w:sz w:val="21"/>
                <w:szCs w:val="21"/>
              </w:rPr>
            </w:pPr>
            <w:r>
              <w:rPr>
                <w:rFonts w:ascii="楷体" w:eastAsia="楷体" w:hAnsi="楷体" w:cs="宋体" w:hint="eastAsia"/>
                <w:b/>
                <w:spacing w:val="-2"/>
                <w:sz w:val="21"/>
                <w:szCs w:val="21"/>
              </w:rPr>
              <w:t>理财产品登记编码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Z7003121000019</w:t>
            </w:r>
          </w:p>
          <w:p w:rsidR="00DC5FA6" w:rsidRDefault="00DC5FA6" w:rsidP="00DC5FA6">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（投资者可依据该编码在中国理财网</w:t>
            </w:r>
            <w:hyperlink r:id="rId8" w:history="1">
              <w:r>
                <w:rPr>
                  <w:rStyle w:val="a8"/>
                  <w:rFonts w:ascii="楷体" w:eastAsia="楷体" w:hAnsi="楷体" w:cs="宋体" w:hint="eastAsia"/>
                  <w:color w:val="auto"/>
                  <w:spacing w:val="-2"/>
                  <w:sz w:val="21"/>
                  <w:szCs w:val="21"/>
                  <w:u w:val="none"/>
                </w:rPr>
                <w:t>www.chinawealth.com.cn</w:t>
              </w:r>
            </w:hyperlink>
            <w:r>
              <w:rPr>
                <w:rFonts w:ascii="楷体" w:eastAsia="楷体" w:hAnsi="楷体" w:cs="宋体" w:hint="eastAsia"/>
                <w:spacing w:val="-2"/>
                <w:sz w:val="21"/>
                <w:szCs w:val="21"/>
              </w:rPr>
              <w:t>查询产品信息）</w:t>
            </w:r>
          </w:p>
        </w:tc>
      </w:tr>
      <w:tr w:rsidR="00DC5FA6" w:rsidTr="001F2E15">
        <w:trPr>
          <w:trHeight w:val="1463"/>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销售简称/销售代码</w:t>
            </w:r>
          </w:p>
        </w:tc>
        <w:tc>
          <w:tcPr>
            <w:tcW w:w="6614" w:type="dxa"/>
            <w:tcBorders>
              <w:top w:val="single" w:sz="4" w:space="0" w:color="auto"/>
              <w:left w:val="single" w:sz="4" w:space="0" w:color="auto"/>
              <w:bottom w:val="single" w:sz="4" w:space="0" w:color="auto"/>
              <w:right w:val="single" w:sz="4" w:space="0" w:color="auto"/>
            </w:tcBorders>
            <w:vAlign w:val="center"/>
          </w:tcPr>
          <w:p w:rsidR="00DC5FA6" w:rsidRDefault="00DC5FA6" w:rsidP="00DC5FA6">
            <w:pPr>
              <w:pStyle w:val="TableParagraph"/>
              <w:kinsoku w:val="0"/>
              <w:overflowPunct w:val="0"/>
              <w:ind w:rightChars="35" w:right="77"/>
              <w:jc w:val="both"/>
              <w:rPr>
                <w:rFonts w:ascii="楷体" w:eastAsia="楷体" w:hAnsi="楷体" w:cs="宋体"/>
                <w:spacing w:val="-2"/>
                <w:sz w:val="16"/>
                <w:szCs w:val="16"/>
              </w:rPr>
            </w:pPr>
          </w:p>
          <w:tbl>
            <w:tblPr>
              <w:tblStyle w:val="a9"/>
              <w:tblW w:w="0" w:type="auto"/>
              <w:jc w:val="center"/>
              <w:tblLayout w:type="fixed"/>
              <w:tblLook w:val="04A0"/>
            </w:tblPr>
            <w:tblGrid>
              <w:gridCol w:w="850"/>
              <w:gridCol w:w="3855"/>
              <w:gridCol w:w="1474"/>
            </w:tblGrid>
            <w:tr w:rsidR="00DC5FA6">
              <w:trPr>
                <w:trHeight w:val="90"/>
                <w:jc w:val="center"/>
              </w:trPr>
              <w:tc>
                <w:tcPr>
                  <w:tcW w:w="850"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855"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销售简称</w:t>
                  </w:r>
                </w:p>
              </w:tc>
              <w:tc>
                <w:tcPr>
                  <w:tcW w:w="1474"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销售代码</w:t>
                  </w:r>
                </w:p>
              </w:tc>
            </w:tr>
            <w:tr w:rsidR="00DC5FA6">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苏银理财恒源1年定开6期A</w:t>
                  </w:r>
                </w:p>
              </w:tc>
              <w:tc>
                <w:tcPr>
                  <w:tcW w:w="1474" w:type="dxa"/>
                  <w:tcBorders>
                    <w:top w:val="single" w:sz="4" w:space="0" w:color="auto"/>
                    <w:left w:val="single" w:sz="4" w:space="0" w:color="auto"/>
                    <w:bottom w:val="single" w:sz="4" w:space="0" w:color="auto"/>
                    <w:right w:val="single" w:sz="4" w:space="0" w:color="auto"/>
                  </w:tcBorders>
                  <w:vAlign w:val="bottom"/>
                  <w:hideMark/>
                </w:tcPr>
                <w:p w:rsidR="00DC5FA6" w:rsidRDefault="00DC5FA6">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JSA000000193</w:t>
                  </w:r>
                </w:p>
              </w:tc>
            </w:tr>
            <w:tr w:rsidR="00DC5FA6">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苏银理财恒源1年定开6期B</w:t>
                  </w:r>
                </w:p>
              </w:tc>
              <w:tc>
                <w:tcPr>
                  <w:tcW w:w="1474" w:type="dxa"/>
                  <w:tcBorders>
                    <w:top w:val="single" w:sz="4" w:space="0" w:color="auto"/>
                    <w:left w:val="single" w:sz="4" w:space="0" w:color="auto"/>
                    <w:bottom w:val="single" w:sz="4" w:space="0" w:color="auto"/>
                    <w:right w:val="single" w:sz="4" w:space="0" w:color="auto"/>
                  </w:tcBorders>
                  <w:vAlign w:val="bottom"/>
                  <w:hideMark/>
                </w:tcPr>
                <w:p w:rsidR="00DC5FA6" w:rsidRDefault="00DC5FA6">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JSA000000194</w:t>
                  </w:r>
                </w:p>
              </w:tc>
            </w:tr>
          </w:tbl>
          <w:p w:rsidR="00DC5FA6" w:rsidRDefault="00DC5FA6" w:rsidP="00DC5FA6">
            <w:pPr>
              <w:pStyle w:val="TableParagraph"/>
              <w:kinsoku w:val="0"/>
              <w:overflowPunct w:val="0"/>
              <w:spacing w:before="12"/>
              <w:ind w:rightChars="35" w:right="77"/>
              <w:jc w:val="both"/>
              <w:rPr>
                <w:rFonts w:ascii="楷体" w:eastAsia="楷体" w:hAnsi="楷体" w:cs="宋体"/>
                <w:spacing w:val="-2"/>
                <w:sz w:val="21"/>
                <w:szCs w:val="21"/>
              </w:rPr>
            </w:pP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产品管理人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1F2E1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苏银理财有限责任公司</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产品托管人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1F2E1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江苏银行股份有限公司</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产品内部风险评级</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3"/>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1、★★二级，</w:t>
            </w:r>
            <w:r>
              <w:rPr>
                <w:rFonts w:ascii="楷体" w:eastAsia="楷体" w:hAnsi="楷体" w:cs="宋体" w:hint="eastAsia"/>
                <w:spacing w:val="-2"/>
                <w:sz w:val="21"/>
                <w:szCs w:val="21"/>
              </w:rPr>
              <w:t>本评级为苏银理财有限责任公司内部评级，由苏银理财根据理财产品的投资组合、同类产品过往业绩和风险状况等因素，对理财产品进行评级，仅供客户参考。</w:t>
            </w:r>
          </w:p>
          <w:p w:rsidR="00DC5FA6" w:rsidRDefault="00DC5FA6" w:rsidP="00DC5FA6">
            <w:pPr>
              <w:pStyle w:val="TableParagraph"/>
              <w:kinsoku w:val="0"/>
              <w:overflowPunct w:val="0"/>
              <w:spacing w:before="13"/>
              <w:ind w:left="59" w:rightChars="35" w:right="77"/>
              <w:jc w:val="both"/>
              <w:rPr>
                <w:rFonts w:ascii="楷体" w:eastAsia="楷体" w:hAnsi="楷体" w:cs="宋体" w:hint="eastAsia"/>
                <w:spacing w:val="-2"/>
                <w:sz w:val="21"/>
                <w:szCs w:val="21"/>
              </w:rPr>
            </w:pPr>
            <w:r>
              <w:rPr>
                <w:rFonts w:ascii="楷体" w:eastAsia="楷体" w:hAnsi="楷体" w:cs="宋体" w:hint="eastAsia"/>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DC5FA6" w:rsidRDefault="00DC5FA6" w:rsidP="00DC5FA6">
            <w:pPr>
              <w:pStyle w:val="TableParagraph"/>
              <w:kinsoku w:val="0"/>
              <w:overflowPunct w:val="0"/>
              <w:spacing w:before="13"/>
              <w:ind w:left="59" w:rightChars="35" w:right="77"/>
              <w:jc w:val="both"/>
              <w:rPr>
                <w:rFonts w:ascii="楷体" w:eastAsia="楷体" w:hAnsi="楷体" w:cs="宋体" w:hint="eastAsia"/>
                <w:b/>
                <w:spacing w:val="-2"/>
                <w:sz w:val="21"/>
                <w:szCs w:val="21"/>
                <w:u w:val="single"/>
              </w:rPr>
            </w:pPr>
            <w:r>
              <w:rPr>
                <w:rFonts w:ascii="楷体" w:eastAsia="楷体" w:hAnsi="楷体" w:cs="宋体" w:hint="eastAsia"/>
                <w:b/>
                <w:spacing w:val="-2"/>
                <w:sz w:val="21"/>
                <w:szCs w:val="21"/>
                <w:u w:val="single"/>
              </w:rPr>
              <w:t>3、如本产品通过代理销售机构渠道销售，理财产品评级以代理销售机构最终披露的评级结果为准。</w:t>
            </w:r>
          </w:p>
          <w:p w:rsidR="001F2E15" w:rsidRPr="001F377F" w:rsidRDefault="001F377F" w:rsidP="001F377F">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净值型（非保本浮动收益）</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2"/>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固定收益类、公募、开放式</w:t>
            </w:r>
          </w:p>
        </w:tc>
      </w:tr>
      <w:tr w:rsidR="00DC5FA6" w:rsidTr="001F2E15">
        <w:trPr>
          <w:trHeight w:val="1540"/>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销售对象</w:t>
            </w:r>
          </w:p>
        </w:tc>
        <w:tc>
          <w:tcPr>
            <w:tcW w:w="6614" w:type="dxa"/>
            <w:tcBorders>
              <w:top w:val="single" w:sz="4" w:space="0" w:color="auto"/>
              <w:left w:val="single" w:sz="4" w:space="0" w:color="auto"/>
              <w:bottom w:val="single" w:sz="4" w:space="0" w:color="auto"/>
              <w:right w:val="single" w:sz="4" w:space="0" w:color="auto"/>
            </w:tcBorders>
            <w:vAlign w:val="center"/>
          </w:tcPr>
          <w:p w:rsidR="00DC5FA6" w:rsidRDefault="00DC5FA6" w:rsidP="00DC5FA6">
            <w:pPr>
              <w:pStyle w:val="TableParagraph"/>
              <w:kinsoku w:val="0"/>
              <w:overflowPunct w:val="0"/>
              <w:spacing w:before="12"/>
              <w:ind w:left="59" w:rightChars="35" w:right="77"/>
              <w:jc w:val="both"/>
              <w:rPr>
                <w:rFonts w:ascii="楷体" w:eastAsia="楷体" w:hAnsi="楷体" w:cs="宋体"/>
                <w:spacing w:val="-2"/>
                <w:sz w:val="21"/>
                <w:szCs w:val="21"/>
              </w:rPr>
            </w:pPr>
          </w:p>
          <w:tbl>
            <w:tblPr>
              <w:tblStyle w:val="a9"/>
              <w:tblW w:w="0" w:type="auto"/>
              <w:jc w:val="center"/>
              <w:tblLayout w:type="fixed"/>
              <w:tblLook w:val="04A0"/>
            </w:tblPr>
            <w:tblGrid>
              <w:gridCol w:w="850"/>
              <w:gridCol w:w="5159"/>
            </w:tblGrid>
            <w:tr w:rsidR="00DC5FA6">
              <w:trPr>
                <w:jc w:val="center"/>
              </w:trPr>
              <w:tc>
                <w:tcPr>
                  <w:tcW w:w="850"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5159"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销售对象</w:t>
                  </w:r>
                </w:p>
              </w:tc>
            </w:tr>
            <w:tr w:rsidR="00DC5FA6">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5159"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r w:rsidR="00DC5FA6">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5159"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bl>
          <w:p w:rsidR="00DC5FA6" w:rsidRDefault="00DC5FA6" w:rsidP="00DC5FA6">
            <w:pPr>
              <w:pStyle w:val="TableParagraph"/>
              <w:kinsoku w:val="0"/>
              <w:overflowPunct w:val="0"/>
              <w:spacing w:before="12"/>
              <w:ind w:rightChars="35" w:right="77"/>
              <w:jc w:val="both"/>
              <w:rPr>
                <w:rFonts w:ascii="楷体" w:eastAsia="楷体" w:hAnsi="楷体" w:cs="宋体"/>
                <w:spacing w:val="-2"/>
                <w:sz w:val="21"/>
                <w:szCs w:val="21"/>
                <w:highlight w:val="yellow"/>
              </w:rPr>
            </w:pP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募集币种</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人民币</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投资周期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4"/>
              <w:ind w:left="59" w:rightChars="35" w:right="77"/>
              <w:jc w:val="both"/>
              <w:rPr>
                <w:rFonts w:ascii="楷体" w:eastAsia="楷体" w:hAnsi="楷体" w:cs="宋体"/>
                <w:b/>
                <w:spacing w:val="-2"/>
                <w:sz w:val="21"/>
                <w:szCs w:val="21"/>
              </w:rPr>
            </w:pPr>
            <w:r>
              <w:rPr>
                <w:rFonts w:ascii="楷体" w:eastAsia="楷体" w:hAnsi="楷体" w:cs="宋体" w:hint="eastAsia"/>
                <w:spacing w:val="-2"/>
                <w:sz w:val="21"/>
                <w:szCs w:val="21"/>
              </w:rPr>
              <w:t>12个月</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计划发行规模</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w:t>
            </w:r>
            <w:r>
              <w:rPr>
                <w:rFonts w:ascii="楷体" w:eastAsia="楷体" w:hAnsi="楷体" w:cs="宋体" w:hint="eastAsia"/>
                <w:spacing w:val="-2"/>
                <w:szCs w:val="21"/>
              </w:rPr>
              <w:lastRenderedPageBreak/>
              <w:t>申购/赎回情况调整产品发行规模。</w:t>
            </w:r>
          </w:p>
        </w:tc>
      </w:tr>
      <w:tr w:rsidR="00DC5FA6" w:rsidTr="001F2E15">
        <w:trPr>
          <w:trHeight w:val="1833"/>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认购起点/追加金额</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850"/>
              <w:gridCol w:w="2268"/>
              <w:gridCol w:w="2268"/>
            </w:tblGrid>
            <w:tr w:rsidR="00DC5FA6">
              <w:trPr>
                <w:jc w:val="center"/>
              </w:trPr>
              <w:tc>
                <w:tcPr>
                  <w:tcW w:w="850"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2268"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认购起点</w:t>
                  </w:r>
                </w:p>
              </w:tc>
              <w:tc>
                <w:tcPr>
                  <w:tcW w:w="2268"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追加金额</w:t>
                  </w:r>
                </w:p>
              </w:tc>
            </w:tr>
            <w:tr w:rsidR="00DC5FA6">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2268"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100元</w:t>
                  </w:r>
                </w:p>
              </w:tc>
              <w:tc>
                <w:tcPr>
                  <w:tcW w:w="2268"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100元的整数倍</w:t>
                  </w:r>
                </w:p>
              </w:tc>
            </w:tr>
            <w:tr w:rsidR="00DC5FA6">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2268"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200,000元</w:t>
                  </w:r>
                </w:p>
              </w:tc>
              <w:tc>
                <w:tcPr>
                  <w:tcW w:w="2268"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10,000元的整数倍</w:t>
                  </w:r>
                </w:p>
              </w:tc>
            </w:tr>
          </w:tbl>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w:t>
            </w:r>
            <w:r w:rsidR="00FB64BB">
              <w:rPr>
                <w:rFonts w:ascii="楷体" w:eastAsia="楷体" w:hAnsi="楷体" w:hint="eastAsia"/>
                <w:szCs w:val="21"/>
              </w:rPr>
              <w:t>产品说明书</w:t>
            </w:r>
            <w:r>
              <w:rPr>
                <w:rFonts w:ascii="楷体" w:eastAsia="楷体" w:hAnsi="楷体" w:hint="eastAsia"/>
                <w:szCs w:val="21"/>
              </w:rPr>
              <w:t>“八、产品认购”。</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份额面值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1元/份</w:t>
            </w:r>
          </w:p>
        </w:tc>
      </w:tr>
      <w:tr w:rsidR="00DC5FA6" w:rsidTr="001F2E15">
        <w:trPr>
          <w:trHeight w:val="2064"/>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募集期</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2252"/>
              <w:gridCol w:w="3742"/>
            </w:tblGrid>
            <w:tr w:rsidR="00DC5FA6">
              <w:trPr>
                <w:jc w:val="center"/>
              </w:trPr>
              <w:tc>
                <w:tcPr>
                  <w:tcW w:w="2252"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742"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募集期</w:t>
                  </w:r>
                </w:p>
              </w:tc>
            </w:tr>
            <w:tr w:rsidR="00DC5FA6">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742"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2021年4月1日9:00至2021年4月6日17:00</w:t>
                  </w:r>
                </w:p>
              </w:tc>
            </w:tr>
          </w:tbl>
          <w:p w:rsidR="00DC5FA6" w:rsidRDefault="00DC5FA6" w:rsidP="00DC5FA6">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管理人在法律允许的范围内保留延长或提前终止产品募集期的权利。如有变动，实际产品募集期以管理人公告或各销售机构设置的募集时间为准。</w:t>
            </w:r>
          </w:p>
        </w:tc>
      </w:tr>
      <w:tr w:rsidR="00DC5FA6" w:rsidTr="001F377F">
        <w:trPr>
          <w:trHeight w:val="254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产品成立日/份额登记日</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2252"/>
              <w:gridCol w:w="3646"/>
            </w:tblGrid>
            <w:tr w:rsidR="00DC5FA6">
              <w:trPr>
                <w:jc w:val="center"/>
              </w:trPr>
              <w:tc>
                <w:tcPr>
                  <w:tcW w:w="2252"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646"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产品成立日/份额登记日</w:t>
                  </w:r>
                </w:p>
              </w:tc>
            </w:tr>
            <w:tr w:rsidR="00DC5FA6">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DC5FA6" w:rsidRDefault="00DC5FA6">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646"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2021年4月7日</w:t>
                  </w:r>
                </w:p>
              </w:tc>
            </w:tr>
          </w:tbl>
          <w:p w:rsidR="00DC5FA6" w:rsidRDefault="00DC5FA6" w:rsidP="00DC5FA6">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若产品认购份额未达到最低发行总规模3000万元，或新的法律、法规导致本产品无法合法合规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DC5FA6" w:rsidTr="001F2E15">
        <w:trPr>
          <w:trHeight w:val="1475"/>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产品到期日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2031年4月15日（如遇节假日，顺延至下一工作日）</w:t>
            </w:r>
          </w:p>
          <w:p w:rsidR="00DC5FA6" w:rsidRDefault="00DC5FA6" w:rsidP="00DC5FA6">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在符合本理财产品说明书约定的条件下，管理人有权提前终止该产品，产品到期日受制于提前终止条款。详见</w:t>
            </w:r>
            <w:r w:rsidR="00FB64BB">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“十二、产品的终止与清算”。</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4"/>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开放计划</w:t>
            </w:r>
          </w:p>
        </w:tc>
        <w:tc>
          <w:tcPr>
            <w:tcW w:w="6614" w:type="dxa"/>
            <w:tcBorders>
              <w:top w:val="single" w:sz="4" w:space="0" w:color="auto"/>
              <w:left w:val="single" w:sz="4" w:space="0" w:color="auto"/>
              <w:bottom w:val="single" w:sz="4" w:space="0" w:color="auto"/>
              <w:right w:val="single" w:sz="4" w:space="0" w:color="auto"/>
            </w:tcBorders>
            <w:vAlign w:val="center"/>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20"/>
                <w:szCs w:val="20"/>
              </w:rPr>
            </w:pPr>
          </w:p>
          <w:tbl>
            <w:tblPr>
              <w:tblStyle w:val="a9"/>
              <w:tblW w:w="0" w:type="auto"/>
              <w:jc w:val="center"/>
              <w:tblLayout w:type="fixed"/>
              <w:tblLook w:val="04A0"/>
            </w:tblPr>
            <w:tblGrid>
              <w:gridCol w:w="1531"/>
              <w:gridCol w:w="4706"/>
            </w:tblGrid>
            <w:tr w:rsidR="00DC5FA6">
              <w:trPr>
                <w:jc w:val="center"/>
              </w:trPr>
              <w:tc>
                <w:tcPr>
                  <w:tcW w:w="1531"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4706" w:type="dxa"/>
                  <w:tcBorders>
                    <w:top w:val="single" w:sz="4" w:space="0" w:color="auto"/>
                    <w:left w:val="single" w:sz="4" w:space="0" w:color="auto"/>
                    <w:bottom w:val="single" w:sz="4" w:space="0" w:color="auto"/>
                    <w:right w:val="single" w:sz="4" w:space="0" w:color="auto"/>
                  </w:tcBorders>
                  <w:hideMark/>
                </w:tcPr>
                <w:p w:rsidR="00DC5FA6" w:rsidRDefault="00DC5FA6" w:rsidP="00DC5FA6">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开放计划</w:t>
                  </w:r>
                </w:p>
              </w:tc>
            </w:tr>
            <w:tr w:rsidR="00DC5FA6">
              <w:trPr>
                <w:trHeight w:val="320"/>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1F2E15">
                  <w:pPr>
                    <w:spacing w:line="0" w:lineRule="atLeast"/>
                    <w:jc w:val="center"/>
                    <w:textAlignment w:val="center"/>
                    <w:rPr>
                      <w:rFonts w:ascii="楷体" w:eastAsia="楷体" w:hAnsi="楷体" w:cs="楷体"/>
                      <w:color w:val="000000"/>
                      <w:sz w:val="18"/>
                      <w:szCs w:val="18"/>
                      <w:lang/>
                    </w:rPr>
                  </w:pPr>
                  <w:r>
                    <w:rPr>
                      <w:rFonts w:ascii="楷体" w:eastAsia="楷体" w:hAnsi="楷体" w:cs="楷体" w:hint="eastAsia"/>
                      <w:color w:val="000000"/>
                      <w:sz w:val="18"/>
                      <w:szCs w:val="18"/>
                      <w:lang/>
                    </w:rPr>
                    <w:t>A份额、B份额</w:t>
                  </w:r>
                </w:p>
              </w:tc>
              <w:tc>
                <w:tcPr>
                  <w:tcW w:w="4706"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line="0" w:lineRule="atLeast"/>
                    <w:jc w:val="both"/>
                    <w:rPr>
                      <w:rFonts w:ascii="楷体" w:eastAsia="楷体" w:hAnsi="楷体" w:cs="宋体"/>
                      <w:spacing w:val="-2"/>
                      <w:sz w:val="18"/>
                      <w:szCs w:val="18"/>
                    </w:rPr>
                  </w:pPr>
                  <w:r>
                    <w:rPr>
                      <w:rFonts w:ascii="楷体" w:eastAsia="楷体" w:hAnsi="楷体" w:cs="宋体" w:hint="eastAsia"/>
                      <w:spacing w:val="-2"/>
                      <w:sz w:val="18"/>
                      <w:szCs w:val="18"/>
                    </w:rPr>
                    <w:t>按投资周期开放申购与赎回，每12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tc>
            </w:tr>
          </w:tbl>
          <w:p w:rsidR="00DC5FA6" w:rsidRDefault="00DC5FA6" w:rsidP="00DC5FA6">
            <w:pPr>
              <w:pStyle w:val="TableParagraph"/>
              <w:kinsoku w:val="0"/>
              <w:overflowPunct w:val="0"/>
              <w:spacing w:before="14"/>
              <w:ind w:left="59" w:rightChars="35" w:right="77"/>
              <w:jc w:val="both"/>
              <w:rPr>
                <w:rFonts w:ascii="楷体" w:eastAsia="楷体" w:hAnsi="楷体" w:cs="宋体"/>
                <w:spacing w:val="-2"/>
                <w:sz w:val="21"/>
                <w:szCs w:val="21"/>
                <w:highlight w:val="yellow"/>
              </w:rPr>
            </w:pPr>
            <w:r>
              <w:rPr>
                <w:rFonts w:ascii="楷体" w:eastAsia="楷体" w:hAnsi="楷体" w:cs="宋体" w:hint="eastAsia"/>
                <w:spacing w:val="-2"/>
                <w:sz w:val="21"/>
                <w:szCs w:val="21"/>
              </w:rPr>
              <w:t>管理人有权根据资产运作情况、节假日安排调整开放计划，并在调整前进行公告。详见</w:t>
            </w:r>
            <w:r w:rsidR="00FB64BB">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“十、产品申购、赎回”。</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单个客户单日认/申购限额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单个客户持有份额上限</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单个客户赎回限额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1亿份。超过单个客户赎回限额时，管理人有权拒绝投资者的赎回申请。</w:t>
            </w:r>
            <w:r>
              <w:rPr>
                <w:rFonts w:ascii="楷体" w:eastAsia="楷体" w:hAnsi="楷体" w:cs="宋体" w:hint="eastAsia"/>
                <w:b/>
                <w:bCs/>
                <w:spacing w:val="-2"/>
                <w:sz w:val="21"/>
                <w:szCs w:val="21"/>
                <w:u w:val="single"/>
              </w:rPr>
              <w:t>对于单个投资者单个开放日申请赎回理财份额超过上一交易日日终理财产品总份额的10%的部分，管理人有权暂停接受其赎回申请。</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巨额申购</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本产品单个开放日</w:t>
            </w:r>
            <w:r>
              <w:rPr>
                <w:rFonts w:ascii="楷体" w:eastAsia="楷体" w:hAnsi="楷体" w:cs="宋体" w:hint="eastAsia"/>
                <w:spacing w:val="-2"/>
                <w:sz w:val="21"/>
                <w:szCs w:val="18"/>
              </w:rPr>
              <w:t>投资者</w:t>
            </w:r>
            <w:r>
              <w:rPr>
                <w:rFonts w:ascii="楷体" w:eastAsia="楷体" w:hAnsi="楷体" w:cs="宋体" w:hint="eastAsia"/>
                <w:spacing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sz w:val="21"/>
                <w:szCs w:val="21"/>
                <w:u w:val="single"/>
              </w:rPr>
              <w:t>当出现巨额申购时，产品管理人有权拒绝客户的全部或部分申购申请。</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ind w:rightChars="55" w:right="121"/>
              <w:rPr>
                <w:rFonts w:ascii="楷体" w:eastAsia="楷体" w:hAnsi="楷体" w:cs="宋体"/>
                <w:spacing w:val="-2"/>
                <w:kern w:val="2"/>
                <w:sz w:val="21"/>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DC5FA6" w:rsidRDefault="00DC5FA6">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DC5FA6" w:rsidRDefault="00DC5FA6">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rsidR="00DC5FA6" w:rsidRDefault="00DC5FA6" w:rsidP="00DC5FA6">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连续巨额赎回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业绩比较基准（年化）</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pStyle w:val="TableParagraph"/>
              <w:kinsoku w:val="0"/>
              <w:overflowPunct w:val="0"/>
              <w:spacing w:before="37"/>
              <w:ind w:rightChars="35" w:right="77"/>
              <w:jc w:val="both"/>
              <w:rPr>
                <w:rFonts w:ascii="楷体" w:eastAsia="楷体" w:hAnsi="楷体" w:cs="宋体"/>
                <w:spacing w:val="-2"/>
                <w:sz w:val="21"/>
                <w:szCs w:val="21"/>
              </w:rPr>
            </w:pPr>
            <w:r>
              <w:rPr>
                <w:rFonts w:ascii="楷体" w:eastAsia="楷体" w:hAnsi="楷体" w:cs="宋体" w:hint="eastAsia"/>
                <w:b/>
                <w:bCs/>
                <w:spacing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 w:val="21"/>
                <w:szCs w:val="21"/>
              </w:rPr>
              <w:t>各份额业绩比较基准如下：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871"/>
              <w:gridCol w:w="1805"/>
              <w:gridCol w:w="1881"/>
            </w:tblGrid>
            <w:tr w:rsidR="00DC5FA6">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投资周期</w:t>
                  </w:r>
                </w:p>
              </w:tc>
              <w:tc>
                <w:tcPr>
                  <w:tcW w:w="187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投资周期起始日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投资周期终止日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jc w:val="center"/>
                    <w:rPr>
                      <w:rFonts w:ascii="楷体" w:eastAsia="楷体" w:hAnsi="楷体" w:cs="Times New Roman"/>
                      <w:kern w:val="2"/>
                      <w:sz w:val="18"/>
                      <w:szCs w:val="18"/>
                    </w:rPr>
                  </w:pPr>
                  <w:r>
                    <w:rPr>
                      <w:rFonts w:ascii="楷体" w:eastAsia="楷体" w:hAnsi="楷体" w:hint="eastAsia"/>
                      <w:sz w:val="18"/>
                      <w:szCs w:val="18"/>
                    </w:rPr>
                    <w:t>业绩比较基准</w:t>
                  </w:r>
                </w:p>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（年化）</w:t>
                  </w:r>
                </w:p>
              </w:tc>
            </w:tr>
            <w:tr w:rsidR="00DC5FA6">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1</w:t>
                  </w:r>
                </w:p>
              </w:tc>
              <w:tc>
                <w:tcPr>
                  <w:tcW w:w="187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2021年4月7日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2022年4月28日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4.20%</w:t>
                  </w:r>
                </w:p>
              </w:tc>
            </w:tr>
            <w:tr w:rsidR="00DC5FA6">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2</w:t>
                  </w:r>
                </w:p>
              </w:tc>
              <w:tc>
                <w:tcPr>
                  <w:tcW w:w="187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2022年4月29日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2023年4月27日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aa"/>
                    <w:spacing w:before="0" w:line="0" w:lineRule="atLeast"/>
                    <w:ind w:left="0"/>
                    <w:jc w:val="center"/>
                    <w:rPr>
                      <w:rFonts w:ascii="楷体" w:eastAsia="楷体" w:hAnsi="楷体"/>
                      <w:sz w:val="18"/>
                      <w:szCs w:val="18"/>
                    </w:rPr>
                  </w:pPr>
                  <w:r>
                    <w:rPr>
                      <w:rFonts w:ascii="楷体" w:eastAsia="楷体" w:hAnsi="楷体" w:hint="eastAsia"/>
                      <w:sz w:val="18"/>
                      <w:szCs w:val="18"/>
                    </w:rPr>
                    <w:t>4.15%</w:t>
                  </w:r>
                </w:p>
              </w:tc>
            </w:tr>
            <w:tr w:rsidR="00DC5FA6">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3</w:t>
                  </w:r>
                </w:p>
              </w:tc>
              <w:tc>
                <w:tcPr>
                  <w:tcW w:w="187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cs="宋体" w:hint="eastAsia"/>
                      <w:spacing w:val="-2"/>
                      <w:sz w:val="18"/>
                      <w:szCs w:val="18"/>
                    </w:rPr>
                    <w:t>2023年4月28日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2024年5月6日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aa"/>
                    <w:spacing w:before="0" w:line="0" w:lineRule="atLeast"/>
                    <w:ind w:left="0" w:firstLineChars="200" w:firstLine="360"/>
                    <w:jc w:val="both"/>
                    <w:rPr>
                      <w:rFonts w:ascii="楷体" w:eastAsia="楷体" w:hAnsi="楷体" w:cs="宋体"/>
                      <w:sz w:val="18"/>
                      <w:szCs w:val="18"/>
                    </w:rPr>
                  </w:pPr>
                  <w:r>
                    <w:rPr>
                      <w:rFonts w:ascii="楷体" w:eastAsia="楷体" w:hAnsi="楷体" w:hint="eastAsia"/>
                      <w:sz w:val="18"/>
                      <w:szCs w:val="18"/>
                    </w:rPr>
                    <w:t>A份额 4%</w:t>
                  </w:r>
                </w:p>
                <w:p w:rsidR="00DC5FA6" w:rsidRDefault="00DC5FA6">
                  <w:pPr>
                    <w:pStyle w:val="aa"/>
                    <w:spacing w:before="0" w:line="0" w:lineRule="atLeast"/>
                    <w:ind w:left="0" w:firstLineChars="200" w:firstLine="360"/>
                    <w:jc w:val="both"/>
                    <w:rPr>
                      <w:rFonts w:ascii="楷体" w:eastAsia="楷体" w:hAnsi="楷体"/>
                      <w:kern w:val="2"/>
                      <w:sz w:val="18"/>
                      <w:szCs w:val="18"/>
                    </w:rPr>
                  </w:pPr>
                  <w:r>
                    <w:rPr>
                      <w:rFonts w:ascii="楷体" w:eastAsia="楷体" w:hAnsi="楷体" w:hint="eastAsia"/>
                      <w:sz w:val="18"/>
                      <w:szCs w:val="18"/>
                    </w:rPr>
                    <w:t>B份额 4.03%</w:t>
                  </w:r>
                </w:p>
              </w:tc>
            </w:tr>
            <w:tr w:rsidR="00DC5FA6">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4</w:t>
                  </w:r>
                </w:p>
              </w:tc>
              <w:tc>
                <w:tcPr>
                  <w:tcW w:w="187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cs="宋体"/>
                      <w:spacing w:val="-2"/>
                      <w:kern w:val="2"/>
                      <w:sz w:val="18"/>
                      <w:szCs w:val="18"/>
                    </w:rPr>
                  </w:pPr>
                  <w:r>
                    <w:rPr>
                      <w:rFonts w:ascii="楷体" w:eastAsia="楷体" w:hAnsi="楷体" w:cs="宋体" w:hint="eastAsia"/>
                      <w:spacing w:val="-2"/>
                      <w:sz w:val="18"/>
                      <w:szCs w:val="18"/>
                    </w:rPr>
                    <w:t>2024年5月7日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DC5FA6" w:rsidRDefault="00DC5FA6">
                  <w:pPr>
                    <w:widowControl w:val="0"/>
                    <w:jc w:val="center"/>
                    <w:rPr>
                      <w:rFonts w:ascii="楷体" w:eastAsia="楷体" w:hAnsi="楷体"/>
                      <w:kern w:val="2"/>
                      <w:sz w:val="18"/>
                      <w:szCs w:val="18"/>
                    </w:rPr>
                  </w:pPr>
                  <w:r>
                    <w:rPr>
                      <w:rFonts w:ascii="楷体" w:eastAsia="楷体" w:hAnsi="楷体" w:hint="eastAsia"/>
                      <w:sz w:val="18"/>
                      <w:szCs w:val="18"/>
                    </w:rPr>
                    <w:t>2025年5月12日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aa"/>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A份额3.05%-3.65%</w:t>
                  </w:r>
                </w:p>
                <w:p w:rsidR="00DC5FA6" w:rsidRDefault="00DC5FA6" w:rsidP="001F2E15">
                  <w:pPr>
                    <w:pStyle w:val="aa"/>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B份额3.08%-3.68%</w:t>
                  </w:r>
                </w:p>
              </w:tc>
            </w:tr>
          </w:tbl>
          <w:p w:rsidR="00DC5FA6" w:rsidRDefault="00DC5FA6" w:rsidP="00DC5FA6">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w:t>
            </w:r>
            <w:r>
              <w:rPr>
                <w:rFonts w:ascii="楷体" w:eastAsia="楷体" w:hAnsi="楷体" w:cs="宋体" w:hint="eastAsia"/>
                <w:b/>
                <w:spacing w:val="-2"/>
                <w:szCs w:val="21"/>
                <w:u w:val="single"/>
              </w:rPr>
              <w:lastRenderedPageBreak/>
              <w:t>产品存续期内管理人有权根据市场情况调整业绩比较基准，如有调整以管理人公告为准。</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spacing w:val="-2"/>
                <w:sz w:val="21"/>
                <w:szCs w:val="21"/>
              </w:rPr>
            </w:pPr>
            <w:r>
              <w:rPr>
                <w:rFonts w:ascii="楷体" w:eastAsia="楷体" w:hAnsi="楷体" w:cs="宋体" w:hint="eastAsia"/>
                <w:b/>
                <w:spacing w:val="-2"/>
                <w:sz w:val="21"/>
                <w:szCs w:val="21"/>
              </w:rPr>
              <w:lastRenderedPageBreak/>
              <w:t>产品费用</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ind w:left="59" w:rightChars="35" w:right="77"/>
              <w:rPr>
                <w:rFonts w:ascii="楷体" w:eastAsia="楷体" w:hAnsi="楷体" w:cs="宋体"/>
                <w:spacing w:val="-2"/>
                <w:kern w:val="2"/>
                <w:sz w:val="21"/>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DC5FA6" w:rsidRDefault="00DC5FA6" w:rsidP="00DC5FA6">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1.托管费率、销售服务费率、投资管理费率：</w:t>
            </w:r>
          </w:p>
          <w:tbl>
            <w:tblPr>
              <w:tblW w:w="0" w:type="auto"/>
              <w:jc w:val="center"/>
              <w:tblLayout w:type="fixed"/>
              <w:tblLook w:val="04A0"/>
            </w:tblPr>
            <w:tblGrid>
              <w:gridCol w:w="1005"/>
              <w:gridCol w:w="1273"/>
              <w:gridCol w:w="1273"/>
              <w:gridCol w:w="1273"/>
            </w:tblGrid>
            <w:tr w:rsidR="00DC5FA6">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托管费</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销售服务费</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投资管理费</w:t>
                  </w:r>
                </w:p>
              </w:tc>
            </w:tr>
            <w:tr w:rsidR="00DC5FA6">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A份额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0.30%/年</w:t>
                  </w:r>
                </w:p>
              </w:tc>
            </w:tr>
            <w:tr w:rsidR="00DC5FA6">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B份额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DC5FA6" w:rsidRDefault="00DC5FA6">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0.27%/年</w:t>
                  </w:r>
                </w:p>
              </w:tc>
            </w:tr>
          </w:tbl>
          <w:p w:rsidR="00DC5FA6" w:rsidRDefault="00DC5FA6" w:rsidP="00DC5FA6">
            <w:pPr>
              <w:widowControl w:val="0"/>
              <w:numPr>
                <w:ilvl w:val="0"/>
                <w:numId w:val="1"/>
              </w:numPr>
              <w:tabs>
                <w:tab w:val="left" w:pos="312"/>
              </w:tabs>
              <w:adjustRightInd/>
              <w:snapToGrid/>
              <w:spacing w:after="0"/>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szCs w:val="21"/>
              </w:rPr>
              <w:t>超额业绩报酬：管理人按投资周期收取超额业绩报酬。假设单一投资周期的各份额实际年化投资收益在扣除托管费、销售服务费、投资管理费以及运作产品所必须缴纳的税费后为R：</w:t>
            </w:r>
          </w:p>
          <w:p w:rsidR="00DC5FA6" w:rsidRDefault="00DC5FA6" w:rsidP="00DC5FA6">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若R&lt;业绩比较基准下限，管理人无超额业绩报酬；</w:t>
            </w:r>
          </w:p>
          <w:p w:rsidR="00DC5FA6" w:rsidRDefault="00DC5FA6" w:rsidP="00DC5FA6">
            <w:pPr>
              <w:ind w:left="59" w:rightChars="35" w:right="77"/>
              <w:rPr>
                <w:rFonts w:ascii="楷体" w:eastAsia="楷体" w:hAnsi="楷体" w:cs="宋体" w:hint="eastAsia"/>
                <w:spacing w:val="-2"/>
                <w:szCs w:val="21"/>
              </w:rPr>
            </w:pPr>
            <w:r>
              <w:rPr>
                <w:rFonts w:ascii="楷体" w:eastAsia="楷体" w:hAnsi="楷体" w:cs="宋体" w:hint="eastAsia"/>
                <w:spacing w:val="-2"/>
                <w:szCs w:val="21"/>
              </w:rPr>
              <w:t>若业绩比较基准下限≤R&lt;业绩比较基准上限，管理人对超出业绩比较基准下限的部分，收取40%的超额业绩报酬；</w:t>
            </w:r>
          </w:p>
          <w:p w:rsidR="00DC5FA6" w:rsidRDefault="00DC5FA6" w:rsidP="00DC5FA6">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若R≥业绩比较基准上限，管理人对业绩比较基准上限与业绩比较基准下限之间的部分，收取40%的超额业绩报酬；管理人对超出业绩比较基准上限的部分，收取60%的超额业绩报酬。</w:t>
            </w:r>
          </w:p>
          <w:p w:rsidR="00DC5FA6" w:rsidRDefault="00DC5FA6" w:rsidP="00DC5FA6">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rsidR="00DC5FA6" w:rsidRDefault="00DC5FA6" w:rsidP="00DC5FA6">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估值日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w:t>
            </w:r>
            <w:r w:rsidR="00FB64BB">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暂停估值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收益分配</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w:t>
            </w:r>
            <w:r>
              <w:rPr>
                <w:rFonts w:ascii="楷体" w:eastAsia="楷体" w:hAnsi="楷体" w:cs="宋体" w:hint="eastAsia"/>
                <w:spacing w:val="-2"/>
                <w:szCs w:val="21"/>
              </w:rPr>
              <w:lastRenderedPageBreak/>
              <w:t>投资者资金账户。详见</w:t>
            </w:r>
            <w:r w:rsidR="00FB64BB">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信息披露</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FB64BB">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DC5FA6" w:rsidTr="001F2E15">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DC5FA6" w:rsidRDefault="00DC5FA6">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税款</w:t>
            </w:r>
          </w:p>
        </w:tc>
        <w:tc>
          <w:tcPr>
            <w:tcW w:w="6614" w:type="dxa"/>
            <w:tcBorders>
              <w:top w:val="single" w:sz="4" w:space="0" w:color="auto"/>
              <w:left w:val="single" w:sz="4" w:space="0" w:color="auto"/>
              <w:bottom w:val="single" w:sz="4" w:space="0" w:color="auto"/>
              <w:right w:val="single" w:sz="4" w:space="0" w:color="auto"/>
            </w:tcBorders>
            <w:vAlign w:val="center"/>
            <w:hideMark/>
          </w:tcPr>
          <w:p w:rsidR="00DC5FA6" w:rsidRDefault="00DC5FA6" w:rsidP="00DC5FA6">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FB64BB">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（更多具体要素请详阅产品说明书）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Pr="0068015B">
        <w:rPr>
          <w:rFonts w:ascii="仿宋_GB2312" w:eastAsia="仿宋_GB2312" w:hAnsi="微软雅黑" w:cs="宋体" w:hint="eastAsia"/>
          <w:color w:val="000000"/>
          <w:sz w:val="32"/>
          <w:szCs w:val="32"/>
        </w:rPr>
        <w:t>恒源</w:t>
      </w:r>
      <w:r w:rsidR="001F2E15">
        <w:rPr>
          <w:rFonts w:ascii="仿宋_GB2312" w:eastAsia="仿宋_GB2312" w:hAnsi="微软雅黑" w:cs="宋体" w:hint="eastAsia"/>
          <w:color w:val="000000"/>
          <w:sz w:val="32"/>
          <w:szCs w:val="32"/>
        </w:rPr>
        <w:t>1年定开6期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Pr="0068015B">
        <w:rPr>
          <w:rFonts w:ascii="仿宋_GB2312" w:eastAsia="仿宋_GB2312" w:hAnsi="微软雅黑" w:cs="宋体" w:hint="eastAsia"/>
          <w:color w:val="000000"/>
          <w:sz w:val="32"/>
          <w:szCs w:val="32"/>
        </w:rPr>
        <w:t>恒源</w:t>
      </w:r>
      <w:r w:rsidR="001F2E15">
        <w:rPr>
          <w:rFonts w:ascii="仿宋_GB2312" w:eastAsia="仿宋_GB2312" w:hAnsi="微软雅黑" w:cs="宋体" w:hint="eastAsia"/>
          <w:color w:val="000000"/>
          <w:sz w:val="32"/>
          <w:szCs w:val="32"/>
        </w:rPr>
        <w:t>1年定开6期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921873">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921873">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月</w:t>
      </w:r>
      <w:bookmarkStart w:id="0" w:name="_GoBack"/>
      <w:bookmarkEnd w:id="0"/>
      <w:r w:rsidR="001F2E15">
        <w:rPr>
          <w:rFonts w:ascii="仿宋_GB2312" w:eastAsia="仿宋_GB2312" w:hAnsi="微软雅黑" w:cs="宋体" w:hint="eastAsia"/>
          <w:color w:val="000000"/>
          <w:sz w:val="32"/>
          <w:szCs w:val="32"/>
        </w:rPr>
        <w:t>26</w:t>
      </w:r>
      <w:r w:rsidR="006A4477">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FCB" w:rsidRDefault="00E80FCB" w:rsidP="00141F36">
      <w:pPr>
        <w:spacing w:after="0"/>
      </w:pPr>
      <w:r>
        <w:separator/>
      </w:r>
    </w:p>
  </w:endnote>
  <w:endnote w:type="continuationSeparator" w:id="1">
    <w:p w:rsidR="00E80FCB" w:rsidRDefault="00E80FCB" w:rsidP="00141F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FCB" w:rsidRDefault="00E80FCB" w:rsidP="00141F36">
      <w:pPr>
        <w:spacing w:after="0"/>
      </w:pPr>
      <w:r>
        <w:separator/>
      </w:r>
    </w:p>
  </w:footnote>
  <w:footnote w:type="continuationSeparator" w:id="1">
    <w:p w:rsidR="00E80FCB" w:rsidRDefault="00E80FCB" w:rsidP="00141F3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0DC278"/>
    <w:multiLevelType w:val="singleLevel"/>
    <w:tmpl w:val="790DC278"/>
    <w:lvl w:ilvl="0">
      <w:start w:val="2"/>
      <w:numFmt w:val="decimal"/>
      <w:lvlText w:val="%1."/>
      <w:lvlJc w:val="left"/>
      <w:pPr>
        <w:tabs>
          <w:tab w:val="num" w:pos="312"/>
        </w:tabs>
        <w:ind w:left="0" w:firstLine="0"/>
      </w:pPr>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5058"/>
  </w:hdrShapeDefaults>
  <w:footnotePr>
    <w:footnote w:id="0"/>
    <w:footnote w:id="1"/>
  </w:footnotePr>
  <w:endnotePr>
    <w:endnote w:id="0"/>
    <w:endnote w:id="1"/>
  </w:endnotePr>
  <w:compat>
    <w:useFELayout/>
  </w:compat>
  <w:rsids>
    <w:rsidRoot w:val="00D31D50"/>
    <w:rsid w:val="00002A13"/>
    <w:rsid w:val="00012365"/>
    <w:rsid w:val="00014D89"/>
    <w:rsid w:val="000159FD"/>
    <w:rsid w:val="00020299"/>
    <w:rsid w:val="0002233E"/>
    <w:rsid w:val="00025736"/>
    <w:rsid w:val="000430CA"/>
    <w:rsid w:val="00045358"/>
    <w:rsid w:val="00050465"/>
    <w:rsid w:val="000547BB"/>
    <w:rsid w:val="0006322B"/>
    <w:rsid w:val="000729EB"/>
    <w:rsid w:val="000812F4"/>
    <w:rsid w:val="000936F7"/>
    <w:rsid w:val="000957AC"/>
    <w:rsid w:val="000A5028"/>
    <w:rsid w:val="000E18A2"/>
    <w:rsid w:val="000E1FA9"/>
    <w:rsid w:val="000E7543"/>
    <w:rsid w:val="000F61C9"/>
    <w:rsid w:val="0010440D"/>
    <w:rsid w:val="00110B5C"/>
    <w:rsid w:val="001225F8"/>
    <w:rsid w:val="00134D61"/>
    <w:rsid w:val="00141F36"/>
    <w:rsid w:val="00157799"/>
    <w:rsid w:val="00160908"/>
    <w:rsid w:val="00174CF3"/>
    <w:rsid w:val="00174FC8"/>
    <w:rsid w:val="00182785"/>
    <w:rsid w:val="001930D1"/>
    <w:rsid w:val="001A556D"/>
    <w:rsid w:val="001B2273"/>
    <w:rsid w:val="001D40A6"/>
    <w:rsid w:val="001F2E15"/>
    <w:rsid w:val="001F377F"/>
    <w:rsid w:val="001F72B5"/>
    <w:rsid w:val="00200C72"/>
    <w:rsid w:val="00201E20"/>
    <w:rsid w:val="00206F8F"/>
    <w:rsid w:val="00207F97"/>
    <w:rsid w:val="00214CF7"/>
    <w:rsid w:val="00216E71"/>
    <w:rsid w:val="002235BC"/>
    <w:rsid w:val="00233CED"/>
    <w:rsid w:val="00236FDA"/>
    <w:rsid w:val="002513BD"/>
    <w:rsid w:val="00257856"/>
    <w:rsid w:val="00266F77"/>
    <w:rsid w:val="00277323"/>
    <w:rsid w:val="002777A1"/>
    <w:rsid w:val="00283408"/>
    <w:rsid w:val="002866F6"/>
    <w:rsid w:val="0029028F"/>
    <w:rsid w:val="00292F0B"/>
    <w:rsid w:val="002B1948"/>
    <w:rsid w:val="002C248B"/>
    <w:rsid w:val="002D44AC"/>
    <w:rsid w:val="002D757D"/>
    <w:rsid w:val="002D7671"/>
    <w:rsid w:val="002E2039"/>
    <w:rsid w:val="002E3ECB"/>
    <w:rsid w:val="002E7145"/>
    <w:rsid w:val="002F07C0"/>
    <w:rsid w:val="003059D5"/>
    <w:rsid w:val="00320D56"/>
    <w:rsid w:val="00322F4C"/>
    <w:rsid w:val="00323B43"/>
    <w:rsid w:val="00347193"/>
    <w:rsid w:val="00353BA9"/>
    <w:rsid w:val="00355E21"/>
    <w:rsid w:val="00357EB7"/>
    <w:rsid w:val="00361A72"/>
    <w:rsid w:val="00393219"/>
    <w:rsid w:val="003969D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9140E"/>
    <w:rsid w:val="004950F4"/>
    <w:rsid w:val="00496E4F"/>
    <w:rsid w:val="004C175A"/>
    <w:rsid w:val="00510995"/>
    <w:rsid w:val="005168C5"/>
    <w:rsid w:val="005218F6"/>
    <w:rsid w:val="00523BDD"/>
    <w:rsid w:val="0052515C"/>
    <w:rsid w:val="00530F2D"/>
    <w:rsid w:val="00536DF2"/>
    <w:rsid w:val="00543584"/>
    <w:rsid w:val="00543782"/>
    <w:rsid w:val="0055369F"/>
    <w:rsid w:val="0056630E"/>
    <w:rsid w:val="00566FD9"/>
    <w:rsid w:val="00567122"/>
    <w:rsid w:val="00577BF0"/>
    <w:rsid w:val="00584009"/>
    <w:rsid w:val="005902E6"/>
    <w:rsid w:val="005A477A"/>
    <w:rsid w:val="005B1774"/>
    <w:rsid w:val="005B38B5"/>
    <w:rsid w:val="005B45CF"/>
    <w:rsid w:val="005B5DF6"/>
    <w:rsid w:val="005C155D"/>
    <w:rsid w:val="005C31E9"/>
    <w:rsid w:val="005D072F"/>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854AC"/>
    <w:rsid w:val="006A4477"/>
    <w:rsid w:val="006C44CC"/>
    <w:rsid w:val="006C68D5"/>
    <w:rsid w:val="006E48A4"/>
    <w:rsid w:val="006F7856"/>
    <w:rsid w:val="00701C74"/>
    <w:rsid w:val="0070239F"/>
    <w:rsid w:val="00707600"/>
    <w:rsid w:val="00710225"/>
    <w:rsid w:val="00710B34"/>
    <w:rsid w:val="00714309"/>
    <w:rsid w:val="00714B02"/>
    <w:rsid w:val="007248B8"/>
    <w:rsid w:val="0073205A"/>
    <w:rsid w:val="0074046E"/>
    <w:rsid w:val="00740E8C"/>
    <w:rsid w:val="00741563"/>
    <w:rsid w:val="007415C0"/>
    <w:rsid w:val="00747E0A"/>
    <w:rsid w:val="00766E00"/>
    <w:rsid w:val="007675CD"/>
    <w:rsid w:val="007745AB"/>
    <w:rsid w:val="00783419"/>
    <w:rsid w:val="007865C9"/>
    <w:rsid w:val="00793A91"/>
    <w:rsid w:val="00796629"/>
    <w:rsid w:val="007A6260"/>
    <w:rsid w:val="007C44C4"/>
    <w:rsid w:val="007D35F2"/>
    <w:rsid w:val="008201C5"/>
    <w:rsid w:val="00827FB9"/>
    <w:rsid w:val="008445DB"/>
    <w:rsid w:val="008450A8"/>
    <w:rsid w:val="00846546"/>
    <w:rsid w:val="008507C0"/>
    <w:rsid w:val="0085497C"/>
    <w:rsid w:val="00854BCB"/>
    <w:rsid w:val="0086149C"/>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2B7A"/>
    <w:rsid w:val="008F5738"/>
    <w:rsid w:val="008F7CA5"/>
    <w:rsid w:val="009039D4"/>
    <w:rsid w:val="00903E35"/>
    <w:rsid w:val="00911DE1"/>
    <w:rsid w:val="00916078"/>
    <w:rsid w:val="00916AFD"/>
    <w:rsid w:val="00921873"/>
    <w:rsid w:val="00946A62"/>
    <w:rsid w:val="00950801"/>
    <w:rsid w:val="00951BFC"/>
    <w:rsid w:val="00953E58"/>
    <w:rsid w:val="0096633A"/>
    <w:rsid w:val="0096677C"/>
    <w:rsid w:val="00971266"/>
    <w:rsid w:val="00985586"/>
    <w:rsid w:val="00986A17"/>
    <w:rsid w:val="00996AC4"/>
    <w:rsid w:val="009A5FF7"/>
    <w:rsid w:val="009A6871"/>
    <w:rsid w:val="009B21F1"/>
    <w:rsid w:val="009B2786"/>
    <w:rsid w:val="009B5628"/>
    <w:rsid w:val="009B6AAD"/>
    <w:rsid w:val="009D1D85"/>
    <w:rsid w:val="009E16F2"/>
    <w:rsid w:val="009E32D5"/>
    <w:rsid w:val="009F6193"/>
    <w:rsid w:val="00A01DF4"/>
    <w:rsid w:val="00A20E78"/>
    <w:rsid w:val="00A215C9"/>
    <w:rsid w:val="00A30CF8"/>
    <w:rsid w:val="00A36E48"/>
    <w:rsid w:val="00A4169B"/>
    <w:rsid w:val="00A54155"/>
    <w:rsid w:val="00A65280"/>
    <w:rsid w:val="00A6775F"/>
    <w:rsid w:val="00A838DC"/>
    <w:rsid w:val="00A84AE0"/>
    <w:rsid w:val="00A9135E"/>
    <w:rsid w:val="00A9294C"/>
    <w:rsid w:val="00AA23FA"/>
    <w:rsid w:val="00AB6BA4"/>
    <w:rsid w:val="00AC33B2"/>
    <w:rsid w:val="00AC3E98"/>
    <w:rsid w:val="00AC51A3"/>
    <w:rsid w:val="00AC6774"/>
    <w:rsid w:val="00AD4C9C"/>
    <w:rsid w:val="00AE6487"/>
    <w:rsid w:val="00AF091D"/>
    <w:rsid w:val="00AF3E9A"/>
    <w:rsid w:val="00B01B88"/>
    <w:rsid w:val="00B02F94"/>
    <w:rsid w:val="00B126A7"/>
    <w:rsid w:val="00B21220"/>
    <w:rsid w:val="00B22801"/>
    <w:rsid w:val="00B24A4C"/>
    <w:rsid w:val="00B27E33"/>
    <w:rsid w:val="00B325DB"/>
    <w:rsid w:val="00B4326E"/>
    <w:rsid w:val="00B6409D"/>
    <w:rsid w:val="00B64881"/>
    <w:rsid w:val="00B73241"/>
    <w:rsid w:val="00B73A10"/>
    <w:rsid w:val="00B76003"/>
    <w:rsid w:val="00B941A3"/>
    <w:rsid w:val="00B941AB"/>
    <w:rsid w:val="00BA2412"/>
    <w:rsid w:val="00BA4BCB"/>
    <w:rsid w:val="00BC7E2B"/>
    <w:rsid w:val="00BC7E3B"/>
    <w:rsid w:val="00BE351A"/>
    <w:rsid w:val="00C00041"/>
    <w:rsid w:val="00C15704"/>
    <w:rsid w:val="00C17395"/>
    <w:rsid w:val="00C20169"/>
    <w:rsid w:val="00C23A87"/>
    <w:rsid w:val="00C468C3"/>
    <w:rsid w:val="00C50B0B"/>
    <w:rsid w:val="00C66A8C"/>
    <w:rsid w:val="00C71423"/>
    <w:rsid w:val="00C77D66"/>
    <w:rsid w:val="00C934C7"/>
    <w:rsid w:val="00CA253E"/>
    <w:rsid w:val="00CA70DD"/>
    <w:rsid w:val="00CB16FF"/>
    <w:rsid w:val="00CB29BA"/>
    <w:rsid w:val="00CB2A01"/>
    <w:rsid w:val="00CD21BA"/>
    <w:rsid w:val="00CD328F"/>
    <w:rsid w:val="00CD4295"/>
    <w:rsid w:val="00CD4F0F"/>
    <w:rsid w:val="00CD74BD"/>
    <w:rsid w:val="00CE0BFB"/>
    <w:rsid w:val="00CE0C36"/>
    <w:rsid w:val="00CE411C"/>
    <w:rsid w:val="00CF5224"/>
    <w:rsid w:val="00D0319E"/>
    <w:rsid w:val="00D10241"/>
    <w:rsid w:val="00D20F22"/>
    <w:rsid w:val="00D3062D"/>
    <w:rsid w:val="00D31D50"/>
    <w:rsid w:val="00D42DFD"/>
    <w:rsid w:val="00D476F9"/>
    <w:rsid w:val="00D50C56"/>
    <w:rsid w:val="00D51249"/>
    <w:rsid w:val="00D5491D"/>
    <w:rsid w:val="00D57726"/>
    <w:rsid w:val="00D67754"/>
    <w:rsid w:val="00D763B7"/>
    <w:rsid w:val="00D80BDE"/>
    <w:rsid w:val="00D871F8"/>
    <w:rsid w:val="00D91C9F"/>
    <w:rsid w:val="00DA521E"/>
    <w:rsid w:val="00DB1998"/>
    <w:rsid w:val="00DB267C"/>
    <w:rsid w:val="00DC08E6"/>
    <w:rsid w:val="00DC5FA6"/>
    <w:rsid w:val="00DD1E41"/>
    <w:rsid w:val="00DD52AA"/>
    <w:rsid w:val="00DE145A"/>
    <w:rsid w:val="00DF18D2"/>
    <w:rsid w:val="00E00192"/>
    <w:rsid w:val="00E05633"/>
    <w:rsid w:val="00E210A0"/>
    <w:rsid w:val="00E328E5"/>
    <w:rsid w:val="00E342C9"/>
    <w:rsid w:val="00E4613A"/>
    <w:rsid w:val="00E51943"/>
    <w:rsid w:val="00E65FB9"/>
    <w:rsid w:val="00E773E2"/>
    <w:rsid w:val="00E774C6"/>
    <w:rsid w:val="00E807D3"/>
    <w:rsid w:val="00E80FCB"/>
    <w:rsid w:val="00E86AD3"/>
    <w:rsid w:val="00E92031"/>
    <w:rsid w:val="00EA1489"/>
    <w:rsid w:val="00EB3586"/>
    <w:rsid w:val="00EB7ADF"/>
    <w:rsid w:val="00EC780B"/>
    <w:rsid w:val="00EE0CF8"/>
    <w:rsid w:val="00EE50F7"/>
    <w:rsid w:val="00EF297D"/>
    <w:rsid w:val="00EF76FE"/>
    <w:rsid w:val="00F04234"/>
    <w:rsid w:val="00F21AAA"/>
    <w:rsid w:val="00F234C6"/>
    <w:rsid w:val="00F24E77"/>
    <w:rsid w:val="00F634A7"/>
    <w:rsid w:val="00F70FA0"/>
    <w:rsid w:val="00F7443F"/>
    <w:rsid w:val="00F805F0"/>
    <w:rsid w:val="00F85BBD"/>
    <w:rsid w:val="00F94858"/>
    <w:rsid w:val="00F94E57"/>
    <w:rsid w:val="00F957A8"/>
    <w:rsid w:val="00F96EC9"/>
    <w:rsid w:val="00FA233C"/>
    <w:rsid w:val="00FA792A"/>
    <w:rsid w:val="00FB39AB"/>
    <w:rsid w:val="00FB64BB"/>
    <w:rsid w:val="00FC1CBF"/>
    <w:rsid w:val="00FC73A4"/>
    <w:rsid w:val="00FD35EB"/>
    <w:rsid w:val="00FE0475"/>
    <w:rsid w:val="00FE20C6"/>
    <w:rsid w:val="00FE31DC"/>
    <w:rsid w:val="00FF0EB4"/>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BA4BC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uiPriority w:val="1"/>
    <w:qFormat/>
    <w:rsid w:val="005902E6"/>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a"/>
    <w:uiPriority w:val="1"/>
    <w:rsid w:val="005902E6"/>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41310">
      <w:bodyDiv w:val="1"/>
      <w:marLeft w:val="0"/>
      <w:marRight w:val="0"/>
      <w:marTop w:val="0"/>
      <w:marBottom w:val="0"/>
      <w:divBdr>
        <w:top w:val="none" w:sz="0" w:space="0" w:color="auto"/>
        <w:left w:val="none" w:sz="0" w:space="0" w:color="auto"/>
        <w:bottom w:val="none" w:sz="0" w:space="0" w:color="auto"/>
        <w:right w:val="none" w:sz="0" w:space="0" w:color="auto"/>
      </w:divBdr>
    </w:div>
    <w:div w:id="220212518">
      <w:bodyDiv w:val="1"/>
      <w:marLeft w:val="0"/>
      <w:marRight w:val="0"/>
      <w:marTop w:val="0"/>
      <w:marBottom w:val="0"/>
      <w:divBdr>
        <w:top w:val="none" w:sz="0" w:space="0" w:color="auto"/>
        <w:left w:val="none" w:sz="0" w:space="0" w:color="auto"/>
        <w:bottom w:val="none" w:sz="0" w:space="0" w:color="auto"/>
        <w:right w:val="none" w:sz="0" w:space="0" w:color="auto"/>
      </w:divBdr>
    </w:div>
    <w:div w:id="223837345">
      <w:bodyDiv w:val="1"/>
      <w:marLeft w:val="0"/>
      <w:marRight w:val="0"/>
      <w:marTop w:val="0"/>
      <w:marBottom w:val="0"/>
      <w:divBdr>
        <w:top w:val="none" w:sz="0" w:space="0" w:color="auto"/>
        <w:left w:val="none" w:sz="0" w:space="0" w:color="auto"/>
        <w:bottom w:val="none" w:sz="0" w:space="0" w:color="auto"/>
        <w:right w:val="none" w:sz="0" w:space="0" w:color="auto"/>
      </w:divBdr>
    </w:div>
    <w:div w:id="32297541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633754219">
      <w:bodyDiv w:val="1"/>
      <w:marLeft w:val="0"/>
      <w:marRight w:val="0"/>
      <w:marTop w:val="0"/>
      <w:marBottom w:val="0"/>
      <w:divBdr>
        <w:top w:val="none" w:sz="0" w:space="0" w:color="auto"/>
        <w:left w:val="none" w:sz="0" w:space="0" w:color="auto"/>
        <w:bottom w:val="none" w:sz="0" w:space="0" w:color="auto"/>
        <w:right w:val="none" w:sz="0" w:space="0" w:color="auto"/>
      </w:divBdr>
    </w:div>
    <w:div w:id="691304627">
      <w:bodyDiv w:val="1"/>
      <w:marLeft w:val="0"/>
      <w:marRight w:val="0"/>
      <w:marTop w:val="0"/>
      <w:marBottom w:val="0"/>
      <w:divBdr>
        <w:top w:val="none" w:sz="0" w:space="0" w:color="auto"/>
        <w:left w:val="none" w:sz="0" w:space="0" w:color="auto"/>
        <w:bottom w:val="none" w:sz="0" w:space="0" w:color="auto"/>
        <w:right w:val="none" w:sz="0" w:space="0" w:color="auto"/>
      </w:divBdr>
    </w:div>
    <w:div w:id="738789877">
      <w:bodyDiv w:val="1"/>
      <w:marLeft w:val="0"/>
      <w:marRight w:val="0"/>
      <w:marTop w:val="0"/>
      <w:marBottom w:val="0"/>
      <w:divBdr>
        <w:top w:val="none" w:sz="0" w:space="0" w:color="auto"/>
        <w:left w:val="none" w:sz="0" w:space="0" w:color="auto"/>
        <w:bottom w:val="none" w:sz="0" w:space="0" w:color="auto"/>
        <w:right w:val="none" w:sz="0" w:space="0" w:color="auto"/>
      </w:divBdr>
    </w:div>
    <w:div w:id="772557654">
      <w:bodyDiv w:val="1"/>
      <w:marLeft w:val="0"/>
      <w:marRight w:val="0"/>
      <w:marTop w:val="0"/>
      <w:marBottom w:val="0"/>
      <w:divBdr>
        <w:top w:val="none" w:sz="0" w:space="0" w:color="auto"/>
        <w:left w:val="none" w:sz="0" w:space="0" w:color="auto"/>
        <w:bottom w:val="none" w:sz="0" w:space="0" w:color="auto"/>
        <w:right w:val="none" w:sz="0" w:space="0" w:color="auto"/>
      </w:divBdr>
    </w:div>
    <w:div w:id="788670042">
      <w:bodyDiv w:val="1"/>
      <w:marLeft w:val="0"/>
      <w:marRight w:val="0"/>
      <w:marTop w:val="0"/>
      <w:marBottom w:val="0"/>
      <w:divBdr>
        <w:top w:val="none" w:sz="0" w:space="0" w:color="auto"/>
        <w:left w:val="none" w:sz="0" w:space="0" w:color="auto"/>
        <w:bottom w:val="none" w:sz="0" w:space="0" w:color="auto"/>
        <w:right w:val="none" w:sz="0" w:space="0" w:color="auto"/>
      </w:divBdr>
    </w:div>
    <w:div w:id="789251317">
      <w:bodyDiv w:val="1"/>
      <w:marLeft w:val="0"/>
      <w:marRight w:val="0"/>
      <w:marTop w:val="0"/>
      <w:marBottom w:val="0"/>
      <w:divBdr>
        <w:top w:val="none" w:sz="0" w:space="0" w:color="auto"/>
        <w:left w:val="none" w:sz="0" w:space="0" w:color="auto"/>
        <w:bottom w:val="none" w:sz="0" w:space="0" w:color="auto"/>
        <w:right w:val="none" w:sz="0" w:space="0" w:color="auto"/>
      </w:divBdr>
    </w:div>
    <w:div w:id="806312309">
      <w:bodyDiv w:val="1"/>
      <w:marLeft w:val="0"/>
      <w:marRight w:val="0"/>
      <w:marTop w:val="0"/>
      <w:marBottom w:val="0"/>
      <w:divBdr>
        <w:top w:val="none" w:sz="0" w:space="0" w:color="auto"/>
        <w:left w:val="none" w:sz="0" w:space="0" w:color="auto"/>
        <w:bottom w:val="none" w:sz="0" w:space="0" w:color="auto"/>
        <w:right w:val="none" w:sz="0" w:space="0" w:color="auto"/>
      </w:divBdr>
    </w:div>
    <w:div w:id="901135849">
      <w:bodyDiv w:val="1"/>
      <w:marLeft w:val="0"/>
      <w:marRight w:val="0"/>
      <w:marTop w:val="0"/>
      <w:marBottom w:val="0"/>
      <w:divBdr>
        <w:top w:val="none" w:sz="0" w:space="0" w:color="auto"/>
        <w:left w:val="none" w:sz="0" w:space="0" w:color="auto"/>
        <w:bottom w:val="none" w:sz="0" w:space="0" w:color="auto"/>
        <w:right w:val="none" w:sz="0" w:space="0" w:color="auto"/>
      </w:divBdr>
    </w:div>
    <w:div w:id="929511403">
      <w:bodyDiv w:val="1"/>
      <w:marLeft w:val="0"/>
      <w:marRight w:val="0"/>
      <w:marTop w:val="0"/>
      <w:marBottom w:val="0"/>
      <w:divBdr>
        <w:top w:val="none" w:sz="0" w:space="0" w:color="auto"/>
        <w:left w:val="none" w:sz="0" w:space="0" w:color="auto"/>
        <w:bottom w:val="none" w:sz="0" w:space="0" w:color="auto"/>
        <w:right w:val="none" w:sz="0" w:space="0" w:color="auto"/>
      </w:divBdr>
    </w:div>
    <w:div w:id="1123305622">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312177544">
      <w:bodyDiv w:val="1"/>
      <w:marLeft w:val="0"/>
      <w:marRight w:val="0"/>
      <w:marTop w:val="0"/>
      <w:marBottom w:val="0"/>
      <w:divBdr>
        <w:top w:val="none" w:sz="0" w:space="0" w:color="auto"/>
        <w:left w:val="none" w:sz="0" w:space="0" w:color="auto"/>
        <w:bottom w:val="none" w:sz="0" w:space="0" w:color="auto"/>
        <w:right w:val="none" w:sz="0" w:space="0" w:color="auto"/>
      </w:divBdr>
    </w:div>
    <w:div w:id="1340425281">
      <w:bodyDiv w:val="1"/>
      <w:marLeft w:val="0"/>
      <w:marRight w:val="0"/>
      <w:marTop w:val="0"/>
      <w:marBottom w:val="0"/>
      <w:divBdr>
        <w:top w:val="none" w:sz="0" w:space="0" w:color="auto"/>
        <w:left w:val="none" w:sz="0" w:space="0" w:color="auto"/>
        <w:bottom w:val="none" w:sz="0" w:space="0" w:color="auto"/>
        <w:right w:val="none" w:sz="0" w:space="0" w:color="auto"/>
      </w:divBdr>
    </w:div>
    <w:div w:id="1351681714">
      <w:bodyDiv w:val="1"/>
      <w:marLeft w:val="0"/>
      <w:marRight w:val="0"/>
      <w:marTop w:val="0"/>
      <w:marBottom w:val="0"/>
      <w:divBdr>
        <w:top w:val="none" w:sz="0" w:space="0" w:color="auto"/>
        <w:left w:val="none" w:sz="0" w:space="0" w:color="auto"/>
        <w:bottom w:val="none" w:sz="0" w:space="0" w:color="auto"/>
        <w:right w:val="none" w:sz="0" w:space="0" w:color="auto"/>
      </w:divBdr>
    </w:div>
    <w:div w:id="1518345697">
      <w:bodyDiv w:val="1"/>
      <w:marLeft w:val="0"/>
      <w:marRight w:val="0"/>
      <w:marTop w:val="0"/>
      <w:marBottom w:val="0"/>
      <w:divBdr>
        <w:top w:val="none" w:sz="0" w:space="0" w:color="auto"/>
        <w:left w:val="none" w:sz="0" w:space="0" w:color="auto"/>
        <w:bottom w:val="none" w:sz="0" w:space="0" w:color="auto"/>
        <w:right w:val="none" w:sz="0" w:space="0" w:color="auto"/>
      </w:divBdr>
    </w:div>
    <w:div w:id="1558934229">
      <w:bodyDiv w:val="1"/>
      <w:marLeft w:val="0"/>
      <w:marRight w:val="0"/>
      <w:marTop w:val="0"/>
      <w:marBottom w:val="0"/>
      <w:divBdr>
        <w:top w:val="none" w:sz="0" w:space="0" w:color="auto"/>
        <w:left w:val="none" w:sz="0" w:space="0" w:color="auto"/>
        <w:bottom w:val="none" w:sz="0" w:space="0" w:color="auto"/>
        <w:right w:val="none" w:sz="0" w:space="0" w:color="auto"/>
      </w:divBdr>
    </w:div>
    <w:div w:id="1612316887">
      <w:bodyDiv w:val="1"/>
      <w:marLeft w:val="0"/>
      <w:marRight w:val="0"/>
      <w:marTop w:val="0"/>
      <w:marBottom w:val="0"/>
      <w:divBdr>
        <w:top w:val="none" w:sz="0" w:space="0" w:color="auto"/>
        <w:left w:val="none" w:sz="0" w:space="0" w:color="auto"/>
        <w:bottom w:val="none" w:sz="0" w:space="0" w:color="auto"/>
        <w:right w:val="none" w:sz="0" w:space="0" w:color="auto"/>
      </w:divBdr>
    </w:div>
    <w:div w:id="1626813943">
      <w:bodyDiv w:val="1"/>
      <w:marLeft w:val="0"/>
      <w:marRight w:val="0"/>
      <w:marTop w:val="0"/>
      <w:marBottom w:val="0"/>
      <w:divBdr>
        <w:top w:val="none" w:sz="0" w:space="0" w:color="auto"/>
        <w:left w:val="none" w:sz="0" w:space="0" w:color="auto"/>
        <w:bottom w:val="none" w:sz="0" w:space="0" w:color="auto"/>
        <w:right w:val="none" w:sz="0" w:space="0" w:color="auto"/>
      </w:divBdr>
    </w:div>
    <w:div w:id="1645088936">
      <w:bodyDiv w:val="1"/>
      <w:marLeft w:val="0"/>
      <w:marRight w:val="0"/>
      <w:marTop w:val="0"/>
      <w:marBottom w:val="0"/>
      <w:divBdr>
        <w:top w:val="none" w:sz="0" w:space="0" w:color="auto"/>
        <w:left w:val="none" w:sz="0" w:space="0" w:color="auto"/>
        <w:bottom w:val="none" w:sz="0" w:space="0" w:color="auto"/>
        <w:right w:val="none" w:sz="0" w:space="0" w:color="auto"/>
      </w:divBdr>
    </w:div>
    <w:div w:id="1675918732">
      <w:bodyDiv w:val="1"/>
      <w:marLeft w:val="0"/>
      <w:marRight w:val="0"/>
      <w:marTop w:val="0"/>
      <w:marBottom w:val="0"/>
      <w:divBdr>
        <w:top w:val="none" w:sz="0" w:space="0" w:color="auto"/>
        <w:left w:val="none" w:sz="0" w:space="0" w:color="auto"/>
        <w:bottom w:val="none" w:sz="0" w:space="0" w:color="auto"/>
        <w:right w:val="none" w:sz="0" w:space="0" w:color="auto"/>
      </w:divBdr>
    </w:div>
    <w:div w:id="1697121018">
      <w:bodyDiv w:val="1"/>
      <w:marLeft w:val="0"/>
      <w:marRight w:val="0"/>
      <w:marTop w:val="0"/>
      <w:marBottom w:val="0"/>
      <w:divBdr>
        <w:top w:val="none" w:sz="0" w:space="0" w:color="auto"/>
        <w:left w:val="none" w:sz="0" w:space="0" w:color="auto"/>
        <w:bottom w:val="none" w:sz="0" w:space="0" w:color="auto"/>
        <w:right w:val="none" w:sz="0" w:space="0" w:color="auto"/>
      </w:divBdr>
    </w:div>
    <w:div w:id="1735197445">
      <w:bodyDiv w:val="1"/>
      <w:marLeft w:val="0"/>
      <w:marRight w:val="0"/>
      <w:marTop w:val="0"/>
      <w:marBottom w:val="0"/>
      <w:divBdr>
        <w:top w:val="none" w:sz="0" w:space="0" w:color="auto"/>
        <w:left w:val="none" w:sz="0" w:space="0" w:color="auto"/>
        <w:bottom w:val="none" w:sz="0" w:space="0" w:color="auto"/>
        <w:right w:val="none" w:sz="0" w:space="0" w:color="auto"/>
      </w:divBdr>
    </w:div>
    <w:div w:id="1810901276">
      <w:bodyDiv w:val="1"/>
      <w:marLeft w:val="0"/>
      <w:marRight w:val="0"/>
      <w:marTop w:val="0"/>
      <w:marBottom w:val="0"/>
      <w:divBdr>
        <w:top w:val="none" w:sz="0" w:space="0" w:color="auto"/>
        <w:left w:val="none" w:sz="0" w:space="0" w:color="auto"/>
        <w:bottom w:val="none" w:sz="0" w:space="0" w:color="auto"/>
        <w:right w:val="none" w:sz="0" w:space="0" w:color="auto"/>
      </w:divBdr>
    </w:div>
    <w:div w:id="2036349327">
      <w:bodyDiv w:val="1"/>
      <w:marLeft w:val="0"/>
      <w:marRight w:val="0"/>
      <w:marTop w:val="0"/>
      <w:marBottom w:val="0"/>
      <w:divBdr>
        <w:top w:val="none" w:sz="0" w:space="0" w:color="auto"/>
        <w:left w:val="none" w:sz="0" w:space="0" w:color="auto"/>
        <w:bottom w:val="none" w:sz="0" w:space="0" w:color="auto"/>
        <w:right w:val="none" w:sz="0" w:space="0" w:color="auto"/>
      </w:divBdr>
    </w:div>
    <w:div w:id="209967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wealth.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678</Words>
  <Characters>3867</Characters>
  <Application>Microsoft Office Word</Application>
  <DocSecurity>0</DocSecurity>
  <Lines>32</Lines>
  <Paragraphs>9</Paragraphs>
  <ScaleCrop>false</ScaleCrop>
  <Company/>
  <LinksUpToDate>false</LinksUpToDate>
  <CharactersWithSpaces>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310</cp:revision>
  <cp:lastPrinted>2021-06-03T04:20:00Z</cp:lastPrinted>
  <dcterms:created xsi:type="dcterms:W3CDTF">2008-09-11T17:20:00Z</dcterms:created>
  <dcterms:modified xsi:type="dcterms:W3CDTF">2024-04-26T07:45:00Z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