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华夏理财固定收益纯债型一年定开理财产品</w:t>
      </w:r>
      <w:r>
        <w:rPr>
          <w:rFonts w:eastAsia="黑体"/>
          <w:bCs/>
          <w:kern w:val="2"/>
          <w:sz w:val="36"/>
          <w:szCs w:val="36"/>
        </w:rPr>
        <w:t>5</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noWrap w:val="0"/>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华夏理财固定收益纯债型一年定开理财产品</w:t>
            </w:r>
            <w:r>
              <w:rPr>
                <w:rFonts w:ascii="仿宋" w:hAnsi="仿宋" w:eastAsia="仿宋"/>
                <w:b/>
                <w:bCs/>
                <w:szCs w:val="21"/>
              </w:rPr>
              <w:t>5</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A份额简称：“华夏理财固收纯债一年定开</w:t>
            </w:r>
            <w:r>
              <w:rPr>
                <w:rFonts w:ascii="仿宋" w:hAnsi="仿宋" w:eastAsia="仿宋"/>
                <w:b/>
                <w:bCs/>
                <w:szCs w:val="21"/>
              </w:rPr>
              <w:t>5</w:t>
            </w:r>
            <w:r>
              <w:rPr>
                <w:rFonts w:hint="eastAsia" w:ascii="仿宋" w:hAnsi="仿宋" w:eastAsia="仿宋"/>
                <w:b/>
                <w:bCs/>
                <w:szCs w:val="21"/>
              </w:rPr>
              <w:t>号A”</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B份额简称：“华夏理财固收纯债一年定开</w:t>
            </w:r>
            <w:r>
              <w:rPr>
                <w:rFonts w:ascii="仿宋" w:hAnsi="仿宋" w:eastAsia="仿宋"/>
                <w:b/>
                <w:bCs/>
                <w:szCs w:val="21"/>
              </w:rPr>
              <w:t>5</w:t>
            </w:r>
            <w:r>
              <w:rPr>
                <w:rFonts w:hint="eastAsia" w:ascii="仿宋" w:hAnsi="仿宋" w:eastAsia="仿宋"/>
                <w:b/>
                <w:bCs/>
                <w:szCs w:val="21"/>
              </w:rPr>
              <w:t>号B”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21113305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21113305</w:t>
            </w:r>
            <w:r>
              <w:rPr>
                <w:rFonts w:hint="eastAsia" w:ascii="仿宋" w:hAnsi="仿宋" w:eastAsia="仿宋"/>
                <w:bCs/>
                <w:szCs w:val="21"/>
              </w:rPr>
              <w:t>A</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21113305</w:t>
            </w:r>
            <w:r>
              <w:rPr>
                <w:rFonts w:hint="eastAsia" w:ascii="仿宋" w:hAnsi="仿宋" w:eastAsia="仿宋"/>
                <w:bCs/>
                <w:szCs w:val="21"/>
              </w:rPr>
              <w:t>B（招商银行销售代码：HX02020</w:t>
            </w:r>
            <w:r>
              <w:rPr>
                <w:rFonts w:ascii="仿宋" w:hAnsi="仿宋" w:eastAsia="仿宋"/>
                <w:bCs/>
                <w:szCs w:val="21"/>
              </w:rPr>
              <w:t>5</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Z7003921000485</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2.30%-</w:t>
            </w:r>
            <w:r>
              <w:rPr>
                <w:rFonts w:ascii="仿宋" w:hAnsi="仿宋" w:eastAsia="仿宋" w:cs="Cambria"/>
                <w:bCs/>
                <w:szCs w:val="21"/>
              </w:rPr>
              <w:t>3.</w:t>
            </w:r>
            <w:r>
              <w:rPr>
                <w:rFonts w:hint="eastAsia" w:ascii="仿宋" w:hAnsi="仿宋" w:eastAsia="仿宋" w:cs="Cambria"/>
                <w:bCs/>
                <w:szCs w:val="21"/>
                <w:lang w:val="en-US" w:eastAsia="zh-CN"/>
              </w:rPr>
              <w:t>3</w:t>
            </w:r>
            <w:r>
              <w:rPr>
                <w:rFonts w:ascii="仿宋" w:hAnsi="仿宋" w:eastAsia="仿宋" w:cs="Cambria"/>
                <w:bCs/>
                <w:szCs w:val="21"/>
              </w:rPr>
              <w:t>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w:t>
            </w:r>
            <w:r>
              <w:rPr>
                <w:rFonts w:ascii="仿宋" w:hAnsi="仿宋" w:eastAsia="仿宋" w:cs="Cambria"/>
                <w:bCs/>
                <w:szCs w:val="21"/>
              </w:rPr>
              <w:t>3.</w:t>
            </w:r>
            <w:r>
              <w:rPr>
                <w:rFonts w:hint="eastAsia" w:ascii="仿宋" w:hAnsi="仿宋" w:eastAsia="仿宋" w:cs="Cambria"/>
                <w:bCs/>
                <w:szCs w:val="21"/>
                <w:lang w:val="en-US" w:eastAsia="zh-CN"/>
              </w:rPr>
              <w:t>4</w:t>
            </w:r>
            <w:r>
              <w:rPr>
                <w:rFonts w:ascii="仿宋" w:hAnsi="仿宋" w:eastAsia="仿宋" w:cs="Cambria"/>
                <w:bCs/>
                <w:szCs w:val="21"/>
              </w:rPr>
              <w:t>0%</w:t>
            </w:r>
            <w:r>
              <w:rPr>
                <w:rFonts w:hint="eastAsia" w:ascii="仿宋" w:hAnsi="仿宋" w:eastAsia="仿宋" w:cs="Cambria"/>
                <w:bCs/>
                <w:szCs w:val="21"/>
              </w:rPr>
              <w:t>（年化）。以产品投资利率债仓位0-10%，信用债仓位</w:t>
            </w:r>
            <w:r>
              <w:rPr>
                <w:rFonts w:hint="eastAsia" w:ascii="仿宋" w:hAnsi="仿宋" w:eastAsia="仿宋" w:cs="Cambria"/>
                <w:bCs/>
                <w:szCs w:val="21"/>
                <w:lang w:val="en-US" w:eastAsia="zh-CN"/>
              </w:rPr>
              <w:t>9</w:t>
            </w:r>
            <w:r>
              <w:rPr>
                <w:rFonts w:hint="eastAsia" w:ascii="仿宋" w:hAnsi="仿宋" w:eastAsia="仿宋" w:cs="Cambria"/>
                <w:bCs/>
                <w:szCs w:val="21"/>
              </w:rPr>
              <w:t>0%-130%，组合杠杆率100%-140%为例，参考中债-利率债总财富指数、中债-信用债总财富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16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23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24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w:t>
            </w: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r>
              <w:rPr>
                <w:rFonts w:hint="eastAsia" w:ascii="仿宋" w:hAnsi="仿宋" w:eastAsia="仿宋"/>
                <w:bCs/>
                <w:szCs w:val="21"/>
                <w:lang w:val="en-GB"/>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w:t>
            </w:r>
            <w:r>
              <w:rPr>
                <w:rFonts w:ascii="仿宋" w:hAnsi="仿宋" w:eastAsia="仿宋"/>
                <w:bCs/>
                <w:szCs w:val="21"/>
              </w:rPr>
              <w:t>3</w:t>
            </w:r>
            <w:r>
              <w:rPr>
                <w:rFonts w:hint="eastAsia" w:ascii="仿宋" w:hAnsi="仿宋" w:eastAsia="仿宋"/>
                <w:bCs/>
                <w:szCs w:val="21"/>
              </w:rPr>
              <w:t>月20日（含）起连续3个工作日开放，开放期/开放日如遇非工作日则顺延至下一个工作日。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noWrap w:val="0"/>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noWrap w:val="0"/>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noWrap w:val="0"/>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noWrap w:val="0"/>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noWrap w:val="0"/>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noWrap w:val="0"/>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w:t>
            </w:r>
            <w:r>
              <w:rPr>
                <w:rFonts w:ascii="仿宋" w:hAnsi="仿宋" w:eastAsia="仿宋"/>
                <w:b/>
                <w:bCs/>
                <w:szCs w:val="21"/>
              </w:rPr>
              <w:t>0.30%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B</w:t>
            </w:r>
            <w:r>
              <w:rPr>
                <w:rFonts w:hint="eastAsia" w:ascii="仿宋" w:hAnsi="仿宋" w:eastAsia="仿宋"/>
                <w:b/>
                <w:bCs/>
                <w:szCs w:val="21"/>
              </w:rPr>
              <w:t>份额：</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highlight w:val="none"/>
              </w:rPr>
            </w:pPr>
            <w:r>
              <w:rPr>
                <w:rFonts w:hint="eastAsia" w:ascii="仿宋" w:hAnsi="仿宋" w:eastAsia="仿宋"/>
                <w:b/>
                <w:bCs/>
                <w:szCs w:val="21"/>
                <w:highlight w:val="none"/>
              </w:rPr>
              <w:t>A份额超额管理费计提基准为</w:t>
            </w:r>
            <w:r>
              <w:rPr>
                <w:rFonts w:ascii="仿宋" w:hAnsi="仿宋" w:eastAsia="仿宋"/>
                <w:b/>
                <w:bCs/>
                <w:szCs w:val="21"/>
                <w:highlight w:val="none"/>
              </w:rPr>
              <w:t>3.</w:t>
            </w:r>
            <w:r>
              <w:rPr>
                <w:rFonts w:hint="eastAsia" w:ascii="仿宋" w:hAnsi="仿宋" w:eastAsia="仿宋"/>
                <w:b/>
                <w:bCs/>
                <w:szCs w:val="21"/>
                <w:highlight w:val="none"/>
                <w:lang w:val="en-US" w:eastAsia="zh-CN"/>
              </w:rPr>
              <w:t>3</w:t>
            </w:r>
            <w:r>
              <w:rPr>
                <w:rFonts w:ascii="仿宋" w:hAnsi="仿宋" w:eastAsia="仿宋"/>
                <w:b/>
                <w:bCs/>
                <w:szCs w:val="21"/>
                <w:highlight w:val="none"/>
              </w:rPr>
              <w:t>0%</w:t>
            </w:r>
            <w:r>
              <w:rPr>
                <w:rFonts w:hint="eastAsia" w:ascii="仿宋" w:hAnsi="仿宋" w:eastAsia="仿宋"/>
                <w:b/>
                <w:bCs/>
                <w:szCs w:val="21"/>
                <w:highlight w:val="none"/>
              </w:rPr>
              <w:t>（年化）；</w:t>
            </w:r>
            <w:r>
              <w:rPr>
                <w:rFonts w:ascii="仿宋" w:hAnsi="仿宋" w:eastAsia="仿宋"/>
                <w:b/>
                <w:bCs/>
                <w:szCs w:val="21"/>
                <w:highlight w:val="none"/>
              </w:rPr>
              <w:t>B</w:t>
            </w:r>
            <w:r>
              <w:rPr>
                <w:rFonts w:hint="eastAsia" w:ascii="仿宋" w:hAnsi="仿宋" w:eastAsia="仿宋"/>
                <w:b/>
                <w:bCs/>
                <w:szCs w:val="21"/>
                <w:highlight w:val="none"/>
              </w:rPr>
              <w:t>份额超额管理费计提基准为</w:t>
            </w:r>
            <w:r>
              <w:rPr>
                <w:rFonts w:ascii="仿宋" w:hAnsi="仿宋" w:eastAsia="仿宋"/>
                <w:b/>
                <w:bCs/>
                <w:szCs w:val="21"/>
                <w:highlight w:val="none"/>
              </w:rPr>
              <w:t>3.</w:t>
            </w:r>
            <w:r>
              <w:rPr>
                <w:rFonts w:hint="eastAsia" w:ascii="仿宋" w:hAnsi="仿宋" w:eastAsia="仿宋"/>
                <w:b/>
                <w:bCs/>
                <w:szCs w:val="21"/>
                <w:highlight w:val="none"/>
                <w:lang w:val="en-US" w:eastAsia="zh-CN"/>
              </w:rPr>
              <w:t>4</w:t>
            </w:r>
            <w:r>
              <w:rPr>
                <w:rFonts w:ascii="仿宋" w:hAnsi="仿宋" w:eastAsia="仿宋"/>
                <w:b/>
                <w:bCs/>
                <w:szCs w:val="21"/>
                <w:highlight w:val="none"/>
              </w:rPr>
              <w:t>0%</w:t>
            </w:r>
            <w:r>
              <w:rPr>
                <w:rFonts w:hint="eastAsia" w:ascii="仿宋" w:hAnsi="仿宋" w:eastAsia="仿宋"/>
                <w:b/>
                <w:bCs/>
                <w:szCs w:val="21"/>
                <w:highlight w:val="none"/>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产品成立每满半年后，管理人可根据投资情况决定是否分红</w:t>
            </w:r>
            <w:r>
              <w:rPr>
                <w:rFonts w:hint="eastAsia" w:ascii="仿宋" w:hAnsi="仿宋" w:eastAsia="仿宋"/>
                <w:bCs/>
                <w:szCs w:val="21"/>
                <w:lang w:eastAsia="zh-CN"/>
              </w:rPr>
              <w:t>，</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如管理人</w:t>
            </w:r>
            <w:r>
              <w:rPr>
                <w:rFonts w:ascii="仿宋" w:hAnsi="仿宋" w:eastAsia="仿宋" w:cs="宋体"/>
                <w:kern w:val="0"/>
                <w:szCs w:val="21"/>
              </w:rPr>
              <w:t>决定分红，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本产品说明书约定的信息披露渠道公布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w:t>
      </w:r>
      <w:r>
        <w:rPr>
          <w:rFonts w:hint="eastAsia" w:ascii="仿宋" w:hAnsi="仿宋" w:eastAsia="仿宋" w:cs="宋体"/>
          <w:color w:val="000000"/>
          <w:kern w:val="0"/>
          <w:sz w:val="24"/>
          <w:lang w:val="en-US" w:eastAsia="zh-CN"/>
        </w:rPr>
        <w:t>资产</w:t>
      </w:r>
      <w:r>
        <w:rPr>
          <w:rFonts w:hint="eastAsia" w:ascii="仿宋" w:hAnsi="仿宋" w:eastAsia="仿宋" w:cs="宋体"/>
          <w:color w:val="000000"/>
          <w:kern w:val="0"/>
          <w:sz w:val="24"/>
        </w:rPr>
        <w:t>，包括货币市场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、标准化债权类资产</w:t>
      </w:r>
      <w:r>
        <w:rPr>
          <w:rFonts w:hint="eastAsia" w:ascii="仿宋" w:hAnsi="仿宋" w:eastAsia="仿宋" w:cs="宋体"/>
          <w:color w:val="000000"/>
          <w:kern w:val="0"/>
          <w:sz w:val="24"/>
          <w:lang w:val="en-US" w:eastAsia="zh-CN"/>
        </w:rPr>
        <w:t>等</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w:t>
            </w:r>
            <w:r>
              <w:rPr>
                <w:rFonts w:hint="eastAsia" w:ascii="仿宋" w:hAnsi="仿宋" w:eastAsia="仿宋" w:cs="宋体"/>
                <w:color w:val="000000"/>
                <w:kern w:val="0"/>
                <w:sz w:val="24"/>
                <w:lang w:val="en-US" w:eastAsia="zh-CN"/>
              </w:rPr>
              <w:t>工具</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标准化债权类资产</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b w:val="0"/>
          <w:bCs w:val="0"/>
          <w:kern w:val="0"/>
          <w:sz w:val="24"/>
        </w:rPr>
        <w:t>管理人应当自理财产品成立日起</w:t>
      </w:r>
      <w:r>
        <w:rPr>
          <w:rFonts w:ascii="仿宋" w:hAnsi="仿宋" w:eastAsia="仿宋" w:cs="宋体"/>
          <w:b w:val="0"/>
          <w:bCs w:val="0"/>
          <w:kern w:val="0"/>
          <w:sz w:val="24"/>
        </w:rPr>
        <w:t>1</w:t>
      </w:r>
      <w:r>
        <w:rPr>
          <w:rFonts w:hint="eastAsia" w:ascii="仿宋" w:hAnsi="仿宋" w:eastAsia="仿宋" w:cs="宋体"/>
          <w:b w:val="0"/>
          <w:bCs w:val="0"/>
          <w:kern w:val="0"/>
          <w:sz w:val="24"/>
        </w:rPr>
        <w:t>个月内使理财产品的投资比例符合上述约定。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本理财产品所投资的货币市场工具、标准化债权类资产以及资产管理产品等资产。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hint="eastAsia"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w:t>
      </w:r>
      <w:r>
        <w:rPr>
          <w:rFonts w:hint="eastAsia" w:ascii="仿宋" w:hAnsi="仿宋" w:eastAsia="仿宋" w:cs="宋体"/>
          <w:color w:val="000000"/>
          <w:kern w:val="0"/>
          <w:sz w:val="24"/>
        </w:rPr>
        <w:t>场外申赎的开放式非货币基金以估值日可获取的基金管理人公布的最新基金份额净值估值</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s="宋体"/>
          <w:color w:val="000000"/>
          <w:kern w:val="0"/>
          <w:sz w:val="24"/>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DAF837"/>
    <w:multiLevelType w:val="singleLevel"/>
    <w:tmpl w:val="4ADAF837"/>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D4D61"/>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21D5"/>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96EF2"/>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35729"/>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1315A47"/>
    <w:rsid w:val="22086EAE"/>
    <w:rsid w:val="220D5EC8"/>
    <w:rsid w:val="223431B1"/>
    <w:rsid w:val="22C149FC"/>
    <w:rsid w:val="22F1518B"/>
    <w:rsid w:val="238C25BD"/>
    <w:rsid w:val="2453615E"/>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322E24"/>
    <w:rsid w:val="2D434FF8"/>
    <w:rsid w:val="2DA05DCE"/>
    <w:rsid w:val="2EC208DF"/>
    <w:rsid w:val="2F1B7081"/>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637DD3"/>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3F4875"/>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_Style 14"/>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2945</Words>
  <Characters>16793</Characters>
  <Lines>139</Lines>
  <Paragraphs>39</Paragraphs>
  <TotalTime>6</TotalTime>
  <ScaleCrop>false</ScaleCrop>
  <LinksUpToDate>false</LinksUpToDate>
  <CharactersWithSpaces>19699</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2023-02-16T11:02:00Z</dcterms:created>
  <dc:creator>ylh</dc:creator>
  <cp:keywords>新版</cp:keywords>
  <cp:lastModifiedBy>马宁</cp:lastModifiedBy>
  <dcterms:modified xsi:type="dcterms:W3CDTF">2024-03-11T08:18:09Z</dcterms:modified>
  <dc:title>华夏理财固定收益纯债型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