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napToGrid/>
        <w:spacing w:after="0"/>
        <w:jc w:val="center"/>
        <w:rPr>
          <w:rFonts w:ascii="宋体" w:hAnsi="宋体" w:eastAsia="宋体" w:cs="宋体"/>
          <w:sz w:val="24"/>
          <w:szCs w:val="24"/>
        </w:rPr>
      </w:pPr>
      <w:r>
        <w:rPr>
          <w:rFonts w:hint="eastAsia" w:ascii="宋体" w:hAnsi="宋体" w:eastAsia="宋体" w:cs="宋体"/>
          <w:b/>
          <w:bCs/>
          <w:sz w:val="36"/>
        </w:rPr>
        <w:t>关于代销</w:t>
      </w:r>
      <w:r>
        <w:rPr>
          <w:rFonts w:hint="eastAsia" w:ascii="宋体" w:hAnsi="宋体" w:eastAsia="宋体" w:cs="宋体"/>
          <w:b/>
          <w:bCs/>
          <w:sz w:val="36"/>
          <w:lang w:eastAsia="zh-CN"/>
        </w:rPr>
        <w:t>华夏理财固定收益债权型封闭式理财产品254号</w:t>
      </w:r>
      <w:r>
        <w:rPr>
          <w:rFonts w:hint="eastAsia" w:ascii="宋体" w:hAnsi="宋体" w:eastAsia="宋体" w:cs="宋体"/>
          <w:b/>
          <w:bCs/>
          <w:sz w:val="36"/>
        </w:rPr>
        <w:t>的通知</w:t>
      </w:r>
    </w:p>
    <w:p>
      <w:pPr>
        <w:adjustRightInd/>
        <w:snapToGrid/>
        <w:spacing w:after="0" w:line="555" w:lineRule="atLeast"/>
        <w:rPr>
          <w:rFonts w:ascii="仿宋_GB2312" w:hAnsi="微软雅黑" w:eastAsia="仿宋_GB2312" w:cs="宋体"/>
          <w:color w:val="000000"/>
          <w:sz w:val="32"/>
          <w:szCs w:val="32"/>
        </w:rPr>
      </w:pPr>
    </w:p>
    <w:p>
      <w:pPr>
        <w:adjustRightInd/>
        <w:snapToGrid/>
        <w:spacing w:after="0" w:line="555" w:lineRule="atLeast"/>
        <w:rPr>
          <w:rFonts w:ascii="微软雅黑" w:hAnsi="微软雅黑" w:cs="宋体"/>
          <w:color w:val="000000"/>
          <w:sz w:val="30"/>
          <w:szCs w:val="30"/>
        </w:rPr>
      </w:pPr>
      <w:r>
        <w:rPr>
          <w:rFonts w:hint="eastAsia" w:ascii="仿宋_GB2312" w:hAnsi="微软雅黑" w:eastAsia="仿宋_GB2312" w:cs="宋体"/>
          <w:color w:val="000000"/>
          <w:sz w:val="32"/>
          <w:szCs w:val="32"/>
        </w:rPr>
        <w:t>各分(支)行、总行营业部：</w:t>
      </w:r>
    </w:p>
    <w:p>
      <w:pPr>
        <w:adjustRightInd/>
        <w:snapToGrid/>
        <w:spacing w:after="0"/>
        <w:ind w:firstLine="630"/>
        <w:rPr>
          <w:rFonts w:hint="eastAsia" w:ascii="仿宋_GB2312" w:hAnsi="微软雅黑" w:eastAsia="仿宋_GB2312" w:cs="宋体"/>
          <w:color w:val="000000"/>
          <w:sz w:val="32"/>
          <w:szCs w:val="32"/>
        </w:rPr>
      </w:pPr>
      <w:r>
        <w:rPr>
          <w:rFonts w:hint="eastAsia" w:ascii="仿宋_GB2312" w:hAnsi="微软雅黑" w:eastAsia="仿宋_GB2312" w:cs="宋体"/>
          <w:color w:val="000000"/>
          <w:sz w:val="32"/>
          <w:szCs w:val="32"/>
        </w:rPr>
        <w:t>我行</w:t>
      </w:r>
      <w:r>
        <w:rPr>
          <w:rFonts w:hint="eastAsia" w:ascii="仿宋_GB2312" w:hAnsi="微软雅黑" w:eastAsia="仿宋_GB2312" w:cs="宋体"/>
          <w:sz w:val="32"/>
          <w:szCs w:val="32"/>
        </w:rPr>
        <w:t>将于</w:t>
      </w:r>
      <w:r>
        <w:rPr>
          <w:rFonts w:hint="eastAsia" w:ascii="仿宋_GB2312" w:hAnsi="微软雅黑" w:eastAsia="仿宋_GB2312" w:cs="宋体"/>
          <w:sz w:val="32"/>
          <w:szCs w:val="32"/>
          <w:lang w:eastAsia="zh-CN"/>
        </w:rPr>
        <w:t>2024年03月08日起代销</w:t>
      </w:r>
      <w:r>
        <w:rPr>
          <w:rFonts w:hint="eastAsia" w:ascii="仿宋_GB2312" w:hAnsi="仿宋_GB2312" w:eastAsia="仿宋_GB2312" w:cs="仿宋_GB2312"/>
          <w:color w:val="FF0000"/>
          <w:sz w:val="32"/>
          <w:szCs w:val="32"/>
          <w:lang w:eastAsia="zh-CN"/>
        </w:rPr>
        <w:t>华夏理财有限责任公司</w:t>
      </w:r>
      <w:r>
        <w:rPr>
          <w:rFonts w:hint="eastAsia" w:ascii="仿宋_GB2312" w:hAnsi="微软雅黑" w:eastAsia="仿宋_GB2312" w:cs="宋体"/>
          <w:sz w:val="32"/>
          <w:szCs w:val="32"/>
          <w:lang w:eastAsia="zh-CN"/>
        </w:rPr>
        <w:t>发行的固定收益债权型封闭式理财产品254号</w:t>
      </w:r>
      <w:r>
        <w:rPr>
          <w:rFonts w:hint="eastAsia" w:ascii="仿宋_GB2312" w:hAnsi="微软雅黑" w:eastAsia="仿宋_GB2312" w:cs="宋体"/>
          <w:sz w:val="32"/>
          <w:szCs w:val="32"/>
        </w:rPr>
        <w:t>，节假日正</w:t>
      </w:r>
      <w:r>
        <w:rPr>
          <w:rFonts w:hint="eastAsia" w:ascii="仿宋_GB2312" w:hAnsi="微软雅黑" w:eastAsia="仿宋_GB2312" w:cs="宋体"/>
          <w:color w:val="000000"/>
          <w:sz w:val="32"/>
          <w:szCs w:val="32"/>
        </w:rPr>
        <w:t>常销售，目前只在</w:t>
      </w:r>
      <w:r>
        <w:rPr>
          <w:rFonts w:hint="eastAsia" w:ascii="仿宋_GB2312" w:hAnsi="微软雅黑" w:eastAsia="仿宋_GB2312" w:cs="宋体"/>
          <w:b/>
          <w:color w:val="FF0000"/>
          <w:sz w:val="32"/>
          <w:szCs w:val="32"/>
        </w:rPr>
        <w:t>手机银行</w:t>
      </w:r>
      <w:r>
        <w:rPr>
          <w:rFonts w:hint="eastAsia" w:ascii="仿宋_GB2312" w:hAnsi="微软雅黑" w:eastAsia="仿宋_GB2312" w:cs="宋体"/>
          <w:color w:val="000000"/>
          <w:sz w:val="32"/>
          <w:szCs w:val="32"/>
        </w:rPr>
        <w:t>销售。该产品</w:t>
      </w:r>
      <w:r>
        <w:rPr>
          <w:rFonts w:hint="eastAsia" w:ascii="仿宋_GB2312" w:hAnsi="微软雅黑" w:eastAsia="仿宋_GB2312" w:cs="宋体"/>
          <w:b/>
          <w:color w:val="FF0000"/>
          <w:sz w:val="32"/>
          <w:szCs w:val="32"/>
        </w:rPr>
        <w:t>销售服务费率</w:t>
      </w:r>
      <w:r>
        <w:rPr>
          <w:rFonts w:hint="eastAsia" w:ascii="仿宋_GB2312" w:hAnsi="微软雅黑" w:eastAsia="仿宋_GB2312" w:cs="宋体"/>
          <w:b/>
          <w:color w:val="FF0000"/>
          <w:sz w:val="32"/>
          <w:szCs w:val="32"/>
          <w:lang w:eastAsia="zh-CN"/>
        </w:rPr>
        <w:t>0.15%</w:t>
      </w:r>
      <w:r>
        <w:rPr>
          <w:rFonts w:hint="eastAsia" w:ascii="仿宋_GB2312" w:hAnsi="微软雅黑" w:eastAsia="仿宋_GB2312" w:cs="宋体"/>
          <w:b/>
          <w:color w:val="FF0000"/>
          <w:sz w:val="32"/>
          <w:szCs w:val="32"/>
        </w:rPr>
        <w:t>/年</w:t>
      </w:r>
      <w:r>
        <w:rPr>
          <w:rFonts w:hint="eastAsia" w:ascii="仿宋_GB2312" w:hAnsi="微软雅黑" w:eastAsia="仿宋_GB2312" w:cs="宋体"/>
          <w:color w:val="000000"/>
          <w:sz w:val="32"/>
          <w:szCs w:val="32"/>
        </w:rPr>
        <w:t>。部分要素如下：</w:t>
      </w:r>
    </w:p>
    <w:p>
      <w:pPr>
        <w:pStyle w:val="16"/>
        <w:snapToGrid w:val="0"/>
        <w:spacing w:before="156" w:beforeLines="50" w:after="156" w:afterLines="50" w:line="400" w:lineRule="exact"/>
        <w:ind w:firstLine="482" w:firstLineChars="200"/>
        <w:jc w:val="both"/>
        <w:outlineLvl w:val="0"/>
        <w:rPr>
          <w:rFonts w:ascii="Times New Roman" w:eastAsia="黑体" w:cs="Times New Roman"/>
          <w:b/>
          <w:color w:val="auto"/>
        </w:rPr>
      </w:pPr>
    </w:p>
    <w:tbl>
      <w:tblPr>
        <w:tblStyle w:val="7"/>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254</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eastAsia="zh-CN"/>
              </w:rPr>
              <w:t>A份额简称：“华夏理财固收债权封闭式254号396天A”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default" w:eastAsia="仿宋"/>
                <w:lang w:val="en-US" w:eastAsia="zh-CN"/>
              </w:rPr>
            </w:pPr>
            <w:r>
              <w:rPr>
                <w:rFonts w:hint="eastAsia" w:ascii="仿宋" w:hAnsi="仿宋" w:eastAsia="仿宋"/>
                <w:bCs/>
                <w:szCs w:val="21"/>
              </w:rPr>
              <w:t>241212</w:t>
            </w:r>
            <w:r>
              <w:rPr>
                <w:rFonts w:hint="eastAsia" w:ascii="仿宋" w:hAnsi="仿宋" w:eastAsia="仿宋"/>
                <w:bCs/>
                <w:szCs w:val="21"/>
                <w:lang w:val="en-US" w:eastAsia="zh-CN"/>
              </w:rPr>
              <w:t>54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A份额代码：24121254A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rPr>
              <w:t>Z70039240000</w:t>
            </w:r>
            <w:r>
              <w:rPr>
                <w:rFonts w:hint="eastAsia" w:ascii="仿宋" w:hAnsi="仿宋" w:eastAsia="仿宋"/>
                <w:bCs/>
                <w:szCs w:val="21"/>
                <w:lang w:val="en-US" w:eastAsia="zh-CN"/>
              </w:rPr>
              <w:t>18</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4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42" w:firstLineChars="200"/>
              <w:rPr>
                <w:rFonts w:hint="eastAsia" w:ascii="仿宋" w:hAnsi="仿宋" w:eastAsia="仿宋"/>
                <w:b/>
                <w:bCs/>
                <w:szCs w:val="21"/>
                <w:lang w:eastAsia="zh-CN"/>
              </w:rPr>
            </w:pPr>
            <w:r>
              <w:rPr>
                <w:rFonts w:hint="eastAsia" w:ascii="仿宋" w:hAnsi="仿宋" w:eastAsia="仿宋"/>
                <w:b/>
                <w:bCs/>
                <w:szCs w:val="21"/>
              </w:rPr>
              <w:t>本理财产品风险评级为华夏理财自主评定，仅供参考。</w:t>
            </w:r>
          </w:p>
          <w:p>
            <w:pPr>
              <w:adjustRightInd w:val="0"/>
              <w:snapToGrid w:val="0"/>
              <w:spacing w:line="300" w:lineRule="exact"/>
              <w:ind w:firstLine="442" w:firstLineChars="200"/>
              <w:rPr>
                <w:rFonts w:hint="eastAsia" w:ascii="仿宋" w:hAnsi="仿宋" w:eastAsia="仿宋"/>
                <w:b/>
                <w:bCs/>
                <w:szCs w:val="21"/>
                <w:lang w:eastAsia="zh-CN"/>
              </w:rPr>
            </w:pPr>
            <w:r>
              <w:rPr>
                <w:rFonts w:hint="eastAsia" w:ascii="仿宋" w:hAnsi="仿宋" w:eastAsia="仿宋" w:cs="仿宋"/>
                <w:b/>
                <w:bCs/>
                <w:color w:val="FF0000"/>
                <w:sz w:val="22"/>
                <w:szCs w:val="21"/>
                <w:lang w:eastAsia="zh-CN"/>
              </w:rPr>
              <w:t>紫金农商银行对本产品的风险评级为中低风险。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4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4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42" w:firstLineChars="200"/>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40" w:firstLineChars="200"/>
              <w:rPr>
                <w:rFonts w:hint="eastAsia" w:ascii="仿宋" w:hAnsi="仿宋" w:eastAsia="仿宋" w:cs="Cambria"/>
                <w:bCs/>
                <w:szCs w:val="21"/>
              </w:rPr>
            </w:pPr>
            <w:r>
              <w:rPr>
                <w:rFonts w:hint="eastAsia" w:ascii="仿宋" w:hAnsi="仿宋" w:eastAsia="仿宋" w:cs="Cambria"/>
                <w:bCs/>
                <w:szCs w:val="21"/>
                <w:lang w:eastAsia="zh-CN"/>
              </w:rPr>
              <w:t>A份额：业绩比较基准为3.40%-4.00%（年化）</w:t>
            </w:r>
            <w:r>
              <w:rPr>
                <w:rFonts w:hint="eastAsia" w:ascii="仿宋" w:hAnsi="仿宋" w:eastAsia="仿宋" w:cs="Cambria"/>
                <w:bCs/>
                <w:szCs w:val="21"/>
              </w:rPr>
              <w:t>。</w:t>
            </w:r>
            <w:r>
              <w:rPr>
                <w:rFonts w:hint="eastAsia" w:ascii="仿宋" w:hAnsi="仿宋" w:eastAsia="仿宋" w:cs="Cambria"/>
                <w:bCs/>
                <w:i w:val="0"/>
                <w:iCs w:val="0"/>
                <w:szCs w:val="21"/>
                <w:highlight w:val="none"/>
              </w:rPr>
              <w:t>以产品投资债券类资产仓位55%-100%，非标债权类资产仓位0-45%，组合杠杆率100%-140%为例，参考符合久期要求的目标债券到期收益率、非标债权类资产目标收益率，结合产品久期控制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4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4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4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4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42" w:firstLineChars="200"/>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0" w:name="OLE_LINK3" w:colFirst="1" w:colLast="1"/>
            <w:bookmarkStart w:id="1" w:name="OLE_LINK2" w:colFirst="1" w:colLast="1"/>
            <w:bookmarkStart w:id="2"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40" w:firstLineChars="200"/>
            </w:pPr>
            <w:r>
              <w:rPr>
                <w:rFonts w:hint="eastAsia" w:ascii="仿宋" w:hAnsi="仿宋" w:eastAsia="仿宋"/>
                <w:bCs/>
                <w:szCs w:val="21"/>
              </w:rPr>
              <w:t>202</w:t>
            </w:r>
            <w:r>
              <w:rPr>
                <w:rFonts w:hint="eastAsia" w:ascii="仿宋" w:hAnsi="仿宋" w:eastAsia="仿宋"/>
                <w:bCs/>
                <w:szCs w:val="21"/>
                <w:lang w:val="en-US" w:eastAsia="zh-CN"/>
              </w:rPr>
              <w:t>4</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8</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w:t>
            </w:r>
            <w:r>
              <w:rPr>
                <w:rFonts w:hint="eastAsia" w:ascii="仿宋" w:hAnsi="仿宋" w:eastAsia="仿宋"/>
                <w:bCs/>
                <w:szCs w:val="21"/>
                <w:lang w:val="en-US" w:eastAsia="zh-CN"/>
              </w:rPr>
              <w:t>4</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14</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0"/>
      <w:bookmarkEnd w:id="1"/>
      <w:bookmarkEnd w:id="2"/>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pPr>
            <w:r>
              <w:rPr>
                <w:rFonts w:hint="eastAsia" w:ascii="仿宋" w:hAnsi="仿宋" w:eastAsia="仿宋"/>
                <w:bCs/>
                <w:szCs w:val="21"/>
              </w:rPr>
              <w:t>202</w:t>
            </w:r>
            <w:r>
              <w:rPr>
                <w:rFonts w:hint="eastAsia" w:ascii="仿宋" w:hAnsi="仿宋" w:eastAsia="仿宋"/>
                <w:bCs/>
                <w:szCs w:val="21"/>
                <w:lang w:val="en-US" w:eastAsia="zh-CN"/>
              </w:rPr>
              <w:t>4</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15</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pPr>
            <w:r>
              <w:rPr>
                <w:rFonts w:hint="eastAsia" w:ascii="仿宋" w:hAnsi="仿宋" w:eastAsia="仿宋"/>
                <w:bCs/>
                <w:szCs w:val="21"/>
                <w:lang w:val="en-US" w:eastAsia="zh-CN"/>
              </w:rPr>
              <w:t>396</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15</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4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4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4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40" w:firstLineChars="200"/>
              <w:rPr>
                <w:rFonts w:hint="eastAsia" w:ascii="仿宋" w:hAnsi="仿宋" w:eastAsia="仿宋"/>
                <w:bCs/>
                <w:szCs w:val="21"/>
                <w:lang w:eastAsia="zh-CN"/>
              </w:rPr>
            </w:pPr>
            <w:r>
              <w:rPr>
                <w:rFonts w:hint="eastAsia" w:ascii="仿宋" w:hAnsi="仿宋" w:eastAsia="仿宋"/>
                <w:bCs/>
                <w:szCs w:val="21"/>
                <w:lang w:eastAsia="zh-CN"/>
              </w:rPr>
              <w:t>A份额：认购起点金额1元，以1元的整数倍递增。</w:t>
            </w:r>
            <w:bookmarkStart w:id="3" w:name="_GoBack"/>
            <w:bookmarkEnd w:id="3"/>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4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4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4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bl>
    <w:p>
      <w:pPr>
        <w:adjustRightInd/>
        <w:snapToGrid/>
        <w:spacing w:after="0"/>
        <w:ind w:firstLine="630"/>
        <w:jc w:val="center"/>
        <w:rPr>
          <w:rFonts w:ascii="仿宋_GB2312" w:hAnsi="微软雅黑" w:eastAsia="仿宋_GB2312" w:cs="宋体"/>
          <w:color w:val="FF0000"/>
          <w:sz w:val="32"/>
          <w:szCs w:val="32"/>
        </w:rPr>
      </w:pPr>
      <w:r>
        <w:rPr>
          <w:rFonts w:hint="eastAsia" w:ascii="仿宋_GB2312" w:hAnsi="微软雅黑" w:eastAsia="仿宋_GB2312" w:cs="宋体"/>
          <w:color w:val="FF0000"/>
          <w:sz w:val="32"/>
          <w:szCs w:val="32"/>
        </w:rPr>
        <w:t>（更多具体要素请详阅产品说明书）</w:t>
      </w:r>
    </w:p>
    <w:p>
      <w:pPr>
        <w:adjustRightInd/>
        <w:snapToGrid/>
        <w:spacing w:after="0"/>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注意事项：</w:t>
      </w:r>
    </w:p>
    <w:p>
      <w:pPr>
        <w:adjustRightInd/>
        <w:snapToGrid/>
        <w:spacing w:after="0"/>
        <w:ind w:firstLine="640" w:firstLineChars="200"/>
        <w:rPr>
          <w:rFonts w:ascii="微软雅黑" w:hAnsi="微软雅黑" w:cs="宋体"/>
          <w:color w:val="000000"/>
          <w:sz w:val="30"/>
          <w:szCs w:val="30"/>
        </w:rPr>
      </w:pPr>
      <w:r>
        <w:rPr>
          <w:rFonts w:hint="eastAsia" w:ascii="仿宋_GB2312" w:hAnsi="微软雅黑" w:eastAsia="仿宋_GB2312" w:cs="宋体"/>
          <w:color w:val="000000"/>
          <w:sz w:val="32"/>
          <w:szCs w:val="32"/>
        </w:rPr>
        <w:t>1.该产品销售要求参照我行自营理财销售相关规定执行。</w:t>
      </w:r>
    </w:p>
    <w:p>
      <w:pPr>
        <w:adjustRightInd/>
        <w:snapToGrid/>
        <w:spacing w:after="0"/>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2.相关产品销售文件见附件。</w:t>
      </w:r>
    </w:p>
    <w:p>
      <w:pPr>
        <w:adjustRightInd/>
        <w:snapToGrid/>
        <w:spacing w:after="0"/>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3.如有其他未尽事宜以私人银行部解释为准。</w:t>
      </w:r>
    </w:p>
    <w:p>
      <w:pPr>
        <w:adjustRightInd/>
        <w:snapToGrid/>
        <w:spacing w:after="0"/>
        <w:rPr>
          <w:rFonts w:ascii="微软雅黑" w:hAnsi="微软雅黑" w:cs="宋体"/>
          <w:color w:val="000000"/>
          <w:sz w:val="30"/>
          <w:szCs w:val="30"/>
        </w:rPr>
      </w:pPr>
    </w:p>
    <w:p>
      <w:pPr>
        <w:adjustRightInd/>
        <w:snapToGrid/>
        <w:spacing w:after="0"/>
        <w:ind w:firstLine="640" w:firstLineChars="2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rPr>
        <w:t>附件：1.</w:t>
      </w:r>
      <w:r>
        <w:rPr>
          <w:rFonts w:hint="eastAsia" w:ascii="仿宋_GB2312" w:hAnsi="微软雅黑" w:eastAsia="仿宋_GB2312" w:cs="宋体"/>
          <w:color w:val="000000"/>
          <w:sz w:val="32"/>
          <w:szCs w:val="32"/>
          <w:lang w:eastAsia="zh-CN"/>
        </w:rPr>
        <w:t>华夏理财固定收益债权型封闭式理财产品254号说明书</w:t>
      </w:r>
    </w:p>
    <w:p>
      <w:pPr>
        <w:adjustRightInd/>
        <w:snapToGrid/>
        <w:spacing w:after="0"/>
        <w:ind w:firstLine="1600" w:firstLineChars="5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2.华夏理财有限责任公司个人理财产品风险揭示书（适用于个人客户）</w:t>
      </w:r>
    </w:p>
    <w:p>
      <w:pPr>
        <w:adjustRightInd/>
        <w:snapToGrid/>
        <w:spacing w:after="0"/>
        <w:ind w:firstLine="1600" w:firstLineChars="5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3.华夏理财有限责任公司个人理财产品投资者权益须知（适用于个人客户）</w:t>
      </w:r>
    </w:p>
    <w:p>
      <w:pPr>
        <w:adjustRightInd/>
        <w:snapToGrid/>
        <w:spacing w:after="0"/>
        <w:ind w:firstLine="1600" w:firstLineChars="5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4.华夏理财有限责任公司理财产品销售协议书（适用于个人投资者）</w:t>
      </w:r>
    </w:p>
    <w:p>
      <w:pPr>
        <w:adjustRightInd/>
        <w:snapToGrid/>
        <w:spacing w:after="0"/>
        <w:ind w:firstLine="1600" w:firstLineChars="5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5.华夏理财有限责任公司理财产品投资协议书</w:t>
      </w:r>
    </w:p>
    <w:p>
      <w:pPr>
        <w:adjustRightInd/>
        <w:snapToGrid/>
        <w:spacing w:after="0"/>
        <w:rPr>
          <w:rFonts w:hint="eastAsia" w:ascii="仿宋_GB2312" w:hAnsi="微软雅黑" w:eastAsia="仿宋_GB2312" w:cs="宋体"/>
          <w:color w:val="000000"/>
          <w:sz w:val="32"/>
          <w:szCs w:val="32"/>
        </w:rPr>
      </w:pPr>
    </w:p>
    <w:p>
      <w:pPr>
        <w:adjustRightInd/>
        <w:snapToGrid/>
        <w:spacing w:after="0"/>
        <w:rPr>
          <w:rFonts w:ascii="仿宋_GB2312" w:hAnsi="微软雅黑" w:eastAsia="仿宋_GB2312" w:cs="宋体"/>
          <w:color w:val="000000"/>
          <w:sz w:val="32"/>
          <w:szCs w:val="32"/>
        </w:rPr>
      </w:pPr>
    </w:p>
    <w:p>
      <w:pPr>
        <w:adjustRightInd/>
        <w:snapToGrid/>
        <w:spacing w:after="0"/>
        <w:rPr>
          <w:rFonts w:ascii="仿宋_GB2312" w:hAnsi="微软雅黑" w:eastAsia="仿宋_GB2312" w:cs="宋体"/>
          <w:color w:val="000000"/>
          <w:sz w:val="32"/>
          <w:szCs w:val="32"/>
        </w:rPr>
      </w:pPr>
    </w:p>
    <w:p>
      <w:pPr>
        <w:adjustRightInd/>
        <w:snapToGrid/>
        <w:spacing w:after="0"/>
        <w:ind w:firstLine="5760"/>
        <w:jc w:val="right"/>
        <w:rPr>
          <w:rFonts w:hint="eastAsia" w:ascii="仿宋_GB2312" w:hAnsi="微软雅黑" w:eastAsia="仿宋_GB2312" w:cs="宋体"/>
          <w:color w:val="000000"/>
          <w:sz w:val="32"/>
          <w:szCs w:val="32"/>
        </w:rPr>
      </w:pPr>
      <w:r>
        <w:rPr>
          <w:rFonts w:hint="eastAsia" w:ascii="仿宋_GB2312" w:hAnsi="微软雅黑" w:eastAsia="仿宋_GB2312" w:cs="宋体"/>
          <w:color w:val="000000"/>
          <w:sz w:val="32"/>
          <w:szCs w:val="32"/>
        </w:rPr>
        <w:t>私人银行部</w:t>
      </w:r>
    </w:p>
    <w:p>
      <w:pPr>
        <w:adjustRightInd/>
        <w:snapToGrid/>
        <w:spacing w:after="0"/>
        <w:ind w:firstLine="5760"/>
        <w:jc w:val="right"/>
        <w:rPr>
          <w:rFonts w:hint="eastAsia" w:ascii="仿宋_GB2312" w:hAnsi="微软雅黑" w:eastAsia="仿宋_GB2312" w:cs="宋体"/>
          <w:color w:val="000000"/>
          <w:sz w:val="32"/>
          <w:szCs w:val="32"/>
          <w:lang w:val="en-US" w:eastAsia="zh-CN"/>
        </w:rPr>
      </w:pPr>
      <w:r>
        <w:rPr>
          <w:rFonts w:hint="eastAsia" w:ascii="仿宋_GB2312" w:hAnsi="微软雅黑" w:eastAsia="仿宋_GB2312" w:cs="宋体"/>
          <w:color w:val="000000"/>
          <w:sz w:val="32"/>
          <w:szCs w:val="32"/>
          <w:lang w:val="en-US" w:eastAsia="zh-CN"/>
        </w:rPr>
        <w:t>2024年3月6日</w:t>
      </w: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D31D50"/>
    <w:rsid w:val="000108F3"/>
    <w:rsid w:val="00010C68"/>
    <w:rsid w:val="00012652"/>
    <w:rsid w:val="00015217"/>
    <w:rsid w:val="00015DAC"/>
    <w:rsid w:val="0002233E"/>
    <w:rsid w:val="00023665"/>
    <w:rsid w:val="000263A0"/>
    <w:rsid w:val="00031FB1"/>
    <w:rsid w:val="000430CA"/>
    <w:rsid w:val="00050465"/>
    <w:rsid w:val="000547BB"/>
    <w:rsid w:val="000571BC"/>
    <w:rsid w:val="000609B0"/>
    <w:rsid w:val="0006322B"/>
    <w:rsid w:val="00067DDC"/>
    <w:rsid w:val="000729EB"/>
    <w:rsid w:val="00072D1A"/>
    <w:rsid w:val="000812F4"/>
    <w:rsid w:val="000819E6"/>
    <w:rsid w:val="000936F7"/>
    <w:rsid w:val="000957AC"/>
    <w:rsid w:val="00097209"/>
    <w:rsid w:val="000A5028"/>
    <w:rsid w:val="000D32F4"/>
    <w:rsid w:val="000E18A2"/>
    <w:rsid w:val="000E1B34"/>
    <w:rsid w:val="000E1FA9"/>
    <w:rsid w:val="000E7543"/>
    <w:rsid w:val="001005C6"/>
    <w:rsid w:val="0010440D"/>
    <w:rsid w:val="0012192B"/>
    <w:rsid w:val="001225F8"/>
    <w:rsid w:val="0013066D"/>
    <w:rsid w:val="00131A96"/>
    <w:rsid w:val="0013501E"/>
    <w:rsid w:val="00143D3D"/>
    <w:rsid w:val="00144E0E"/>
    <w:rsid w:val="00152FB9"/>
    <w:rsid w:val="00157799"/>
    <w:rsid w:val="001642B1"/>
    <w:rsid w:val="00174CF3"/>
    <w:rsid w:val="00174FC8"/>
    <w:rsid w:val="001763AA"/>
    <w:rsid w:val="001A556D"/>
    <w:rsid w:val="001A6DC6"/>
    <w:rsid w:val="001B2273"/>
    <w:rsid w:val="001B7E33"/>
    <w:rsid w:val="001F72B5"/>
    <w:rsid w:val="00201E20"/>
    <w:rsid w:val="00206F8F"/>
    <w:rsid w:val="00216E71"/>
    <w:rsid w:val="002235BC"/>
    <w:rsid w:val="002317E9"/>
    <w:rsid w:val="00232543"/>
    <w:rsid w:val="00233CED"/>
    <w:rsid w:val="00236FDA"/>
    <w:rsid w:val="002422B4"/>
    <w:rsid w:val="002513BD"/>
    <w:rsid w:val="00251BF3"/>
    <w:rsid w:val="00277323"/>
    <w:rsid w:val="002777A1"/>
    <w:rsid w:val="00283408"/>
    <w:rsid w:val="002866F6"/>
    <w:rsid w:val="0029028F"/>
    <w:rsid w:val="002B1948"/>
    <w:rsid w:val="002C248B"/>
    <w:rsid w:val="002D396F"/>
    <w:rsid w:val="002D757D"/>
    <w:rsid w:val="002E3ECB"/>
    <w:rsid w:val="002F1002"/>
    <w:rsid w:val="003059D5"/>
    <w:rsid w:val="00306FE6"/>
    <w:rsid w:val="00307430"/>
    <w:rsid w:val="00322857"/>
    <w:rsid w:val="00322F4C"/>
    <w:rsid w:val="00323B43"/>
    <w:rsid w:val="003247F8"/>
    <w:rsid w:val="00340741"/>
    <w:rsid w:val="00347193"/>
    <w:rsid w:val="00353BA9"/>
    <w:rsid w:val="003720A3"/>
    <w:rsid w:val="00376FEA"/>
    <w:rsid w:val="003813E5"/>
    <w:rsid w:val="003874C3"/>
    <w:rsid w:val="003A1933"/>
    <w:rsid w:val="003C0D6B"/>
    <w:rsid w:val="003C1D41"/>
    <w:rsid w:val="003D2F9A"/>
    <w:rsid w:val="003D37D8"/>
    <w:rsid w:val="003D4715"/>
    <w:rsid w:val="00422AD1"/>
    <w:rsid w:val="00426133"/>
    <w:rsid w:val="00426162"/>
    <w:rsid w:val="004358AB"/>
    <w:rsid w:val="00443E90"/>
    <w:rsid w:val="00450005"/>
    <w:rsid w:val="00450334"/>
    <w:rsid w:val="0045680A"/>
    <w:rsid w:val="00462F3D"/>
    <w:rsid w:val="004633B0"/>
    <w:rsid w:val="00464293"/>
    <w:rsid w:val="00476C3B"/>
    <w:rsid w:val="00484A94"/>
    <w:rsid w:val="00485549"/>
    <w:rsid w:val="0049140E"/>
    <w:rsid w:val="004A72FB"/>
    <w:rsid w:val="004B5451"/>
    <w:rsid w:val="004B5827"/>
    <w:rsid w:val="004C175A"/>
    <w:rsid w:val="004C7210"/>
    <w:rsid w:val="005100BA"/>
    <w:rsid w:val="005168C5"/>
    <w:rsid w:val="005218F6"/>
    <w:rsid w:val="00522DB4"/>
    <w:rsid w:val="00523BDD"/>
    <w:rsid w:val="00536DF2"/>
    <w:rsid w:val="00543782"/>
    <w:rsid w:val="00556398"/>
    <w:rsid w:val="005B45CF"/>
    <w:rsid w:val="005B4703"/>
    <w:rsid w:val="005B4D07"/>
    <w:rsid w:val="005B62F6"/>
    <w:rsid w:val="005C31E9"/>
    <w:rsid w:val="005C3BAB"/>
    <w:rsid w:val="005C59D9"/>
    <w:rsid w:val="005D072F"/>
    <w:rsid w:val="005D1CEE"/>
    <w:rsid w:val="005D3ACB"/>
    <w:rsid w:val="005F28C4"/>
    <w:rsid w:val="005F2B78"/>
    <w:rsid w:val="00604AF8"/>
    <w:rsid w:val="00606205"/>
    <w:rsid w:val="00607EC0"/>
    <w:rsid w:val="00610019"/>
    <w:rsid w:val="006110FC"/>
    <w:rsid w:val="00611544"/>
    <w:rsid w:val="006148C9"/>
    <w:rsid w:val="0061606F"/>
    <w:rsid w:val="006214F4"/>
    <w:rsid w:val="00633DBB"/>
    <w:rsid w:val="00656C6E"/>
    <w:rsid w:val="00664732"/>
    <w:rsid w:val="00665EFD"/>
    <w:rsid w:val="00671CB5"/>
    <w:rsid w:val="00672E93"/>
    <w:rsid w:val="00692B80"/>
    <w:rsid w:val="006A2B25"/>
    <w:rsid w:val="006A3869"/>
    <w:rsid w:val="006B534A"/>
    <w:rsid w:val="006C44CC"/>
    <w:rsid w:val="006D4378"/>
    <w:rsid w:val="006D643B"/>
    <w:rsid w:val="006F7634"/>
    <w:rsid w:val="006F7825"/>
    <w:rsid w:val="00701C74"/>
    <w:rsid w:val="0070239F"/>
    <w:rsid w:val="007248B8"/>
    <w:rsid w:val="0073205A"/>
    <w:rsid w:val="007353CA"/>
    <w:rsid w:val="0073541E"/>
    <w:rsid w:val="00740E8C"/>
    <w:rsid w:val="00741563"/>
    <w:rsid w:val="007675CD"/>
    <w:rsid w:val="00774A8F"/>
    <w:rsid w:val="00776CED"/>
    <w:rsid w:val="00783419"/>
    <w:rsid w:val="00793A91"/>
    <w:rsid w:val="00795DC6"/>
    <w:rsid w:val="007B320A"/>
    <w:rsid w:val="007C4E2D"/>
    <w:rsid w:val="007D35F2"/>
    <w:rsid w:val="007D71A4"/>
    <w:rsid w:val="00812FBA"/>
    <w:rsid w:val="00816194"/>
    <w:rsid w:val="00822531"/>
    <w:rsid w:val="008301EB"/>
    <w:rsid w:val="008316FD"/>
    <w:rsid w:val="008370FB"/>
    <w:rsid w:val="008450A8"/>
    <w:rsid w:val="008507C0"/>
    <w:rsid w:val="00854BCB"/>
    <w:rsid w:val="00867E9B"/>
    <w:rsid w:val="00884835"/>
    <w:rsid w:val="00887C39"/>
    <w:rsid w:val="00893277"/>
    <w:rsid w:val="00896D1C"/>
    <w:rsid w:val="008A6AC1"/>
    <w:rsid w:val="008B008A"/>
    <w:rsid w:val="008B2745"/>
    <w:rsid w:val="008B4334"/>
    <w:rsid w:val="008B6523"/>
    <w:rsid w:val="008B7726"/>
    <w:rsid w:val="008D6E85"/>
    <w:rsid w:val="008F2B7A"/>
    <w:rsid w:val="008F7CA5"/>
    <w:rsid w:val="00903E35"/>
    <w:rsid w:val="00907309"/>
    <w:rsid w:val="00911DE1"/>
    <w:rsid w:val="0092193A"/>
    <w:rsid w:val="00921DC2"/>
    <w:rsid w:val="00932126"/>
    <w:rsid w:val="009511C5"/>
    <w:rsid w:val="00951BFC"/>
    <w:rsid w:val="00953E58"/>
    <w:rsid w:val="0096633A"/>
    <w:rsid w:val="0096677C"/>
    <w:rsid w:val="00985236"/>
    <w:rsid w:val="00986A17"/>
    <w:rsid w:val="00986BCF"/>
    <w:rsid w:val="00996AC4"/>
    <w:rsid w:val="009A6871"/>
    <w:rsid w:val="009B2786"/>
    <w:rsid w:val="009D5354"/>
    <w:rsid w:val="009E16F2"/>
    <w:rsid w:val="009F3DF4"/>
    <w:rsid w:val="00A04EFB"/>
    <w:rsid w:val="00A12119"/>
    <w:rsid w:val="00A212F3"/>
    <w:rsid w:val="00A215C9"/>
    <w:rsid w:val="00A30CF8"/>
    <w:rsid w:val="00A320D8"/>
    <w:rsid w:val="00A33F3D"/>
    <w:rsid w:val="00A372BB"/>
    <w:rsid w:val="00A40C60"/>
    <w:rsid w:val="00A46439"/>
    <w:rsid w:val="00A6466C"/>
    <w:rsid w:val="00A656CD"/>
    <w:rsid w:val="00A6775F"/>
    <w:rsid w:val="00A726ED"/>
    <w:rsid w:val="00A838DC"/>
    <w:rsid w:val="00A84AE0"/>
    <w:rsid w:val="00A9135E"/>
    <w:rsid w:val="00AA23FA"/>
    <w:rsid w:val="00AA4E34"/>
    <w:rsid w:val="00AB6BA4"/>
    <w:rsid w:val="00AC6774"/>
    <w:rsid w:val="00AD4C9C"/>
    <w:rsid w:val="00AE6487"/>
    <w:rsid w:val="00AE6C64"/>
    <w:rsid w:val="00B01B88"/>
    <w:rsid w:val="00B100EF"/>
    <w:rsid w:val="00B11389"/>
    <w:rsid w:val="00B12517"/>
    <w:rsid w:val="00B126A7"/>
    <w:rsid w:val="00B22801"/>
    <w:rsid w:val="00B24A4C"/>
    <w:rsid w:val="00B27E33"/>
    <w:rsid w:val="00B4326E"/>
    <w:rsid w:val="00B562D4"/>
    <w:rsid w:val="00B6677A"/>
    <w:rsid w:val="00B73A10"/>
    <w:rsid w:val="00B73AC3"/>
    <w:rsid w:val="00B74951"/>
    <w:rsid w:val="00B82938"/>
    <w:rsid w:val="00B93CFE"/>
    <w:rsid w:val="00BB13C2"/>
    <w:rsid w:val="00BB5D59"/>
    <w:rsid w:val="00C00041"/>
    <w:rsid w:val="00C031DA"/>
    <w:rsid w:val="00C15704"/>
    <w:rsid w:val="00C23A87"/>
    <w:rsid w:val="00C468C3"/>
    <w:rsid w:val="00C66A8C"/>
    <w:rsid w:val="00C71423"/>
    <w:rsid w:val="00C764BE"/>
    <w:rsid w:val="00C857A9"/>
    <w:rsid w:val="00CA308C"/>
    <w:rsid w:val="00CB16FF"/>
    <w:rsid w:val="00CB29BA"/>
    <w:rsid w:val="00CC2EB3"/>
    <w:rsid w:val="00CD328F"/>
    <w:rsid w:val="00CD74BD"/>
    <w:rsid w:val="00CE384A"/>
    <w:rsid w:val="00CF46C2"/>
    <w:rsid w:val="00CF63E7"/>
    <w:rsid w:val="00D01BC1"/>
    <w:rsid w:val="00D10241"/>
    <w:rsid w:val="00D31D50"/>
    <w:rsid w:val="00D42DFD"/>
    <w:rsid w:val="00D476F9"/>
    <w:rsid w:val="00D5491D"/>
    <w:rsid w:val="00D67754"/>
    <w:rsid w:val="00D763B7"/>
    <w:rsid w:val="00D85401"/>
    <w:rsid w:val="00D97534"/>
    <w:rsid w:val="00DA293F"/>
    <w:rsid w:val="00DA473D"/>
    <w:rsid w:val="00DB267C"/>
    <w:rsid w:val="00DC02CD"/>
    <w:rsid w:val="00DC08E6"/>
    <w:rsid w:val="00DD01FE"/>
    <w:rsid w:val="00DE0EDD"/>
    <w:rsid w:val="00DE145A"/>
    <w:rsid w:val="00DF4A6E"/>
    <w:rsid w:val="00E05633"/>
    <w:rsid w:val="00E13180"/>
    <w:rsid w:val="00E148A2"/>
    <w:rsid w:val="00E14B44"/>
    <w:rsid w:val="00E161F9"/>
    <w:rsid w:val="00E210A0"/>
    <w:rsid w:val="00E342C9"/>
    <w:rsid w:val="00E35A97"/>
    <w:rsid w:val="00E4304A"/>
    <w:rsid w:val="00E4505D"/>
    <w:rsid w:val="00E45BB8"/>
    <w:rsid w:val="00E51943"/>
    <w:rsid w:val="00E63BFD"/>
    <w:rsid w:val="00E65FB9"/>
    <w:rsid w:val="00E66C57"/>
    <w:rsid w:val="00E679DB"/>
    <w:rsid w:val="00E774C6"/>
    <w:rsid w:val="00E807D3"/>
    <w:rsid w:val="00E83642"/>
    <w:rsid w:val="00EA1489"/>
    <w:rsid w:val="00EB4102"/>
    <w:rsid w:val="00EB4E98"/>
    <w:rsid w:val="00EB7C16"/>
    <w:rsid w:val="00EC780B"/>
    <w:rsid w:val="00EC7A9C"/>
    <w:rsid w:val="00EE2BF0"/>
    <w:rsid w:val="00EE50F7"/>
    <w:rsid w:val="00F01F77"/>
    <w:rsid w:val="00F02F9C"/>
    <w:rsid w:val="00F04234"/>
    <w:rsid w:val="00F15448"/>
    <w:rsid w:val="00F21AAA"/>
    <w:rsid w:val="00F340F3"/>
    <w:rsid w:val="00F535DE"/>
    <w:rsid w:val="00F56107"/>
    <w:rsid w:val="00F634A7"/>
    <w:rsid w:val="00F805F0"/>
    <w:rsid w:val="00F957A8"/>
    <w:rsid w:val="00FA233C"/>
    <w:rsid w:val="00FC73A4"/>
    <w:rsid w:val="00FD35EB"/>
    <w:rsid w:val="00FE0475"/>
    <w:rsid w:val="00FE272F"/>
    <w:rsid w:val="00FF20E5"/>
    <w:rsid w:val="00FF3EEA"/>
    <w:rsid w:val="025F57B1"/>
    <w:rsid w:val="09155F3F"/>
    <w:rsid w:val="0F9D08C8"/>
    <w:rsid w:val="1BD901A2"/>
    <w:rsid w:val="1E0140B3"/>
    <w:rsid w:val="338A335C"/>
    <w:rsid w:val="3F897C19"/>
    <w:rsid w:val="443A28AA"/>
    <w:rsid w:val="5C5C0587"/>
    <w:rsid w:val="5DE72844"/>
    <w:rsid w:val="62DE7CC1"/>
    <w:rsid w:val="7C471DD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5"/>
    <w:semiHidden/>
    <w:unhideWhenUsed/>
    <w:qFormat/>
    <w:uiPriority w:val="99"/>
    <w:pPr>
      <w:ind w:left="100" w:leftChars="2500"/>
    </w:pPr>
  </w:style>
  <w:style w:type="paragraph" w:styleId="3">
    <w:name w:val="Balloon Text"/>
    <w:basedOn w:val="1"/>
    <w:link w:val="14"/>
    <w:semiHidden/>
    <w:unhideWhenUsed/>
    <w:qFormat/>
    <w:uiPriority w:val="99"/>
    <w:pPr>
      <w:spacing w:after="0"/>
    </w:pPr>
    <w:rPr>
      <w:sz w:val="18"/>
      <w:szCs w:val="18"/>
    </w:rPr>
  </w:style>
  <w:style w:type="paragraph" w:styleId="4">
    <w:name w:val="footer"/>
    <w:basedOn w:val="1"/>
    <w:link w:val="12"/>
    <w:unhideWhenUsed/>
    <w:qFormat/>
    <w:uiPriority w:val="99"/>
    <w:pPr>
      <w:tabs>
        <w:tab w:val="center" w:pos="4153"/>
        <w:tab w:val="right" w:pos="8306"/>
      </w:tabs>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jc w:val="center"/>
    </w:pPr>
    <w:rPr>
      <w:sz w:val="18"/>
      <w:szCs w:val="18"/>
    </w:rPr>
  </w:style>
  <w:style w:type="paragraph" w:styleId="6">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9">
    <w:name w:val="Strong"/>
    <w:basedOn w:val="8"/>
    <w:qFormat/>
    <w:uiPriority w:val="22"/>
    <w:rPr>
      <w:b/>
      <w:bCs/>
    </w:rPr>
  </w:style>
  <w:style w:type="character" w:styleId="10">
    <w:name w:val="Hyperlink"/>
    <w:basedOn w:val="8"/>
    <w:semiHidden/>
    <w:unhideWhenUsed/>
    <w:qFormat/>
    <w:uiPriority w:val="99"/>
    <w:rPr>
      <w:color w:val="0000FF"/>
      <w:u w:val="single"/>
    </w:rPr>
  </w:style>
  <w:style w:type="character" w:customStyle="1" w:styleId="11">
    <w:name w:val="页眉 Char"/>
    <w:basedOn w:val="8"/>
    <w:link w:val="5"/>
    <w:qFormat/>
    <w:uiPriority w:val="99"/>
    <w:rPr>
      <w:rFonts w:ascii="Tahoma" w:hAnsi="Tahoma"/>
      <w:sz w:val="18"/>
      <w:szCs w:val="18"/>
    </w:rPr>
  </w:style>
  <w:style w:type="character" w:customStyle="1" w:styleId="12">
    <w:name w:val="页脚 Char"/>
    <w:basedOn w:val="8"/>
    <w:link w:val="4"/>
    <w:qFormat/>
    <w:uiPriority w:val="99"/>
    <w:rPr>
      <w:rFonts w:ascii="Tahoma" w:hAnsi="Tahoma"/>
      <w:sz w:val="18"/>
      <w:szCs w:val="18"/>
    </w:rPr>
  </w:style>
  <w:style w:type="character" w:customStyle="1" w:styleId="13">
    <w:name w:val="apple-converted-space"/>
    <w:basedOn w:val="8"/>
    <w:qFormat/>
    <w:uiPriority w:val="0"/>
  </w:style>
  <w:style w:type="character" w:customStyle="1" w:styleId="14">
    <w:name w:val="批注框文本 Char"/>
    <w:basedOn w:val="8"/>
    <w:link w:val="3"/>
    <w:semiHidden/>
    <w:qFormat/>
    <w:uiPriority w:val="99"/>
    <w:rPr>
      <w:rFonts w:ascii="Tahoma" w:hAnsi="Tahoma"/>
      <w:sz w:val="18"/>
      <w:szCs w:val="18"/>
    </w:rPr>
  </w:style>
  <w:style w:type="character" w:customStyle="1" w:styleId="15">
    <w:name w:val="日期 Char"/>
    <w:basedOn w:val="8"/>
    <w:link w:val="2"/>
    <w:semiHidden/>
    <w:qFormat/>
    <w:uiPriority w:val="99"/>
    <w:rPr>
      <w:rFonts w:ascii="Tahoma" w:hAnsi="Tahoma"/>
    </w:rPr>
  </w:style>
  <w:style w:type="paragraph" w:customStyle="1" w:styleId="1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DFE6C-F2A4-4F5F-BB65-0E9F1B7B5B8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475</Words>
  <Characters>2709</Characters>
  <Lines>22</Lines>
  <Paragraphs>6</Paragraphs>
  <TotalTime>0</TotalTime>
  <ScaleCrop>false</ScaleCrop>
  <LinksUpToDate>false</LinksUpToDate>
  <CharactersWithSpaces>3178</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2023-03-07T02:05:00Z</dcterms:created>
  <dc:creator>Administrator</dc:creator>
  <cp:lastModifiedBy>User</cp:lastModifiedBy>
  <cp:lastPrinted>2022-09-15T07:23:00Z</cp:lastPrinted>
  <dcterms:modified xsi:type="dcterms:W3CDTF">2024-03-06T11:07:50Z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263D29F5F26946879A4BE06764A6BD49</vt:lpwstr>
  </property>
</Properties>
</file>