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21" w:rsidRDefault="000B5C2A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36"/>
        </w:rPr>
        <w:t>关于代销苏银理财</w:t>
      </w:r>
      <w:r w:rsidR="00D11BD4">
        <w:rPr>
          <w:rFonts w:ascii="宋体" w:eastAsia="宋体" w:hAnsi="宋体" w:cs="宋体" w:hint="eastAsia"/>
          <w:b/>
          <w:bCs/>
          <w:sz w:val="36"/>
        </w:rPr>
        <w:t>恒源</w:t>
      </w:r>
      <w:r w:rsidR="00F11CB2">
        <w:rPr>
          <w:rFonts w:ascii="宋体" w:eastAsia="宋体" w:hAnsi="宋体" w:cs="宋体" w:hint="eastAsia"/>
          <w:b/>
          <w:bCs/>
          <w:sz w:val="36"/>
        </w:rPr>
        <w:t>封闭债权101期</w:t>
      </w:r>
      <w:r>
        <w:rPr>
          <w:rFonts w:ascii="宋体" w:eastAsia="宋体" w:hAnsi="宋体" w:cs="宋体" w:hint="eastAsia"/>
          <w:b/>
          <w:bCs/>
          <w:sz w:val="36"/>
        </w:rPr>
        <w:t>的通知</w:t>
      </w:r>
    </w:p>
    <w:p w:rsidR="005C0D21" w:rsidRDefault="000B5C2A"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各分(支)行、总行营业部：</w:t>
      </w:r>
    </w:p>
    <w:p w:rsidR="005C0D21" w:rsidRDefault="000B5C2A">
      <w:pPr>
        <w:adjustRightInd/>
        <w:snapToGrid/>
        <w:spacing w:after="0"/>
        <w:ind w:firstLine="63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我行代销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苏银理财有限责任公司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发行的苏银理财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F11CB2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封闭债权101期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将</w:t>
      </w:r>
      <w:r>
        <w:rPr>
          <w:rFonts w:ascii="仿宋_GB2312" w:eastAsia="仿宋_GB2312" w:hAnsi="微软雅黑" w:cs="宋体" w:hint="eastAsia"/>
          <w:sz w:val="32"/>
          <w:szCs w:val="32"/>
        </w:rPr>
        <w:t>于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1F3153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DC23CA">
        <w:rPr>
          <w:rFonts w:ascii="仿宋_GB2312" w:eastAsia="仿宋_GB2312" w:hAnsi="微软雅黑" w:cs="宋体" w:hint="eastAsia"/>
          <w:color w:val="FF0000"/>
          <w:sz w:val="32"/>
          <w:szCs w:val="32"/>
        </w:rPr>
        <w:t>1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r w:rsidR="00F11CB2">
        <w:rPr>
          <w:rFonts w:ascii="仿宋_GB2312" w:eastAsia="仿宋_GB2312" w:hAnsi="微软雅黑" w:cs="宋体" w:hint="eastAsia"/>
          <w:color w:val="FF0000"/>
          <w:sz w:val="32"/>
          <w:szCs w:val="32"/>
        </w:rPr>
        <w:t>24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日9:00</w:t>
      </w:r>
      <w:r>
        <w:rPr>
          <w:rFonts w:ascii="仿宋_GB2312" w:eastAsia="仿宋_GB2312" w:hAnsi="微软雅黑" w:cs="宋体" w:hint="eastAsia"/>
          <w:sz w:val="32"/>
          <w:szCs w:val="32"/>
        </w:rPr>
        <w:t>至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7471D4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C61324">
        <w:rPr>
          <w:rFonts w:ascii="仿宋_GB2312" w:eastAsia="仿宋_GB2312" w:hAnsi="微软雅黑" w:cs="宋体" w:hint="eastAsia"/>
          <w:color w:val="FF0000"/>
          <w:sz w:val="32"/>
          <w:szCs w:val="32"/>
        </w:rPr>
        <w:t>1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bookmarkStart w:id="0" w:name="_GoBack"/>
      <w:bookmarkEnd w:id="0"/>
      <w:r w:rsidR="00F11CB2">
        <w:rPr>
          <w:rFonts w:ascii="仿宋_GB2312" w:eastAsia="仿宋_GB2312" w:hAnsi="微软雅黑" w:cs="宋体" w:hint="eastAsia"/>
          <w:color w:val="FF0000"/>
          <w:sz w:val="32"/>
          <w:szCs w:val="32"/>
        </w:rPr>
        <w:t>30</w:t>
      </w:r>
      <w:r w:rsidR="00C61324">
        <w:rPr>
          <w:rFonts w:ascii="仿宋_GB2312" w:eastAsia="仿宋_GB2312" w:hAnsi="微软雅黑" w:cs="宋体" w:hint="eastAsia"/>
          <w:color w:val="FF0000"/>
          <w:sz w:val="32"/>
          <w:szCs w:val="32"/>
        </w:rPr>
        <w:t>日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17:00</w:t>
      </w:r>
      <w:r>
        <w:rPr>
          <w:rFonts w:ascii="仿宋_GB2312" w:eastAsia="仿宋_GB2312" w:hAnsi="微软雅黑" w:cs="宋体" w:hint="eastAsia"/>
          <w:sz w:val="32"/>
          <w:szCs w:val="32"/>
        </w:rPr>
        <w:t>销售，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目前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在</w:t>
      </w:r>
      <w:r w:rsidR="00D7627A" w:rsidRPr="00B252B4">
        <w:rPr>
          <w:rFonts w:ascii="仿宋_GB2312" w:eastAsia="仿宋_GB2312" w:hAnsi="微软雅黑" w:cs="宋体" w:hint="eastAsia"/>
          <w:color w:val="FF0000"/>
          <w:sz w:val="32"/>
          <w:szCs w:val="32"/>
        </w:rPr>
        <w:t>柜面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和</w:t>
      </w:r>
      <w:r w:rsidR="00D7627A" w:rsidRPr="00B252B4">
        <w:rPr>
          <w:rFonts w:ascii="仿宋_GB2312" w:eastAsia="仿宋_GB2312" w:hAnsi="微软雅黑" w:cs="宋体" w:hint="eastAsia"/>
          <w:color w:val="FF0000"/>
          <w:sz w:val="32"/>
          <w:szCs w:val="32"/>
        </w:rPr>
        <w:t>手机银行</w:t>
      </w:r>
      <w:r w:rsidR="00C60359" w:rsidRPr="00FB04F3">
        <w:rPr>
          <w:rFonts w:ascii="仿宋_GB2312" w:eastAsia="仿宋_GB2312" w:hAnsi="微软雅黑" w:cs="宋体" w:hint="eastAsia"/>
          <w:color w:val="000000" w:themeColor="text1"/>
          <w:sz w:val="32"/>
          <w:szCs w:val="32"/>
        </w:rPr>
        <w:t>等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销售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。</w:t>
      </w:r>
      <w:r w:rsidR="00FA5448">
        <w:rPr>
          <w:rFonts w:ascii="仿宋_GB2312" w:eastAsia="仿宋_GB2312" w:hAnsi="微软雅黑" w:cs="宋体" w:hint="eastAsia"/>
          <w:color w:val="000000"/>
          <w:sz w:val="32"/>
          <w:szCs w:val="32"/>
        </w:rPr>
        <w:t>销售服务费率为0.2%/年。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部分要素如下：</w:t>
      </w:r>
    </w:p>
    <w:tbl>
      <w:tblPr>
        <w:tblW w:w="8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8"/>
        <w:gridCol w:w="6614"/>
      </w:tblGrid>
      <w:tr w:rsidR="00F11CB2" w:rsidTr="00F11CB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>
            <w:pPr>
              <w:pStyle w:val="TableParagraph"/>
              <w:kinsoku w:val="0"/>
              <w:overflowPunct w:val="0"/>
              <w:spacing w:before="11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苏银理财恒源封闭债权101期</w:t>
            </w:r>
          </w:p>
        </w:tc>
      </w:tr>
      <w:tr w:rsidR="00F11CB2" w:rsidTr="00F11CB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>
            <w:pPr>
              <w:pStyle w:val="TableParagraph"/>
              <w:kinsoku w:val="0"/>
              <w:overflowPunct w:val="0"/>
              <w:ind w:left="5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Z7003124000004</w:t>
            </w:r>
          </w:p>
          <w:p w:rsidR="00F11CB2" w:rsidRDefault="00F11CB2" w:rsidP="00F11CB2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（投资者可依据该编码在中国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理财网</w:t>
            </w:r>
            <w:proofErr w:type="gramEnd"/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begin"/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instrText xml:space="preserve"> HYPERLINK "http://www.chinawealth.com.cn/" </w:instrTex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separate"/>
            </w:r>
            <w:r>
              <w:rPr>
                <w:rStyle w:val="a8"/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www.chinawealth.com.cn</w: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end"/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查询产品信息）</w:t>
            </w:r>
          </w:p>
        </w:tc>
      </w:tr>
      <w:tr w:rsidR="00F11CB2" w:rsidTr="00F11CB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B份额：苏银理财恒源封闭债权101期12月B/J03069</w:t>
            </w:r>
          </w:p>
        </w:tc>
      </w:tr>
      <w:tr w:rsidR="00F11CB2" w:rsidTr="00F11CB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苏银理财有限责任公司</w:t>
            </w:r>
          </w:p>
        </w:tc>
      </w:tr>
      <w:tr w:rsidR="00F11CB2" w:rsidTr="00F11CB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江苏银行股份有限公司</w:t>
            </w:r>
          </w:p>
        </w:tc>
      </w:tr>
      <w:tr w:rsidR="00F11CB2" w:rsidTr="00F11CB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1、★★二级，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 w:rsidR="00F11CB2" w:rsidRDefault="00F11CB2" w:rsidP="00F11CB2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</w:p>
          <w:p w:rsidR="00F11CB2" w:rsidRDefault="00F11CB2" w:rsidP="00F11CB2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3、如本产品通过代理销售机构渠道销售，理财产品评级以代理销售机构最终披露的评级结果为准。</w:t>
            </w:r>
          </w:p>
          <w:p w:rsidR="00F11CB2" w:rsidRPr="00975280" w:rsidRDefault="00975280" w:rsidP="00975280">
            <w:pPr>
              <w:rPr>
                <w:rFonts w:ascii="仿宋" w:eastAsia="仿宋" w:hAnsi="仿宋"/>
                <w:b/>
                <w:color w:val="FF0000"/>
              </w:rPr>
            </w:pPr>
            <w:r>
              <w:rPr>
                <w:rFonts w:ascii="仿宋" w:eastAsia="仿宋" w:hAnsi="仿宋" w:hint="eastAsia"/>
                <w:b/>
                <w:color w:val="FF0000"/>
              </w:rPr>
              <w:t>4、紫金农商银行对本产品的风险评级为中低风险。</w:t>
            </w:r>
          </w:p>
        </w:tc>
      </w:tr>
      <w:tr w:rsidR="00F11CB2" w:rsidTr="00F11CB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净值型（非保本浮动收益）</w:t>
            </w:r>
          </w:p>
        </w:tc>
      </w:tr>
      <w:tr w:rsidR="00F11CB2" w:rsidTr="00F11CB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固定收益类、公募、封闭式</w:t>
            </w:r>
          </w:p>
        </w:tc>
      </w:tr>
      <w:tr w:rsidR="00F11CB2" w:rsidTr="00F11CB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面向个人和机构投资者销售</w:t>
            </w:r>
          </w:p>
        </w:tc>
      </w:tr>
      <w:tr w:rsidR="00F11CB2" w:rsidTr="00F11CB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pStyle w:val="TableParagraph"/>
              <w:kinsoku w:val="0"/>
              <w:overflowPunct w:val="0"/>
              <w:spacing w:before="14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人民币</w:t>
            </w:r>
          </w:p>
        </w:tc>
      </w:tr>
      <w:tr w:rsidR="00F11CB2" w:rsidTr="00F11CB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计划发行总规模：6亿份。</w:t>
            </w:r>
          </w:p>
          <w:p w:rsidR="00F11CB2" w:rsidRDefault="00F11CB2" w:rsidP="00F11CB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 w:rsidR="00F11CB2" w:rsidTr="00F11CB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认购起点/追加金额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投资者单笔</w:t>
            </w:r>
            <w:r>
              <w:rPr>
                <w:rFonts w:ascii="楷体" w:eastAsia="楷体" w:hAnsi="楷体" w:hint="eastAsia"/>
                <w:szCs w:val="21"/>
              </w:rPr>
              <w:t>认购起点金额为1元，追加金额为1元的整数</w:t>
            </w:r>
            <w:proofErr w:type="gramStart"/>
            <w:r>
              <w:rPr>
                <w:rFonts w:ascii="楷体" w:eastAsia="楷体" w:hAnsi="楷体" w:hint="eastAsia"/>
                <w:szCs w:val="21"/>
              </w:rPr>
              <w:t>倍</w:t>
            </w:r>
            <w:proofErr w:type="gramEnd"/>
            <w:r>
              <w:rPr>
                <w:rFonts w:ascii="楷体" w:eastAsia="楷体" w:hAnsi="楷体" w:hint="eastAsia"/>
                <w:szCs w:val="21"/>
              </w:rPr>
              <w:t>。</w:t>
            </w:r>
          </w:p>
          <w:p w:rsidR="00F11CB2" w:rsidRDefault="00F11CB2" w:rsidP="00F11CB2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认购资金的清算和认购份额的计算详见产品说明书“八、产品认购”。</w:t>
            </w:r>
          </w:p>
        </w:tc>
      </w:tr>
      <w:tr w:rsidR="00F11CB2" w:rsidTr="00F11CB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1元/份</w:t>
            </w:r>
          </w:p>
        </w:tc>
      </w:tr>
      <w:tr w:rsidR="00F11CB2" w:rsidTr="00F11CB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2024年1月24日9:00至2024年1月30日17:00</w:t>
            </w:r>
          </w:p>
          <w:p w:rsidR="00F11CB2" w:rsidRDefault="00F11CB2" w:rsidP="00F11CB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 w:rsidR="00F11CB2" w:rsidTr="00F11CB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产品成立日/份额登记日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2024年1月31日</w:t>
            </w:r>
          </w:p>
          <w:p w:rsidR="00F11CB2" w:rsidRDefault="00F11CB2" w:rsidP="00F11CB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若产品认购份额未达到最低发行总规模3000万，或新的法律、法规导致本产品无法合法合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规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 w:rsidR="00F11CB2" w:rsidTr="00F11CB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2025年2月12日（如遇节假日，顺延至下一工作日）</w:t>
            </w:r>
          </w:p>
          <w:p w:rsidR="00F11CB2" w:rsidRDefault="00F11CB2" w:rsidP="00F11CB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在符合产品说明书约定的条件下，管理人有权提前终止该产品，产品到期日受制于提前终止条款。详见产品说明书“十、产品的终止与清算”。</w:t>
            </w:r>
          </w:p>
        </w:tc>
      </w:tr>
      <w:tr w:rsidR="00F11CB2" w:rsidTr="00F11CB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378天（以理财产品实际存续天数为准），</w:t>
            </w:r>
            <w:r>
              <w:rPr>
                <w:rFonts w:ascii="楷体" w:eastAsia="楷体" w:hAnsi="楷体" w:cs="Calibri" w:hint="eastAsia"/>
                <w:b/>
                <w:szCs w:val="21"/>
                <w:u w:val="single"/>
              </w:rPr>
              <w:t>本产品运行期间，不开放申购、赎回。</w:t>
            </w:r>
          </w:p>
        </w:tc>
      </w:tr>
      <w:tr w:rsidR="00F11CB2" w:rsidTr="00F11CB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 w:rsidR="00F11CB2" w:rsidTr="00F11CB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pStyle w:val="TableParagraph"/>
              <w:kinsoku w:val="0"/>
              <w:overflowPunct w:val="0"/>
              <w:spacing w:before="37"/>
              <w:ind w:leftChars="10" w:left="22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bCs/>
                <w:spacing w:val="-2"/>
                <w:kern w:val="2"/>
                <w:sz w:val="21"/>
                <w:szCs w:val="21"/>
                <w:u w:val="single"/>
              </w:rPr>
              <w:t>苏银理财参考过往投资经验，依据近期货币市场工具、债券、非标准化债权等资产投资收益水平，在产品说明书约定的投资范围和投资比例内，综合考虑各份额收取的销售服务费和投资管理费的情况，模拟测算得出业绩比较基准。本产品各份额因收取的销售服务费和投资管理费存在差异，业绩比较基准设置将有所不同。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各份额业绩比较基准如下：</w:t>
            </w:r>
          </w:p>
          <w:p w:rsidR="00F11CB2" w:rsidRDefault="00F11CB2" w:rsidP="00F11CB2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B份额：</w:t>
            </w:r>
            <w:proofErr w:type="gramStart"/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年化</w:t>
            </w:r>
            <w:proofErr w:type="gramEnd"/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3.35%</w:t>
            </w:r>
          </w:p>
          <w:p w:rsidR="00F11CB2" w:rsidRDefault="00F11CB2" w:rsidP="00F11CB2">
            <w:pPr>
              <w:ind w:left="59" w:rightChars="35" w:right="77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 w:rsidR="00F11CB2" w:rsidRDefault="00F11CB2" w:rsidP="00F11CB2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 w:rsidR="00F11CB2" w:rsidTr="00F11CB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本产品费用包括托管费、销售服务费、投资管理费、超额业绩报酬以及产品运作和清算中产生的其他费用等。</w:t>
            </w:r>
          </w:p>
          <w:p w:rsidR="00F11CB2" w:rsidRDefault="00F11CB2" w:rsidP="00F11CB2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1.托管费率：0.02%/年；</w:t>
            </w:r>
          </w:p>
          <w:p w:rsidR="00F11CB2" w:rsidRDefault="00F11CB2" w:rsidP="00F11CB2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2.销售服务费率： B份额0.20%/年；</w:t>
            </w:r>
          </w:p>
          <w:p w:rsidR="00F11CB2" w:rsidRDefault="00F11CB2" w:rsidP="00F11CB2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3.投资管理费率：0.25%/年；</w:t>
            </w:r>
          </w:p>
          <w:p w:rsidR="00F11CB2" w:rsidRDefault="00F11CB2" w:rsidP="00F11CB2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4.超额业绩报酬：若产品各份额实际投资收益在扣除托管费、销售服务费、投资管理费、运作产品所必须缴纳的税费后超过各份额业绩比较基准，产品管理人将按照超出部分的60%收取超额业绩报酬。</w:t>
            </w:r>
          </w:p>
          <w:p w:rsidR="00F11CB2" w:rsidRDefault="00F11CB2" w:rsidP="00F11CB2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产品存续期内理财产品将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每日暂估超额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业绩报酬，仅用于理财产品会计核算，并将扣除“暂估超额业绩报酬”后的理财产品份额净值按照说明书约定向投资者进行披露。理财产品实际的超额业绩报酬以到期日计提核算的数值为准。计算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累计年化收益率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和业绩比较基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lastRenderedPageBreak/>
              <w:t>准时，1年按365日计算。</w:t>
            </w:r>
          </w:p>
          <w:p w:rsidR="00F11CB2" w:rsidRDefault="00F11CB2" w:rsidP="00F11CB2">
            <w:pPr>
              <w:widowControl w:val="0"/>
              <w:ind w:left="59" w:rightChars="35" w:right="77"/>
              <w:jc w:val="both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期内苏银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理财可对费用进行调整，实际收取费率以管理人公告为准。</w:t>
            </w: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本产品设置有多个份额，各款产品按照设置的销售对象和销售起点进行销售，各款产品实际收取的销售服务费率和投资管理费率可能存在差异，客户根据产品销售时设置的条件自主选择购买。</w:t>
            </w:r>
          </w:p>
        </w:tc>
      </w:tr>
      <w:tr w:rsidR="00F11CB2" w:rsidTr="00F11CB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估值日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每周估值，并于估值日后第2个工作日内，通过本产品说明书约定方式披露产品单位净值。详见产品说明书“九、产品估值”。</w:t>
            </w:r>
          </w:p>
        </w:tc>
      </w:tr>
      <w:tr w:rsidR="00F11CB2" w:rsidTr="00F11CB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管理人将按照《产品说明书》中约定的方式进行信息披露，详见产品说明书“十四、信息披露”。</w:t>
            </w:r>
          </w:p>
        </w:tc>
      </w:tr>
      <w:tr w:rsidR="00F11CB2" w:rsidTr="00F11CB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本产品无分红机制，投资运作情况体现为产品净值变化。产品投资运作到期，投资收益扣除相关费用后，全部分配给投资者。详见产品说明书“十、产品的终止与清算”。</w:t>
            </w:r>
          </w:p>
        </w:tc>
      </w:tr>
      <w:tr w:rsidR="00F11CB2" w:rsidTr="00F11CB2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B2" w:rsidRDefault="00F11CB2" w:rsidP="00F11CB2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 xml:space="preserve">本产品运作过程中涉及的各纳税主体，其纳税义务按国家税收法律、法规执行。详见产品说明书“十二、税收规定”。 </w:t>
            </w:r>
          </w:p>
        </w:tc>
      </w:tr>
    </w:tbl>
    <w:p w:rsidR="005C0D21" w:rsidRDefault="000B5C2A">
      <w:pPr>
        <w:adjustRightInd/>
        <w:snapToGrid/>
        <w:spacing w:after="0"/>
        <w:ind w:firstLine="630"/>
        <w:jc w:val="center"/>
        <w:rPr>
          <w:rFonts w:ascii="仿宋_GB2312" w:eastAsia="仿宋_GB2312" w:hAnsi="微软雅黑" w:cs="宋体"/>
          <w:color w:val="FF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（更多具体要素请详</w:t>
      </w:r>
      <w:proofErr w:type="gramStart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阅产品</w:t>
      </w:r>
      <w:proofErr w:type="gramEnd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说明书）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注意事项：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1.该产品销售要求参照我行自营理财销售相关规定执行。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2.相关产品销售文件见附件。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3.如有其他未尽事宜以私人银行</w:t>
      </w:r>
      <w:proofErr w:type="gramStart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部解释</w:t>
      </w:r>
      <w:proofErr w:type="gramEnd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为准。</w:t>
      </w:r>
    </w:p>
    <w:p w:rsidR="005C0D21" w:rsidRDefault="005C0D21"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附件：1.“苏银理财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F11CB2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封闭债权101期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”理财产品说明书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 理财产品代理销售协议书、苏银理财有限责任公司理财产品投资协议书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3.“苏银理财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F11CB2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封闭债权101期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”理财产品风险揭示书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4.苏银理财有限责任公司投资者权益须知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5. 风险承受能力评估表</w:t>
      </w: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私人银行部</w:t>
      </w:r>
    </w:p>
    <w:p w:rsidR="005C0D21" w:rsidRDefault="000B5C2A">
      <w:pPr>
        <w:adjustRightInd/>
        <w:snapToGrid/>
        <w:spacing w:after="0"/>
        <w:ind w:firstLine="5445"/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202</w:t>
      </w:r>
      <w:r w:rsidR="001F3153">
        <w:rPr>
          <w:rFonts w:ascii="仿宋_GB2312" w:eastAsia="仿宋_GB2312" w:hAnsi="微软雅黑" w:cs="宋体" w:hint="eastAsia"/>
          <w:color w:val="00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年</w:t>
      </w:r>
      <w:r w:rsidR="00DC23CA">
        <w:rPr>
          <w:rFonts w:ascii="仿宋_GB2312" w:eastAsia="仿宋_GB2312" w:hAnsi="微软雅黑" w:cs="宋体" w:hint="eastAsia"/>
          <w:color w:val="000000"/>
          <w:sz w:val="32"/>
          <w:szCs w:val="32"/>
        </w:rPr>
        <w:t>1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月</w:t>
      </w:r>
      <w:r w:rsidR="00F11CB2">
        <w:rPr>
          <w:rFonts w:ascii="仿宋_GB2312" w:eastAsia="仿宋_GB2312" w:hAnsi="微软雅黑" w:cs="宋体" w:hint="eastAsia"/>
          <w:color w:val="000000"/>
          <w:sz w:val="32"/>
          <w:szCs w:val="32"/>
        </w:rPr>
        <w:t>22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日</w:t>
      </w:r>
    </w:p>
    <w:sectPr w:rsidR="005C0D21" w:rsidSect="005C0D2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02A13"/>
    <w:rsid w:val="00014D89"/>
    <w:rsid w:val="0002233E"/>
    <w:rsid w:val="00025736"/>
    <w:rsid w:val="00030E86"/>
    <w:rsid w:val="000430CA"/>
    <w:rsid w:val="00050465"/>
    <w:rsid w:val="000547BB"/>
    <w:rsid w:val="000618D3"/>
    <w:rsid w:val="0006322B"/>
    <w:rsid w:val="000729EB"/>
    <w:rsid w:val="00074AD2"/>
    <w:rsid w:val="000812F4"/>
    <w:rsid w:val="000936F7"/>
    <w:rsid w:val="000957AC"/>
    <w:rsid w:val="000A5028"/>
    <w:rsid w:val="000B5C2A"/>
    <w:rsid w:val="000D30E3"/>
    <w:rsid w:val="000E18A2"/>
    <w:rsid w:val="000E1FA9"/>
    <w:rsid w:val="000E7543"/>
    <w:rsid w:val="0010440D"/>
    <w:rsid w:val="00110B5C"/>
    <w:rsid w:val="00113224"/>
    <w:rsid w:val="001157D7"/>
    <w:rsid w:val="001225F8"/>
    <w:rsid w:val="00134BE7"/>
    <w:rsid w:val="00152D94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513BD"/>
    <w:rsid w:val="00257856"/>
    <w:rsid w:val="00277323"/>
    <w:rsid w:val="002777A1"/>
    <w:rsid w:val="00283408"/>
    <w:rsid w:val="002866F6"/>
    <w:rsid w:val="0029028F"/>
    <w:rsid w:val="002A3E43"/>
    <w:rsid w:val="002B1948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14F4"/>
    <w:rsid w:val="006648D9"/>
    <w:rsid w:val="00677D5A"/>
    <w:rsid w:val="006919F0"/>
    <w:rsid w:val="006A1D72"/>
    <w:rsid w:val="006C44CC"/>
    <w:rsid w:val="006E08D8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61130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96AC4"/>
    <w:rsid w:val="009A5FF7"/>
    <w:rsid w:val="009A6871"/>
    <w:rsid w:val="009B21F1"/>
    <w:rsid w:val="009B2786"/>
    <w:rsid w:val="009D1D85"/>
    <w:rsid w:val="009E16F2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42D4"/>
    <w:rsid w:val="00AE6487"/>
    <w:rsid w:val="00B01B88"/>
    <w:rsid w:val="00B02F94"/>
    <w:rsid w:val="00B126A7"/>
    <w:rsid w:val="00B17CEE"/>
    <w:rsid w:val="00B21220"/>
    <w:rsid w:val="00B22801"/>
    <w:rsid w:val="00B24A4C"/>
    <w:rsid w:val="00B252B4"/>
    <w:rsid w:val="00B27E33"/>
    <w:rsid w:val="00B33E38"/>
    <w:rsid w:val="00B4326E"/>
    <w:rsid w:val="00B73A10"/>
    <w:rsid w:val="00B86723"/>
    <w:rsid w:val="00B941A3"/>
    <w:rsid w:val="00B941AB"/>
    <w:rsid w:val="00BA2412"/>
    <w:rsid w:val="00BA7C4A"/>
    <w:rsid w:val="00BB0278"/>
    <w:rsid w:val="00C00041"/>
    <w:rsid w:val="00C0423C"/>
    <w:rsid w:val="00C07A9F"/>
    <w:rsid w:val="00C15704"/>
    <w:rsid w:val="00C17395"/>
    <w:rsid w:val="00C23A87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74BD"/>
    <w:rsid w:val="00CE0BFB"/>
    <w:rsid w:val="00CE0C36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7D23"/>
    <w:rsid w:val="00D42DFD"/>
    <w:rsid w:val="00D476F9"/>
    <w:rsid w:val="00D51249"/>
    <w:rsid w:val="00D5218E"/>
    <w:rsid w:val="00D5491D"/>
    <w:rsid w:val="00D5747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23CA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34C6"/>
    <w:rsid w:val="00F24E77"/>
    <w:rsid w:val="00F24FA8"/>
    <w:rsid w:val="00F474DE"/>
    <w:rsid w:val="00F634A7"/>
    <w:rsid w:val="00F7443F"/>
    <w:rsid w:val="00F805F0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9FF56E8"/>
    <w:rsid w:val="11E470A0"/>
    <w:rsid w:val="1C4E296B"/>
    <w:rsid w:val="37D92952"/>
    <w:rsid w:val="437A0EFD"/>
    <w:rsid w:val="52C1180B"/>
    <w:rsid w:val="569A1942"/>
    <w:rsid w:val="573E6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21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C0D21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0D21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C0D2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C0D2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Strong"/>
    <w:basedOn w:val="a0"/>
    <w:uiPriority w:val="22"/>
    <w:qFormat/>
    <w:rsid w:val="005C0D21"/>
    <w:rPr>
      <w:b/>
      <w:bCs/>
    </w:rPr>
  </w:style>
  <w:style w:type="character" w:styleId="a8">
    <w:name w:val="Hyperlink"/>
    <w:basedOn w:val="a0"/>
    <w:uiPriority w:val="99"/>
    <w:semiHidden/>
    <w:unhideWhenUsed/>
    <w:rsid w:val="005C0D21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qFormat/>
    <w:rsid w:val="005C0D21"/>
  </w:style>
  <w:style w:type="character" w:customStyle="1" w:styleId="Char">
    <w:name w:val="批注框文本 Char"/>
    <w:basedOn w:val="a0"/>
    <w:link w:val="a3"/>
    <w:uiPriority w:val="99"/>
    <w:semiHidden/>
    <w:rsid w:val="005C0D21"/>
    <w:rPr>
      <w:rFonts w:ascii="Tahoma" w:hAnsi="Tahoma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5C0D21"/>
    <w:pPr>
      <w:widowControl w:val="0"/>
      <w:autoSpaceDE w:val="0"/>
      <w:autoSpaceDN w:val="0"/>
      <w:snapToGrid/>
      <w:spacing w:after="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3</Pages>
  <Words>395</Words>
  <Characters>2253</Characters>
  <Application>Microsoft Office Word</Application>
  <DocSecurity>0</DocSecurity>
  <Lines>18</Lines>
  <Paragraphs>5</Paragraphs>
  <ScaleCrop>false</ScaleCrop>
  <Company/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343</cp:revision>
  <cp:lastPrinted>2021-06-03T04:20:00Z</cp:lastPrinted>
  <dcterms:created xsi:type="dcterms:W3CDTF">2008-09-11T17:20:00Z</dcterms:created>
  <dcterms:modified xsi:type="dcterms:W3CDTF">2024-01-22T01:27:00Z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