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360" w:lineRule="auto"/>
        <w:jc w:val="center"/>
        <w:rPr>
          <w:rFonts w:ascii="黑体" w:hAnsi="宋体" w:eastAsia="黑体" w:cs="宋体"/>
          <w:b/>
          <w:bCs/>
          <w:color w:val="2F2F2F"/>
          <w:kern w:val="0"/>
          <w:sz w:val="24"/>
        </w:rPr>
      </w:pPr>
      <w:bookmarkStart w:id="0" w:name="_GoBack"/>
      <w:bookmarkEnd w:id="0"/>
      <w:r>
        <w:rPr>
          <w:rFonts w:hint="eastAsia" w:ascii="黑体" w:hAnsi="宋体" w:eastAsia="黑体" w:cs="宋体"/>
          <w:b/>
          <w:bCs/>
          <w:color w:val="2F2F2F"/>
          <w:kern w:val="0"/>
          <w:sz w:val="24"/>
        </w:rPr>
        <w:t>信银理财个人理财业务客户权益须知</w:t>
      </w:r>
    </w:p>
    <w:p>
      <w:pPr>
        <w:widowControl/>
        <w:ind w:firstLine="480" w:firstLineChars="200"/>
        <w:jc w:val="left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尊敬的客户，您好：</w:t>
      </w:r>
    </w:p>
    <w:p>
      <w:pPr>
        <w:widowControl/>
        <w:ind w:firstLine="480" w:firstLineChars="200"/>
        <w:jc w:val="left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为便于您顺利办理理财业务，请仔细阅读以下客户权益内容，以选择适合的产品并维护自身权益。</w:t>
      </w:r>
    </w:p>
    <w:p>
      <w:pPr>
        <w:widowControl/>
        <w:ind w:firstLine="480" w:firstLineChars="200"/>
        <w:jc w:val="left"/>
        <w:rPr>
          <w:rFonts w:ascii="黑体" w:hAnsi="宋体" w:eastAsia="黑体" w:cs="宋体"/>
          <w:bCs/>
          <w:color w:val="2F2F2F"/>
          <w:kern w:val="0"/>
          <w:sz w:val="24"/>
        </w:rPr>
      </w:pPr>
      <w:r>
        <w:rPr>
          <w:rFonts w:hint="eastAsia" w:ascii="黑体" w:hAnsi="宋体" w:eastAsia="黑体" w:cs="宋体"/>
          <w:bCs/>
          <w:color w:val="2F2F2F"/>
          <w:kern w:val="0"/>
          <w:sz w:val="24"/>
        </w:rPr>
        <w:t>一、办理理财产品的流程</w:t>
      </w:r>
    </w:p>
    <w:p>
      <w:pPr>
        <w:widowControl/>
        <w:ind w:firstLine="480" w:firstLineChars="200"/>
        <w:jc w:val="left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您除了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可通过代销机构购买信银理财理财产品外，也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可以通过信银理财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营业场所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、电子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渠道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等方式购买信银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理财理财产品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，在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信银理财购买理财产品的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基本流程如下：</w:t>
      </w:r>
    </w:p>
    <w:p>
      <w:pPr>
        <w:widowControl/>
        <w:ind w:firstLine="480" w:firstLineChars="200"/>
        <w:jc w:val="left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szCs w:val="21"/>
        </w:rPr>
        <w:drawing>
          <wp:inline distT="0" distB="0" distL="114300" distR="114300">
            <wp:extent cx="6263640" cy="518795"/>
            <wp:effectExtent l="0" t="0" r="381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480" w:firstLineChars="200"/>
        <w:jc w:val="left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说明：详细操作流程请见信银理财官方网站或通过客户服务热线（021-61979099）、营业场所、互联网网站（w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ww.citic-wealth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）咨询信银理财。</w:t>
      </w:r>
    </w:p>
    <w:p>
      <w:pPr>
        <w:widowControl/>
        <w:ind w:firstLine="482" w:firstLineChars="200"/>
        <w:jc w:val="left"/>
        <w:rPr>
          <w:rFonts w:ascii="楷体_GB2312" w:hAnsi="宋体" w:eastAsia="楷体_GB2312" w:cs="宋体"/>
          <w:b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/>
          <w:bCs/>
          <w:color w:val="2F2F2F"/>
          <w:kern w:val="0"/>
          <w:sz w:val="24"/>
        </w:rPr>
        <w:t>特别提示：为防止您的权益受到侵害，在购买理财过程中请您务必保管好自己的银行卡/账户密码、网银U盾等，切勿泄露或交给销售人员等任何其他人保管等，否则责任自负。</w:t>
      </w:r>
    </w:p>
    <w:p>
      <w:pPr>
        <w:widowControl/>
        <w:ind w:firstLine="482" w:firstLineChars="200"/>
        <w:jc w:val="left"/>
        <w:rPr>
          <w:rFonts w:ascii="楷体_GB2312" w:hAnsi="宋体" w:eastAsia="楷体_GB2312" w:cs="宋体"/>
          <w:b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/>
          <w:bCs/>
          <w:color w:val="2F2F2F"/>
          <w:kern w:val="0"/>
          <w:sz w:val="24"/>
        </w:rPr>
        <w:t>您在</w:t>
      </w:r>
      <w:r>
        <w:rPr>
          <w:rFonts w:ascii="楷体_GB2312" w:hAnsi="宋体" w:eastAsia="楷体_GB2312" w:cs="宋体"/>
          <w:b/>
          <w:bCs/>
          <w:color w:val="2F2F2F"/>
          <w:kern w:val="0"/>
          <w:sz w:val="24"/>
        </w:rPr>
        <w:t>代销机构购买</w:t>
      </w:r>
      <w:r>
        <w:rPr>
          <w:rFonts w:hint="eastAsia" w:ascii="楷体_GB2312" w:hAnsi="宋体" w:eastAsia="楷体_GB2312" w:cs="宋体"/>
          <w:b/>
          <w:bCs/>
          <w:color w:val="2F2F2F"/>
          <w:kern w:val="0"/>
          <w:sz w:val="24"/>
        </w:rPr>
        <w:t>信银</w:t>
      </w:r>
      <w:r>
        <w:rPr>
          <w:rFonts w:ascii="楷体_GB2312" w:hAnsi="宋体" w:eastAsia="楷体_GB2312" w:cs="宋体"/>
          <w:b/>
          <w:bCs/>
          <w:color w:val="2F2F2F"/>
          <w:kern w:val="0"/>
          <w:sz w:val="24"/>
        </w:rPr>
        <w:t>理财理财产品的，购买</w:t>
      </w:r>
      <w:r>
        <w:rPr>
          <w:rFonts w:hint="eastAsia" w:ascii="楷体_GB2312" w:hAnsi="宋体" w:eastAsia="楷体_GB2312" w:cs="宋体"/>
          <w:b/>
          <w:bCs/>
          <w:color w:val="2F2F2F"/>
          <w:kern w:val="0"/>
          <w:sz w:val="24"/>
        </w:rPr>
        <w:t>流程和</w:t>
      </w:r>
      <w:r>
        <w:rPr>
          <w:rFonts w:ascii="楷体_GB2312" w:hAnsi="宋体" w:eastAsia="楷体_GB2312" w:cs="宋体"/>
          <w:b/>
          <w:bCs/>
          <w:color w:val="2F2F2F"/>
          <w:kern w:val="0"/>
          <w:sz w:val="24"/>
        </w:rPr>
        <w:t>规则以代销机构</w:t>
      </w:r>
      <w:r>
        <w:rPr>
          <w:rFonts w:hint="eastAsia" w:ascii="楷体_GB2312" w:hAnsi="宋体" w:eastAsia="楷体_GB2312" w:cs="宋体"/>
          <w:b/>
          <w:bCs/>
          <w:color w:val="2F2F2F"/>
          <w:kern w:val="0"/>
          <w:sz w:val="24"/>
        </w:rPr>
        <w:t>的</w:t>
      </w:r>
      <w:r>
        <w:rPr>
          <w:rFonts w:ascii="楷体_GB2312" w:hAnsi="宋体" w:eastAsia="楷体_GB2312" w:cs="宋体"/>
          <w:b/>
          <w:bCs/>
          <w:color w:val="2F2F2F"/>
          <w:kern w:val="0"/>
          <w:sz w:val="24"/>
        </w:rPr>
        <w:t>要求为准。</w:t>
      </w:r>
    </w:p>
    <w:p>
      <w:pPr>
        <w:widowControl/>
        <w:ind w:firstLine="480" w:firstLineChars="200"/>
        <w:jc w:val="left"/>
        <w:rPr>
          <w:rFonts w:ascii="黑体" w:hAnsi="宋体" w:eastAsia="黑体" w:cs="宋体"/>
          <w:bCs/>
          <w:color w:val="2F2F2F"/>
          <w:kern w:val="0"/>
          <w:sz w:val="24"/>
        </w:rPr>
      </w:pPr>
      <w:r>
        <w:rPr>
          <w:rFonts w:hint="eastAsia" w:ascii="黑体" w:hAnsi="宋体" w:eastAsia="黑体" w:cs="宋体"/>
          <w:bCs/>
          <w:color w:val="2F2F2F"/>
          <w:kern w:val="0"/>
          <w:sz w:val="24"/>
        </w:rPr>
        <w:t>二、信银理财客户风险测评及产品风险评级介绍</w:t>
      </w:r>
    </w:p>
    <w:p>
      <w:pPr>
        <w:widowControl/>
        <w:ind w:firstLine="480" w:firstLineChars="200"/>
        <w:jc w:val="left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信银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理财的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客户风险测评使用《信银理财客户风险评估问卷》，通过回答客户财务状况、投资经验、投资风格、风险承受能力四大模块共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12道问题，以得出风险测评结果。</w:t>
      </w:r>
    </w:p>
    <w:p>
      <w:pPr>
        <w:widowControl/>
        <w:ind w:firstLine="480" w:firstLineChars="200"/>
        <w:jc w:val="left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客户在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信银理财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首次认购理财产品必须先进行风险测评，风险测评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结果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有效期为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1年。如超过1年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未再次进行风险测评或判断自身风险承受能力发生变化，应在信银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理财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电子渠道或营业场所重新进行风险测评。</w:t>
      </w:r>
    </w:p>
    <w:p>
      <w:pPr>
        <w:widowControl/>
        <w:ind w:firstLine="480" w:firstLineChars="200"/>
        <w:jc w:val="left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客户风险测评结果与产品风险评级的对应关系如下：</w:t>
      </w:r>
    </w:p>
    <w:tbl>
      <w:tblPr>
        <w:tblStyle w:val="7"/>
        <w:tblW w:w="482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4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/>
                <w:bCs/>
                <w:color w:val="2F2F2F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2F2F2F"/>
                <w:kern w:val="0"/>
                <w:sz w:val="24"/>
              </w:rPr>
              <w:t>产品风险等级</w:t>
            </w:r>
          </w:p>
        </w:tc>
        <w:tc>
          <w:tcPr>
            <w:tcW w:w="2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/>
                <w:bCs/>
                <w:color w:val="2F2F2F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2F2F2F"/>
                <w:kern w:val="0"/>
                <w:sz w:val="24"/>
              </w:rPr>
              <w:t>适合投资者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  <w:t>PR1</w:t>
            </w:r>
          </w:p>
        </w:tc>
        <w:tc>
          <w:tcPr>
            <w:tcW w:w="2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Cs/>
                <w:color w:val="2F2F2F"/>
                <w:kern w:val="0"/>
                <w:sz w:val="24"/>
              </w:rPr>
              <w:t>谨慎型及以上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  <w:t>PR2</w:t>
            </w:r>
          </w:p>
        </w:tc>
        <w:tc>
          <w:tcPr>
            <w:tcW w:w="2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Cs/>
                <w:color w:val="2F2F2F"/>
                <w:kern w:val="0"/>
                <w:sz w:val="24"/>
              </w:rPr>
              <w:t>稳健型及以上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  <w:t>PR3</w:t>
            </w:r>
          </w:p>
        </w:tc>
        <w:tc>
          <w:tcPr>
            <w:tcW w:w="2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Cs/>
                <w:color w:val="2F2F2F"/>
                <w:kern w:val="0"/>
                <w:sz w:val="24"/>
              </w:rPr>
              <w:t>平衡型及以上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  <w:t>PR4</w:t>
            </w:r>
          </w:p>
        </w:tc>
        <w:tc>
          <w:tcPr>
            <w:tcW w:w="2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Cs/>
                <w:color w:val="2F2F2F"/>
                <w:kern w:val="0"/>
                <w:sz w:val="24"/>
              </w:rPr>
              <w:t>进取型及以上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  <w:t>PR5</w:t>
            </w:r>
          </w:p>
        </w:tc>
        <w:tc>
          <w:tcPr>
            <w:tcW w:w="2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Cs/>
                <w:color w:val="2F2F2F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Cs/>
                <w:color w:val="2F2F2F"/>
                <w:kern w:val="0"/>
                <w:sz w:val="24"/>
              </w:rPr>
              <w:t>激进型及以上</w:t>
            </w:r>
          </w:p>
        </w:tc>
      </w:tr>
    </w:tbl>
    <w:p>
      <w:pPr>
        <w:widowControl/>
        <w:ind w:firstLine="480" w:firstLineChars="200"/>
        <w:jc w:val="left"/>
        <w:rPr>
          <w:rFonts w:ascii="黑体" w:hAnsi="宋体" w:eastAsia="黑体" w:cs="宋体"/>
          <w:bCs/>
          <w:color w:val="2F2F2F"/>
          <w:kern w:val="0"/>
          <w:sz w:val="24"/>
        </w:rPr>
      </w:pPr>
      <w:r>
        <w:rPr>
          <w:rFonts w:hint="eastAsia" w:ascii="黑体" w:hAnsi="宋体" w:eastAsia="黑体" w:cs="宋体"/>
          <w:bCs/>
          <w:color w:val="2F2F2F"/>
          <w:kern w:val="0"/>
          <w:sz w:val="24"/>
        </w:rPr>
        <w:t>您通过</w:t>
      </w:r>
      <w:r>
        <w:rPr>
          <w:rFonts w:ascii="黑体" w:hAnsi="宋体" w:eastAsia="黑体" w:cs="宋体"/>
          <w:bCs/>
          <w:color w:val="2F2F2F"/>
          <w:kern w:val="0"/>
          <w:sz w:val="24"/>
        </w:rPr>
        <w:t>代销机构购买信银理财产品的，</w:t>
      </w:r>
      <w:r>
        <w:rPr>
          <w:rFonts w:hint="eastAsia" w:ascii="黑体" w:hAnsi="宋体" w:eastAsia="黑体" w:cs="宋体"/>
          <w:bCs/>
          <w:color w:val="2F2F2F"/>
          <w:kern w:val="0"/>
          <w:sz w:val="24"/>
        </w:rPr>
        <w:t>客户</w:t>
      </w:r>
      <w:r>
        <w:rPr>
          <w:rFonts w:ascii="黑体" w:hAnsi="宋体" w:eastAsia="黑体" w:cs="宋体"/>
          <w:bCs/>
          <w:color w:val="2F2F2F"/>
          <w:kern w:val="0"/>
          <w:sz w:val="24"/>
        </w:rPr>
        <w:t>风险测评</w:t>
      </w:r>
      <w:r>
        <w:rPr>
          <w:rFonts w:hint="eastAsia" w:ascii="黑体" w:hAnsi="宋体" w:eastAsia="黑体" w:cs="宋体"/>
          <w:bCs/>
          <w:color w:val="2F2F2F"/>
          <w:kern w:val="0"/>
          <w:sz w:val="24"/>
        </w:rPr>
        <w:t>和产品</w:t>
      </w:r>
      <w:r>
        <w:rPr>
          <w:rFonts w:ascii="黑体" w:hAnsi="宋体" w:eastAsia="黑体" w:cs="宋体"/>
          <w:bCs/>
          <w:color w:val="2F2F2F"/>
          <w:kern w:val="0"/>
          <w:sz w:val="24"/>
        </w:rPr>
        <w:t>风险评级及对应关系等以代销机构</w:t>
      </w:r>
      <w:r>
        <w:rPr>
          <w:rFonts w:hint="eastAsia" w:ascii="黑体" w:hAnsi="宋体" w:eastAsia="黑体" w:cs="宋体"/>
          <w:bCs/>
          <w:color w:val="2F2F2F"/>
          <w:kern w:val="0"/>
          <w:sz w:val="24"/>
        </w:rPr>
        <w:t>公示</w:t>
      </w:r>
      <w:r>
        <w:rPr>
          <w:rFonts w:ascii="黑体" w:hAnsi="宋体" w:eastAsia="黑体" w:cs="宋体"/>
          <w:bCs/>
          <w:color w:val="2F2F2F"/>
          <w:kern w:val="0"/>
          <w:sz w:val="24"/>
        </w:rPr>
        <w:t>和要求的为准。</w:t>
      </w:r>
    </w:p>
    <w:p>
      <w:pPr>
        <w:widowControl/>
        <w:ind w:firstLine="480" w:firstLineChars="200"/>
        <w:jc w:val="left"/>
        <w:rPr>
          <w:rFonts w:ascii="黑体" w:hAnsi="宋体" w:eastAsia="黑体" w:cs="宋体"/>
          <w:bCs/>
          <w:color w:val="2F2F2F"/>
          <w:kern w:val="0"/>
          <w:sz w:val="24"/>
        </w:rPr>
      </w:pPr>
      <w:r>
        <w:rPr>
          <w:rFonts w:hint="eastAsia" w:ascii="黑体" w:hAnsi="宋体" w:eastAsia="黑体" w:cs="宋体"/>
          <w:bCs/>
          <w:color w:val="2F2F2F"/>
          <w:kern w:val="0"/>
          <w:sz w:val="24"/>
        </w:rPr>
        <w:t>三、理财信息披露</w:t>
      </w:r>
    </w:p>
    <w:p>
      <w:pPr>
        <w:widowControl/>
        <w:ind w:firstLine="480" w:firstLineChars="200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信银理财将根据不同的产品类别，在相应的理财产品说明书中明确说明该产品信息披露的平台、渠道、发布时间、频率等。一般来讲，信银理财网站【w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ww.citic-wealth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】是信银理财正式信息发布渠道，代销渠道指定信息披露平台等为辅助方式，投资者应定期通过包括信银理财、代销机构在内的各信息平台和渠道获知有关理财产品相关信息。</w:t>
      </w:r>
    </w:p>
    <w:p>
      <w:pPr>
        <w:widowControl/>
        <w:ind w:firstLine="480" w:firstLineChars="200"/>
        <w:jc w:val="left"/>
        <w:rPr>
          <w:rFonts w:ascii="黑体" w:hAnsi="宋体" w:eastAsia="黑体" w:cs="宋体"/>
          <w:bCs/>
          <w:color w:val="2F2F2F"/>
          <w:kern w:val="0"/>
          <w:sz w:val="24"/>
        </w:rPr>
      </w:pPr>
      <w:r>
        <w:rPr>
          <w:rFonts w:hint="eastAsia" w:ascii="黑体" w:hAnsi="宋体" w:eastAsia="黑体" w:cs="宋体"/>
          <w:bCs/>
          <w:color w:val="2F2F2F"/>
          <w:kern w:val="0"/>
          <w:sz w:val="24"/>
        </w:rPr>
        <w:t>四、客户咨询、</w:t>
      </w:r>
      <w:r>
        <w:rPr>
          <w:rFonts w:ascii="黑体" w:hAnsi="宋体" w:eastAsia="黑体" w:cs="宋体"/>
          <w:bCs/>
          <w:color w:val="2F2F2F"/>
          <w:kern w:val="0"/>
          <w:sz w:val="24"/>
        </w:rPr>
        <w:t>投诉</w:t>
      </w:r>
      <w:r>
        <w:rPr>
          <w:rFonts w:hint="eastAsia" w:ascii="黑体" w:hAnsi="宋体" w:eastAsia="黑体" w:cs="宋体"/>
          <w:bCs/>
          <w:color w:val="2F2F2F"/>
          <w:kern w:val="0"/>
          <w:sz w:val="24"/>
        </w:rPr>
        <w:t>渠道及信银理财联系方式</w:t>
      </w:r>
    </w:p>
    <w:p>
      <w:pPr>
        <w:spacing w:line="360" w:lineRule="auto"/>
        <w:ind w:firstLine="480" w:firstLineChars="200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针对理财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产品本身的问题，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信银理财个人理财业务客户投诉渠道包括但不限于：客户服务热线【021-61979099】、代销机构客户服务电话、代销机构营业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场所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、信银理财互联网网站【w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ww.citic-wealth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】、代销机构官方网站等。信银理财将安排专人及时收集个人理财业务客户投诉，并在收到客户投诉的第一时间内与客户取得联系，及时处理并进行反馈。客户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通过代销机构购买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信银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理财理财产品的，也可通过代销机构的投诉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和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咨询渠道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进行投诉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和咨询。</w:t>
      </w:r>
    </w:p>
    <w:p>
      <w:pPr>
        <w:spacing w:line="360" w:lineRule="auto"/>
        <w:ind w:firstLine="480" w:firstLineChars="200"/>
        <w:rPr>
          <w:rFonts w:ascii="楷体_GB2312" w:hAnsi="宋体" w:eastAsia="楷体_GB2312" w:cs="宋体"/>
          <w:bCs/>
          <w:color w:val="2F2F2F"/>
          <w:kern w:val="0"/>
          <w:sz w:val="24"/>
        </w:rPr>
      </w:pP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客户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在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产品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销售和购买过程中遇到的问题应联系代销机构进行咨询和投诉，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相关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渠道和方式以代销机构公布的为准。对于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上述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问题客户向信银理财直接咨询和投诉的，信银理财</w:t>
      </w:r>
      <w:r>
        <w:rPr>
          <w:rFonts w:hint="eastAsia" w:ascii="楷体_GB2312" w:hAnsi="宋体" w:eastAsia="楷体_GB2312" w:cs="宋体"/>
          <w:bCs/>
          <w:color w:val="2F2F2F"/>
          <w:kern w:val="0"/>
          <w:sz w:val="24"/>
        </w:rPr>
        <w:t>可能</w:t>
      </w:r>
      <w:r>
        <w:rPr>
          <w:rFonts w:ascii="楷体_GB2312" w:hAnsi="宋体" w:eastAsia="楷体_GB2312" w:cs="宋体"/>
          <w:bCs/>
          <w:color w:val="2F2F2F"/>
          <w:kern w:val="0"/>
          <w:sz w:val="24"/>
        </w:rPr>
        <w:t>视情况转交代销机构处理。</w:t>
      </w:r>
    </w:p>
    <w:p>
      <w:pPr>
        <w:widowControl/>
        <w:ind w:firstLine="480" w:firstLineChars="200"/>
        <w:jc w:val="left"/>
      </w:pPr>
    </w:p>
    <w:p/>
    <w:p>
      <w:pPr>
        <w:spacing w:line="300" w:lineRule="exact"/>
        <w:ind w:left="-2" w:leftChars="-1" w:right="36" w:rightChars="15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otype Corsiva">
    <w:altName w:val="Mongolian Baiti"/>
    <w:panose1 w:val="03010101010201010101"/>
    <w:charset w:val="00"/>
    <w:family w:val="script"/>
    <w:pitch w:val="default"/>
    <w:sig w:usb0="00000000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3557901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color w:val="000000" w:themeColor="text1"/>
        <w14:textFill>
          <w14:solidFill>
            <w14:schemeClr w14:val="tx1"/>
          </w14:solidFill>
        </w14:textFill>
      </w:rPr>
    </w:pPr>
    <w:r>
      <w:rPr>
        <w:rFonts w:hint="eastAsia"/>
      </w:rPr>
      <w:t>本产品</w:t>
    </w:r>
    <w:r>
      <w:t>风险评级为【</w:t>
    </w:r>
    <w:r>
      <w:rPr>
        <w:rFonts w:hint="eastAsia"/>
      </w:rPr>
      <w:t>PR2</w:t>
    </w:r>
    <w:r>
      <w:t>】</w:t>
    </w:r>
    <w:r>
      <w:rPr>
        <w:rFonts w:hint="eastAsia"/>
      </w:rPr>
      <w:t xml:space="preserve">       </w:t>
    </w:r>
    <w:r>
      <w:t xml:space="preserve"> </w:t>
    </w:r>
    <w:r>
      <w:rPr>
        <w:color w:val="000000" w:themeColor="text1"/>
        <w14:textFill>
          <w14:solidFill>
            <w14:schemeClr w14:val="tx1"/>
          </w14:solidFill>
        </w14:textFill>
      </w:rPr>
      <w:t xml:space="preserve">                           理财非存款、产品有风险、投资须谨慎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dit="trackedChanges" w:enforcement="0"/>
  <w:defaultTabStop w:val="420"/>
  <w:drawingGridHorizontalSpacing w:val="0"/>
  <w:drawingGridVerticalSpacing w:val="0"/>
  <w:noPunctuationKerning w:val="1"/>
  <w:characterSpacingControl w:val="doNotCompress"/>
  <w:doNotValidateAgainstSchema/>
  <w:doNotDemarcateInvalidXml/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lmYjU4NTM2NDZkOGZhNTg2MmNmMDQyZGE2MzhlMzAifQ=="/>
  </w:docVars>
  <w:rsids>
    <w:rsidRoot w:val="00172A27"/>
    <w:rsid w:val="000006C6"/>
    <w:rsid w:val="00001DC5"/>
    <w:rsid w:val="00003EA4"/>
    <w:rsid w:val="000126B2"/>
    <w:rsid w:val="00013F5B"/>
    <w:rsid w:val="000147D6"/>
    <w:rsid w:val="00014B73"/>
    <w:rsid w:val="000160B3"/>
    <w:rsid w:val="000176D5"/>
    <w:rsid w:val="000205B3"/>
    <w:rsid w:val="00021FBC"/>
    <w:rsid w:val="00022378"/>
    <w:rsid w:val="0002493B"/>
    <w:rsid w:val="0002679A"/>
    <w:rsid w:val="00035D4E"/>
    <w:rsid w:val="000363A0"/>
    <w:rsid w:val="00036A9C"/>
    <w:rsid w:val="00041092"/>
    <w:rsid w:val="000426F9"/>
    <w:rsid w:val="00043AA8"/>
    <w:rsid w:val="0004443C"/>
    <w:rsid w:val="00044D26"/>
    <w:rsid w:val="000476D8"/>
    <w:rsid w:val="00047F09"/>
    <w:rsid w:val="000548A7"/>
    <w:rsid w:val="00057AF1"/>
    <w:rsid w:val="00060380"/>
    <w:rsid w:val="0006039E"/>
    <w:rsid w:val="00060CF8"/>
    <w:rsid w:val="00062C0F"/>
    <w:rsid w:val="00063F74"/>
    <w:rsid w:val="000642FF"/>
    <w:rsid w:val="00064EC6"/>
    <w:rsid w:val="00066399"/>
    <w:rsid w:val="000728B5"/>
    <w:rsid w:val="00074951"/>
    <w:rsid w:val="000757CB"/>
    <w:rsid w:val="00075B73"/>
    <w:rsid w:val="00075C94"/>
    <w:rsid w:val="000769ED"/>
    <w:rsid w:val="00076E5E"/>
    <w:rsid w:val="000810BD"/>
    <w:rsid w:val="00084A58"/>
    <w:rsid w:val="00084DE7"/>
    <w:rsid w:val="00085A4A"/>
    <w:rsid w:val="0008615C"/>
    <w:rsid w:val="0008737E"/>
    <w:rsid w:val="00087EF3"/>
    <w:rsid w:val="00090A7C"/>
    <w:rsid w:val="000912BC"/>
    <w:rsid w:val="0009250D"/>
    <w:rsid w:val="00093A85"/>
    <w:rsid w:val="0009479A"/>
    <w:rsid w:val="00096806"/>
    <w:rsid w:val="00097BE3"/>
    <w:rsid w:val="000A044F"/>
    <w:rsid w:val="000A0C47"/>
    <w:rsid w:val="000A5B13"/>
    <w:rsid w:val="000B0124"/>
    <w:rsid w:val="000B0A2B"/>
    <w:rsid w:val="000B5CA2"/>
    <w:rsid w:val="000C04B7"/>
    <w:rsid w:val="000C0E92"/>
    <w:rsid w:val="000C19F3"/>
    <w:rsid w:val="000C2603"/>
    <w:rsid w:val="000C283C"/>
    <w:rsid w:val="000C33FA"/>
    <w:rsid w:val="000C3AF8"/>
    <w:rsid w:val="000C46EC"/>
    <w:rsid w:val="000C4C04"/>
    <w:rsid w:val="000D0148"/>
    <w:rsid w:val="000D0828"/>
    <w:rsid w:val="000D4C7B"/>
    <w:rsid w:val="000D56E3"/>
    <w:rsid w:val="000D5B79"/>
    <w:rsid w:val="000E10B6"/>
    <w:rsid w:val="000E3008"/>
    <w:rsid w:val="000E51AE"/>
    <w:rsid w:val="000E60E0"/>
    <w:rsid w:val="000E6792"/>
    <w:rsid w:val="000F26F4"/>
    <w:rsid w:val="000F3ADF"/>
    <w:rsid w:val="000F3DBB"/>
    <w:rsid w:val="000F599D"/>
    <w:rsid w:val="000F798A"/>
    <w:rsid w:val="00100684"/>
    <w:rsid w:val="0010147F"/>
    <w:rsid w:val="00102685"/>
    <w:rsid w:val="00103F63"/>
    <w:rsid w:val="00105A87"/>
    <w:rsid w:val="001077F3"/>
    <w:rsid w:val="00110BCF"/>
    <w:rsid w:val="00111E93"/>
    <w:rsid w:val="00115683"/>
    <w:rsid w:val="00115D73"/>
    <w:rsid w:val="0011687B"/>
    <w:rsid w:val="00116B6A"/>
    <w:rsid w:val="001217AE"/>
    <w:rsid w:val="00123C90"/>
    <w:rsid w:val="00124FBD"/>
    <w:rsid w:val="001260B9"/>
    <w:rsid w:val="001266EA"/>
    <w:rsid w:val="00126DB3"/>
    <w:rsid w:val="00130901"/>
    <w:rsid w:val="00132E82"/>
    <w:rsid w:val="00133898"/>
    <w:rsid w:val="0013467D"/>
    <w:rsid w:val="001353DA"/>
    <w:rsid w:val="00135B6F"/>
    <w:rsid w:val="00136105"/>
    <w:rsid w:val="001370DF"/>
    <w:rsid w:val="00137900"/>
    <w:rsid w:val="0014090C"/>
    <w:rsid w:val="00140AC1"/>
    <w:rsid w:val="00143C37"/>
    <w:rsid w:val="00144519"/>
    <w:rsid w:val="001452EC"/>
    <w:rsid w:val="00146526"/>
    <w:rsid w:val="00151D12"/>
    <w:rsid w:val="001521EB"/>
    <w:rsid w:val="001549C8"/>
    <w:rsid w:val="001568FE"/>
    <w:rsid w:val="00156DA1"/>
    <w:rsid w:val="00160DDA"/>
    <w:rsid w:val="001615E1"/>
    <w:rsid w:val="00163B22"/>
    <w:rsid w:val="001641D5"/>
    <w:rsid w:val="00164277"/>
    <w:rsid w:val="001649F3"/>
    <w:rsid w:val="00172A27"/>
    <w:rsid w:val="00182FBF"/>
    <w:rsid w:val="00184D24"/>
    <w:rsid w:val="00184DC8"/>
    <w:rsid w:val="001872EE"/>
    <w:rsid w:val="00190A62"/>
    <w:rsid w:val="00191496"/>
    <w:rsid w:val="00192A4D"/>
    <w:rsid w:val="001930F7"/>
    <w:rsid w:val="00193302"/>
    <w:rsid w:val="00194DE7"/>
    <w:rsid w:val="00197081"/>
    <w:rsid w:val="001A0588"/>
    <w:rsid w:val="001A0FD7"/>
    <w:rsid w:val="001A218A"/>
    <w:rsid w:val="001A21E1"/>
    <w:rsid w:val="001A2FFC"/>
    <w:rsid w:val="001A30BE"/>
    <w:rsid w:val="001A36D3"/>
    <w:rsid w:val="001A4F0C"/>
    <w:rsid w:val="001A5423"/>
    <w:rsid w:val="001A5D23"/>
    <w:rsid w:val="001A720A"/>
    <w:rsid w:val="001A7BE3"/>
    <w:rsid w:val="001B01FF"/>
    <w:rsid w:val="001B1495"/>
    <w:rsid w:val="001B1E52"/>
    <w:rsid w:val="001B35C0"/>
    <w:rsid w:val="001B50D8"/>
    <w:rsid w:val="001B5750"/>
    <w:rsid w:val="001B6C94"/>
    <w:rsid w:val="001C0F22"/>
    <w:rsid w:val="001C19C0"/>
    <w:rsid w:val="001C2A78"/>
    <w:rsid w:val="001C3D71"/>
    <w:rsid w:val="001C4FAF"/>
    <w:rsid w:val="001C5D78"/>
    <w:rsid w:val="001C72BC"/>
    <w:rsid w:val="001C7B49"/>
    <w:rsid w:val="001D6A97"/>
    <w:rsid w:val="001E1C60"/>
    <w:rsid w:val="001E6503"/>
    <w:rsid w:val="001F11E0"/>
    <w:rsid w:val="001F6640"/>
    <w:rsid w:val="001F6AE8"/>
    <w:rsid w:val="001F74BC"/>
    <w:rsid w:val="001F7597"/>
    <w:rsid w:val="0020022B"/>
    <w:rsid w:val="0020078B"/>
    <w:rsid w:val="00202368"/>
    <w:rsid w:val="0020290B"/>
    <w:rsid w:val="00203755"/>
    <w:rsid w:val="00203EAD"/>
    <w:rsid w:val="0020493D"/>
    <w:rsid w:val="00205FFC"/>
    <w:rsid w:val="002068C1"/>
    <w:rsid w:val="002156E9"/>
    <w:rsid w:val="00216B6D"/>
    <w:rsid w:val="00217805"/>
    <w:rsid w:val="0022225E"/>
    <w:rsid w:val="002255EE"/>
    <w:rsid w:val="00225C4A"/>
    <w:rsid w:val="00225E0B"/>
    <w:rsid w:val="002263A2"/>
    <w:rsid w:val="00226CD2"/>
    <w:rsid w:val="00226ED1"/>
    <w:rsid w:val="002270F3"/>
    <w:rsid w:val="00227275"/>
    <w:rsid w:val="002276DD"/>
    <w:rsid w:val="00231806"/>
    <w:rsid w:val="00233296"/>
    <w:rsid w:val="00233A76"/>
    <w:rsid w:val="00233AC8"/>
    <w:rsid w:val="00236C74"/>
    <w:rsid w:val="002370EE"/>
    <w:rsid w:val="00237EA1"/>
    <w:rsid w:val="00241C9E"/>
    <w:rsid w:val="00245336"/>
    <w:rsid w:val="002465F7"/>
    <w:rsid w:val="00251071"/>
    <w:rsid w:val="00253360"/>
    <w:rsid w:val="0025354B"/>
    <w:rsid w:val="002551F1"/>
    <w:rsid w:val="00255F6F"/>
    <w:rsid w:val="002569E8"/>
    <w:rsid w:val="00263626"/>
    <w:rsid w:val="00266F6D"/>
    <w:rsid w:val="00274D10"/>
    <w:rsid w:val="00274DDE"/>
    <w:rsid w:val="002754B9"/>
    <w:rsid w:val="002761EB"/>
    <w:rsid w:val="002808D0"/>
    <w:rsid w:val="002854FA"/>
    <w:rsid w:val="00285B72"/>
    <w:rsid w:val="00286E14"/>
    <w:rsid w:val="00287256"/>
    <w:rsid w:val="00292667"/>
    <w:rsid w:val="00294941"/>
    <w:rsid w:val="00295A54"/>
    <w:rsid w:val="0029600B"/>
    <w:rsid w:val="00296760"/>
    <w:rsid w:val="002A0B7C"/>
    <w:rsid w:val="002A0DE8"/>
    <w:rsid w:val="002A101B"/>
    <w:rsid w:val="002A118E"/>
    <w:rsid w:val="002A1446"/>
    <w:rsid w:val="002A19D9"/>
    <w:rsid w:val="002A284E"/>
    <w:rsid w:val="002A37AD"/>
    <w:rsid w:val="002A38E0"/>
    <w:rsid w:val="002A448B"/>
    <w:rsid w:val="002A5E24"/>
    <w:rsid w:val="002A6FFD"/>
    <w:rsid w:val="002B0D61"/>
    <w:rsid w:val="002B195C"/>
    <w:rsid w:val="002B53E3"/>
    <w:rsid w:val="002B68A0"/>
    <w:rsid w:val="002B7859"/>
    <w:rsid w:val="002B7874"/>
    <w:rsid w:val="002C07C8"/>
    <w:rsid w:val="002D1482"/>
    <w:rsid w:val="002D3636"/>
    <w:rsid w:val="002D38B7"/>
    <w:rsid w:val="002D68A1"/>
    <w:rsid w:val="002D6DF8"/>
    <w:rsid w:val="002D6E0E"/>
    <w:rsid w:val="002D7249"/>
    <w:rsid w:val="002E4E91"/>
    <w:rsid w:val="002E5746"/>
    <w:rsid w:val="002E64C4"/>
    <w:rsid w:val="002F05EE"/>
    <w:rsid w:val="002F0E3A"/>
    <w:rsid w:val="002F0F28"/>
    <w:rsid w:val="002F14A9"/>
    <w:rsid w:val="002F265B"/>
    <w:rsid w:val="002F388D"/>
    <w:rsid w:val="00310EC2"/>
    <w:rsid w:val="0031174F"/>
    <w:rsid w:val="00311784"/>
    <w:rsid w:val="0031212B"/>
    <w:rsid w:val="00312710"/>
    <w:rsid w:val="00312A2B"/>
    <w:rsid w:val="003133C9"/>
    <w:rsid w:val="0031689B"/>
    <w:rsid w:val="00316DEC"/>
    <w:rsid w:val="003175C8"/>
    <w:rsid w:val="0032176E"/>
    <w:rsid w:val="00321CAD"/>
    <w:rsid w:val="00322939"/>
    <w:rsid w:val="00326CE4"/>
    <w:rsid w:val="003307DC"/>
    <w:rsid w:val="003313E2"/>
    <w:rsid w:val="00332EB9"/>
    <w:rsid w:val="00335B1F"/>
    <w:rsid w:val="003413CC"/>
    <w:rsid w:val="003421C1"/>
    <w:rsid w:val="003452C4"/>
    <w:rsid w:val="00345530"/>
    <w:rsid w:val="003460A3"/>
    <w:rsid w:val="00346433"/>
    <w:rsid w:val="003576A4"/>
    <w:rsid w:val="003600CB"/>
    <w:rsid w:val="0036094B"/>
    <w:rsid w:val="00362735"/>
    <w:rsid w:val="0036563E"/>
    <w:rsid w:val="0036565F"/>
    <w:rsid w:val="00365828"/>
    <w:rsid w:val="00366351"/>
    <w:rsid w:val="00366D41"/>
    <w:rsid w:val="00370AD9"/>
    <w:rsid w:val="00370BE5"/>
    <w:rsid w:val="003722EF"/>
    <w:rsid w:val="003731B4"/>
    <w:rsid w:val="00377004"/>
    <w:rsid w:val="0037708C"/>
    <w:rsid w:val="00380548"/>
    <w:rsid w:val="00381BBC"/>
    <w:rsid w:val="00382F22"/>
    <w:rsid w:val="0038563B"/>
    <w:rsid w:val="003903BF"/>
    <w:rsid w:val="0039091A"/>
    <w:rsid w:val="00390CFD"/>
    <w:rsid w:val="00392188"/>
    <w:rsid w:val="0039559D"/>
    <w:rsid w:val="003971DB"/>
    <w:rsid w:val="00397E61"/>
    <w:rsid w:val="003A0843"/>
    <w:rsid w:val="003A1BD8"/>
    <w:rsid w:val="003A4B48"/>
    <w:rsid w:val="003A5529"/>
    <w:rsid w:val="003B3842"/>
    <w:rsid w:val="003B4081"/>
    <w:rsid w:val="003B4DB7"/>
    <w:rsid w:val="003B5CB9"/>
    <w:rsid w:val="003B756C"/>
    <w:rsid w:val="003B7CAE"/>
    <w:rsid w:val="003C61BE"/>
    <w:rsid w:val="003C727B"/>
    <w:rsid w:val="003C77EF"/>
    <w:rsid w:val="003C7AEF"/>
    <w:rsid w:val="003D1B3B"/>
    <w:rsid w:val="003D1E1D"/>
    <w:rsid w:val="003D31FA"/>
    <w:rsid w:val="003D5980"/>
    <w:rsid w:val="003D6E7F"/>
    <w:rsid w:val="003E231B"/>
    <w:rsid w:val="003E2E0B"/>
    <w:rsid w:val="003E53B4"/>
    <w:rsid w:val="003E547A"/>
    <w:rsid w:val="003E6901"/>
    <w:rsid w:val="003F2084"/>
    <w:rsid w:val="003F3C37"/>
    <w:rsid w:val="003F5982"/>
    <w:rsid w:val="003F5CC9"/>
    <w:rsid w:val="003F7F7C"/>
    <w:rsid w:val="0040426A"/>
    <w:rsid w:val="00404732"/>
    <w:rsid w:val="004056EF"/>
    <w:rsid w:val="004057B9"/>
    <w:rsid w:val="00406048"/>
    <w:rsid w:val="00410409"/>
    <w:rsid w:val="00410AD6"/>
    <w:rsid w:val="0041223C"/>
    <w:rsid w:val="00413B11"/>
    <w:rsid w:val="0041446D"/>
    <w:rsid w:val="00414D0A"/>
    <w:rsid w:val="0041523E"/>
    <w:rsid w:val="00415393"/>
    <w:rsid w:val="00415D0E"/>
    <w:rsid w:val="00420285"/>
    <w:rsid w:val="004202B4"/>
    <w:rsid w:val="004205C0"/>
    <w:rsid w:val="004210C6"/>
    <w:rsid w:val="004243EB"/>
    <w:rsid w:val="00426118"/>
    <w:rsid w:val="00426C15"/>
    <w:rsid w:val="00426ED5"/>
    <w:rsid w:val="00433028"/>
    <w:rsid w:val="00436006"/>
    <w:rsid w:val="00436EE0"/>
    <w:rsid w:val="00441E3A"/>
    <w:rsid w:val="004468BE"/>
    <w:rsid w:val="00447345"/>
    <w:rsid w:val="00450A36"/>
    <w:rsid w:val="00451A81"/>
    <w:rsid w:val="0045444C"/>
    <w:rsid w:val="0045695C"/>
    <w:rsid w:val="004600AE"/>
    <w:rsid w:val="00463F1F"/>
    <w:rsid w:val="00464C78"/>
    <w:rsid w:val="00465DE6"/>
    <w:rsid w:val="00466412"/>
    <w:rsid w:val="0047057B"/>
    <w:rsid w:val="00470FB6"/>
    <w:rsid w:val="00470FDE"/>
    <w:rsid w:val="0047199F"/>
    <w:rsid w:val="0047482C"/>
    <w:rsid w:val="004755EA"/>
    <w:rsid w:val="00475662"/>
    <w:rsid w:val="00475C7B"/>
    <w:rsid w:val="004801D7"/>
    <w:rsid w:val="00480C2E"/>
    <w:rsid w:val="00481F39"/>
    <w:rsid w:val="0048246F"/>
    <w:rsid w:val="004919C6"/>
    <w:rsid w:val="00491CAE"/>
    <w:rsid w:val="004933E0"/>
    <w:rsid w:val="00493FBA"/>
    <w:rsid w:val="00494AB2"/>
    <w:rsid w:val="0049560E"/>
    <w:rsid w:val="00495FB0"/>
    <w:rsid w:val="00497A0F"/>
    <w:rsid w:val="004A0105"/>
    <w:rsid w:val="004A7220"/>
    <w:rsid w:val="004A73A9"/>
    <w:rsid w:val="004B0F38"/>
    <w:rsid w:val="004B3E7F"/>
    <w:rsid w:val="004B4881"/>
    <w:rsid w:val="004B4E0C"/>
    <w:rsid w:val="004B58D2"/>
    <w:rsid w:val="004B7645"/>
    <w:rsid w:val="004C0143"/>
    <w:rsid w:val="004C1CEF"/>
    <w:rsid w:val="004C292A"/>
    <w:rsid w:val="004C3474"/>
    <w:rsid w:val="004C46A4"/>
    <w:rsid w:val="004C49DC"/>
    <w:rsid w:val="004C7FE9"/>
    <w:rsid w:val="004D0C12"/>
    <w:rsid w:val="004D1573"/>
    <w:rsid w:val="004D1578"/>
    <w:rsid w:val="004D1B31"/>
    <w:rsid w:val="004D3168"/>
    <w:rsid w:val="004D3982"/>
    <w:rsid w:val="004D440D"/>
    <w:rsid w:val="004D49E8"/>
    <w:rsid w:val="004D4C24"/>
    <w:rsid w:val="004E2B94"/>
    <w:rsid w:val="004E35E3"/>
    <w:rsid w:val="004E3690"/>
    <w:rsid w:val="004E3FA9"/>
    <w:rsid w:val="004E402F"/>
    <w:rsid w:val="004E418B"/>
    <w:rsid w:val="004E7622"/>
    <w:rsid w:val="004E7E59"/>
    <w:rsid w:val="004F1628"/>
    <w:rsid w:val="004F1681"/>
    <w:rsid w:val="004F25B4"/>
    <w:rsid w:val="004F47CE"/>
    <w:rsid w:val="004F6A80"/>
    <w:rsid w:val="00504CE9"/>
    <w:rsid w:val="0050603A"/>
    <w:rsid w:val="0050607E"/>
    <w:rsid w:val="00506276"/>
    <w:rsid w:val="005069E4"/>
    <w:rsid w:val="005107F4"/>
    <w:rsid w:val="00510B6F"/>
    <w:rsid w:val="005127D4"/>
    <w:rsid w:val="00517930"/>
    <w:rsid w:val="005204CE"/>
    <w:rsid w:val="005218CD"/>
    <w:rsid w:val="005221AA"/>
    <w:rsid w:val="005237D3"/>
    <w:rsid w:val="005251A7"/>
    <w:rsid w:val="00525CB4"/>
    <w:rsid w:val="00527BAE"/>
    <w:rsid w:val="00532010"/>
    <w:rsid w:val="0053426C"/>
    <w:rsid w:val="00536422"/>
    <w:rsid w:val="0054149F"/>
    <w:rsid w:val="00542AFB"/>
    <w:rsid w:val="00542BD1"/>
    <w:rsid w:val="0054435B"/>
    <w:rsid w:val="0054504E"/>
    <w:rsid w:val="00545208"/>
    <w:rsid w:val="00546441"/>
    <w:rsid w:val="00557038"/>
    <w:rsid w:val="005645C5"/>
    <w:rsid w:val="00566105"/>
    <w:rsid w:val="00567836"/>
    <w:rsid w:val="005738FF"/>
    <w:rsid w:val="005744F2"/>
    <w:rsid w:val="005755E0"/>
    <w:rsid w:val="005769C1"/>
    <w:rsid w:val="00580A61"/>
    <w:rsid w:val="00580CAC"/>
    <w:rsid w:val="00581C84"/>
    <w:rsid w:val="00582D53"/>
    <w:rsid w:val="0058579C"/>
    <w:rsid w:val="005865C3"/>
    <w:rsid w:val="00587E1F"/>
    <w:rsid w:val="00592959"/>
    <w:rsid w:val="00592F42"/>
    <w:rsid w:val="0059646B"/>
    <w:rsid w:val="0059707D"/>
    <w:rsid w:val="0059788F"/>
    <w:rsid w:val="00597DBA"/>
    <w:rsid w:val="005A0326"/>
    <w:rsid w:val="005A099D"/>
    <w:rsid w:val="005A20DA"/>
    <w:rsid w:val="005A3C8F"/>
    <w:rsid w:val="005A4A89"/>
    <w:rsid w:val="005A5733"/>
    <w:rsid w:val="005A5EC0"/>
    <w:rsid w:val="005B0BE3"/>
    <w:rsid w:val="005B26C0"/>
    <w:rsid w:val="005B2BD9"/>
    <w:rsid w:val="005B2FCA"/>
    <w:rsid w:val="005B4B89"/>
    <w:rsid w:val="005B4D6F"/>
    <w:rsid w:val="005B69F9"/>
    <w:rsid w:val="005C1012"/>
    <w:rsid w:val="005C26A1"/>
    <w:rsid w:val="005C2BE9"/>
    <w:rsid w:val="005C739D"/>
    <w:rsid w:val="005D0386"/>
    <w:rsid w:val="005D2357"/>
    <w:rsid w:val="005D25FF"/>
    <w:rsid w:val="005D3505"/>
    <w:rsid w:val="005D3D54"/>
    <w:rsid w:val="005D45A1"/>
    <w:rsid w:val="005D58BE"/>
    <w:rsid w:val="005E0A11"/>
    <w:rsid w:val="005E1B40"/>
    <w:rsid w:val="005E4210"/>
    <w:rsid w:val="005E6D34"/>
    <w:rsid w:val="005F076E"/>
    <w:rsid w:val="005F16A2"/>
    <w:rsid w:val="005F24E9"/>
    <w:rsid w:val="005F369A"/>
    <w:rsid w:val="005F5F1C"/>
    <w:rsid w:val="005F6C1A"/>
    <w:rsid w:val="006065AF"/>
    <w:rsid w:val="006069AD"/>
    <w:rsid w:val="00606F08"/>
    <w:rsid w:val="00607679"/>
    <w:rsid w:val="00611B92"/>
    <w:rsid w:val="00614825"/>
    <w:rsid w:val="006218A6"/>
    <w:rsid w:val="006223DC"/>
    <w:rsid w:val="006229A2"/>
    <w:rsid w:val="00624BDC"/>
    <w:rsid w:val="0062630B"/>
    <w:rsid w:val="00626BED"/>
    <w:rsid w:val="006320C1"/>
    <w:rsid w:val="0063231F"/>
    <w:rsid w:val="006349EA"/>
    <w:rsid w:val="006368D3"/>
    <w:rsid w:val="00637451"/>
    <w:rsid w:val="00637A0A"/>
    <w:rsid w:val="00640235"/>
    <w:rsid w:val="00641240"/>
    <w:rsid w:val="00645222"/>
    <w:rsid w:val="006509E5"/>
    <w:rsid w:val="00651DB2"/>
    <w:rsid w:val="0065398F"/>
    <w:rsid w:val="0065475E"/>
    <w:rsid w:val="00656464"/>
    <w:rsid w:val="0065724F"/>
    <w:rsid w:val="0066017F"/>
    <w:rsid w:val="00661CF7"/>
    <w:rsid w:val="006627C0"/>
    <w:rsid w:val="00664F25"/>
    <w:rsid w:val="0066536D"/>
    <w:rsid w:val="00665606"/>
    <w:rsid w:val="00666C5E"/>
    <w:rsid w:val="00670BB6"/>
    <w:rsid w:val="006745BC"/>
    <w:rsid w:val="006804CB"/>
    <w:rsid w:val="00680BF4"/>
    <w:rsid w:val="00682617"/>
    <w:rsid w:val="00683ADB"/>
    <w:rsid w:val="0069257C"/>
    <w:rsid w:val="00692C48"/>
    <w:rsid w:val="0069708B"/>
    <w:rsid w:val="006975BC"/>
    <w:rsid w:val="006976C9"/>
    <w:rsid w:val="006A0C97"/>
    <w:rsid w:val="006A19F9"/>
    <w:rsid w:val="006A3FF4"/>
    <w:rsid w:val="006B41B5"/>
    <w:rsid w:val="006B6EEE"/>
    <w:rsid w:val="006C0090"/>
    <w:rsid w:val="006C0806"/>
    <w:rsid w:val="006C284C"/>
    <w:rsid w:val="006C4FBC"/>
    <w:rsid w:val="006C5D6D"/>
    <w:rsid w:val="006C69F8"/>
    <w:rsid w:val="006D0DEA"/>
    <w:rsid w:val="006D380D"/>
    <w:rsid w:val="006D4480"/>
    <w:rsid w:val="006D621E"/>
    <w:rsid w:val="006D7DF5"/>
    <w:rsid w:val="006E0C09"/>
    <w:rsid w:val="006E0F1E"/>
    <w:rsid w:val="006E10CF"/>
    <w:rsid w:val="006E2EF4"/>
    <w:rsid w:val="006E308C"/>
    <w:rsid w:val="006E30F2"/>
    <w:rsid w:val="006E3116"/>
    <w:rsid w:val="006E43E5"/>
    <w:rsid w:val="006E4D8B"/>
    <w:rsid w:val="006E5D81"/>
    <w:rsid w:val="006E670C"/>
    <w:rsid w:val="006E6B5B"/>
    <w:rsid w:val="006F04C3"/>
    <w:rsid w:val="006F166D"/>
    <w:rsid w:val="006F7210"/>
    <w:rsid w:val="00700F6D"/>
    <w:rsid w:val="00701C15"/>
    <w:rsid w:val="0070415D"/>
    <w:rsid w:val="0070491B"/>
    <w:rsid w:val="00714057"/>
    <w:rsid w:val="007146CC"/>
    <w:rsid w:val="007160F3"/>
    <w:rsid w:val="00716F0D"/>
    <w:rsid w:val="00720264"/>
    <w:rsid w:val="0072328E"/>
    <w:rsid w:val="00724409"/>
    <w:rsid w:val="00725E51"/>
    <w:rsid w:val="00726156"/>
    <w:rsid w:val="00726E22"/>
    <w:rsid w:val="007277A7"/>
    <w:rsid w:val="007279E5"/>
    <w:rsid w:val="0073059C"/>
    <w:rsid w:val="007309BF"/>
    <w:rsid w:val="00733CAE"/>
    <w:rsid w:val="007341D7"/>
    <w:rsid w:val="00742D4B"/>
    <w:rsid w:val="007439E8"/>
    <w:rsid w:val="00744316"/>
    <w:rsid w:val="00745A82"/>
    <w:rsid w:val="00747A12"/>
    <w:rsid w:val="007500A6"/>
    <w:rsid w:val="00753114"/>
    <w:rsid w:val="007535A2"/>
    <w:rsid w:val="00755E0B"/>
    <w:rsid w:val="007567CA"/>
    <w:rsid w:val="00762150"/>
    <w:rsid w:val="007621EB"/>
    <w:rsid w:val="00762E9A"/>
    <w:rsid w:val="0077104A"/>
    <w:rsid w:val="0077131D"/>
    <w:rsid w:val="0077204B"/>
    <w:rsid w:val="00772F06"/>
    <w:rsid w:val="007737E0"/>
    <w:rsid w:val="00773EF6"/>
    <w:rsid w:val="00774627"/>
    <w:rsid w:val="007767C3"/>
    <w:rsid w:val="007769A3"/>
    <w:rsid w:val="007808F5"/>
    <w:rsid w:val="00782961"/>
    <w:rsid w:val="00783654"/>
    <w:rsid w:val="0078380F"/>
    <w:rsid w:val="0079138E"/>
    <w:rsid w:val="007929F7"/>
    <w:rsid w:val="00794E71"/>
    <w:rsid w:val="007966BE"/>
    <w:rsid w:val="007A1863"/>
    <w:rsid w:val="007A4008"/>
    <w:rsid w:val="007A69A9"/>
    <w:rsid w:val="007B0FB2"/>
    <w:rsid w:val="007B16F7"/>
    <w:rsid w:val="007B32F3"/>
    <w:rsid w:val="007B3F5E"/>
    <w:rsid w:val="007B65A1"/>
    <w:rsid w:val="007B7D9D"/>
    <w:rsid w:val="007C1FD4"/>
    <w:rsid w:val="007C2C0B"/>
    <w:rsid w:val="007C2FC3"/>
    <w:rsid w:val="007C3B98"/>
    <w:rsid w:val="007C4338"/>
    <w:rsid w:val="007C638C"/>
    <w:rsid w:val="007C7112"/>
    <w:rsid w:val="007D2424"/>
    <w:rsid w:val="007D2AF2"/>
    <w:rsid w:val="007D3041"/>
    <w:rsid w:val="007D40F8"/>
    <w:rsid w:val="007D7593"/>
    <w:rsid w:val="007E0CA6"/>
    <w:rsid w:val="007E0D14"/>
    <w:rsid w:val="007E250D"/>
    <w:rsid w:val="007E5BE1"/>
    <w:rsid w:val="007E6F1E"/>
    <w:rsid w:val="007E7B54"/>
    <w:rsid w:val="007F0662"/>
    <w:rsid w:val="007F08EA"/>
    <w:rsid w:val="007F52AA"/>
    <w:rsid w:val="007F7265"/>
    <w:rsid w:val="008001C4"/>
    <w:rsid w:val="00800C45"/>
    <w:rsid w:val="00801AA5"/>
    <w:rsid w:val="00803588"/>
    <w:rsid w:val="00803B53"/>
    <w:rsid w:val="0080455A"/>
    <w:rsid w:val="008069CD"/>
    <w:rsid w:val="00807588"/>
    <w:rsid w:val="00810BD4"/>
    <w:rsid w:val="00812070"/>
    <w:rsid w:val="00815CD7"/>
    <w:rsid w:val="00815CE5"/>
    <w:rsid w:val="00816DF3"/>
    <w:rsid w:val="00821110"/>
    <w:rsid w:val="00822EB0"/>
    <w:rsid w:val="0082485C"/>
    <w:rsid w:val="008276D5"/>
    <w:rsid w:val="00827EBC"/>
    <w:rsid w:val="0083053C"/>
    <w:rsid w:val="008328C6"/>
    <w:rsid w:val="008342FE"/>
    <w:rsid w:val="0083530F"/>
    <w:rsid w:val="008355FC"/>
    <w:rsid w:val="008357D1"/>
    <w:rsid w:val="00836406"/>
    <w:rsid w:val="00836417"/>
    <w:rsid w:val="00836C6F"/>
    <w:rsid w:val="00837AA0"/>
    <w:rsid w:val="00842495"/>
    <w:rsid w:val="00842EBF"/>
    <w:rsid w:val="00847DFD"/>
    <w:rsid w:val="00850703"/>
    <w:rsid w:val="00851D70"/>
    <w:rsid w:val="00852ACE"/>
    <w:rsid w:val="00852AD0"/>
    <w:rsid w:val="0085303E"/>
    <w:rsid w:val="00854172"/>
    <w:rsid w:val="008548FE"/>
    <w:rsid w:val="00855DD2"/>
    <w:rsid w:val="00855E90"/>
    <w:rsid w:val="0085695F"/>
    <w:rsid w:val="00860EDD"/>
    <w:rsid w:val="008619AD"/>
    <w:rsid w:val="00861DB4"/>
    <w:rsid w:val="00863ADD"/>
    <w:rsid w:val="008651E5"/>
    <w:rsid w:val="0086720D"/>
    <w:rsid w:val="008703D2"/>
    <w:rsid w:val="008734E7"/>
    <w:rsid w:val="00880F64"/>
    <w:rsid w:val="00882FCC"/>
    <w:rsid w:val="008831B8"/>
    <w:rsid w:val="00885404"/>
    <w:rsid w:val="0088574C"/>
    <w:rsid w:val="008859E1"/>
    <w:rsid w:val="00890816"/>
    <w:rsid w:val="0089154C"/>
    <w:rsid w:val="008A411C"/>
    <w:rsid w:val="008A69A3"/>
    <w:rsid w:val="008B0822"/>
    <w:rsid w:val="008B1E5A"/>
    <w:rsid w:val="008B2747"/>
    <w:rsid w:val="008B4408"/>
    <w:rsid w:val="008B48FE"/>
    <w:rsid w:val="008B4FB5"/>
    <w:rsid w:val="008B52FB"/>
    <w:rsid w:val="008B7343"/>
    <w:rsid w:val="008C32EF"/>
    <w:rsid w:val="008C6EB3"/>
    <w:rsid w:val="008C7329"/>
    <w:rsid w:val="008D2F35"/>
    <w:rsid w:val="008E2351"/>
    <w:rsid w:val="008E472F"/>
    <w:rsid w:val="008E5E61"/>
    <w:rsid w:val="008F1E60"/>
    <w:rsid w:val="008F20AB"/>
    <w:rsid w:val="008F5554"/>
    <w:rsid w:val="008F6227"/>
    <w:rsid w:val="00902206"/>
    <w:rsid w:val="00903D64"/>
    <w:rsid w:val="0090431C"/>
    <w:rsid w:val="00904891"/>
    <w:rsid w:val="00906E97"/>
    <w:rsid w:val="009105DF"/>
    <w:rsid w:val="009109D7"/>
    <w:rsid w:val="00910D88"/>
    <w:rsid w:val="0091382D"/>
    <w:rsid w:val="00916769"/>
    <w:rsid w:val="009238E1"/>
    <w:rsid w:val="00925A45"/>
    <w:rsid w:val="00925ABF"/>
    <w:rsid w:val="00934481"/>
    <w:rsid w:val="00934714"/>
    <w:rsid w:val="0093538C"/>
    <w:rsid w:val="00940B4D"/>
    <w:rsid w:val="009421CA"/>
    <w:rsid w:val="00943306"/>
    <w:rsid w:val="009437CB"/>
    <w:rsid w:val="0094593C"/>
    <w:rsid w:val="0094794A"/>
    <w:rsid w:val="00951827"/>
    <w:rsid w:val="009543C4"/>
    <w:rsid w:val="00954DC5"/>
    <w:rsid w:val="00955AAD"/>
    <w:rsid w:val="009561B3"/>
    <w:rsid w:val="0096016D"/>
    <w:rsid w:val="009647FC"/>
    <w:rsid w:val="0096558D"/>
    <w:rsid w:val="0096682F"/>
    <w:rsid w:val="00966A09"/>
    <w:rsid w:val="0097118F"/>
    <w:rsid w:val="00974963"/>
    <w:rsid w:val="00976AFC"/>
    <w:rsid w:val="00985402"/>
    <w:rsid w:val="00986603"/>
    <w:rsid w:val="00986EBC"/>
    <w:rsid w:val="00991685"/>
    <w:rsid w:val="00994FCB"/>
    <w:rsid w:val="00996506"/>
    <w:rsid w:val="009968EC"/>
    <w:rsid w:val="009A18DB"/>
    <w:rsid w:val="009A303C"/>
    <w:rsid w:val="009B05E6"/>
    <w:rsid w:val="009B101B"/>
    <w:rsid w:val="009B14F2"/>
    <w:rsid w:val="009B32DD"/>
    <w:rsid w:val="009B5271"/>
    <w:rsid w:val="009B56EF"/>
    <w:rsid w:val="009B58EC"/>
    <w:rsid w:val="009B6D89"/>
    <w:rsid w:val="009B7656"/>
    <w:rsid w:val="009C004A"/>
    <w:rsid w:val="009C0C53"/>
    <w:rsid w:val="009C1DC1"/>
    <w:rsid w:val="009C61F2"/>
    <w:rsid w:val="009C699A"/>
    <w:rsid w:val="009C6E8C"/>
    <w:rsid w:val="009D153E"/>
    <w:rsid w:val="009D3197"/>
    <w:rsid w:val="009D3403"/>
    <w:rsid w:val="009D53CC"/>
    <w:rsid w:val="009E1335"/>
    <w:rsid w:val="009E6C2C"/>
    <w:rsid w:val="009E778C"/>
    <w:rsid w:val="009F6594"/>
    <w:rsid w:val="009F7E21"/>
    <w:rsid w:val="00A026F6"/>
    <w:rsid w:val="00A04383"/>
    <w:rsid w:val="00A05548"/>
    <w:rsid w:val="00A06DA3"/>
    <w:rsid w:val="00A10E4E"/>
    <w:rsid w:val="00A11464"/>
    <w:rsid w:val="00A123E3"/>
    <w:rsid w:val="00A13F92"/>
    <w:rsid w:val="00A14C36"/>
    <w:rsid w:val="00A15751"/>
    <w:rsid w:val="00A1651C"/>
    <w:rsid w:val="00A20589"/>
    <w:rsid w:val="00A20E42"/>
    <w:rsid w:val="00A21691"/>
    <w:rsid w:val="00A22514"/>
    <w:rsid w:val="00A25672"/>
    <w:rsid w:val="00A2672F"/>
    <w:rsid w:val="00A32E0A"/>
    <w:rsid w:val="00A3332D"/>
    <w:rsid w:val="00A33A98"/>
    <w:rsid w:val="00A350B9"/>
    <w:rsid w:val="00A3557B"/>
    <w:rsid w:val="00A35C36"/>
    <w:rsid w:val="00A407CC"/>
    <w:rsid w:val="00A408EB"/>
    <w:rsid w:val="00A40CC2"/>
    <w:rsid w:val="00A40F80"/>
    <w:rsid w:val="00A4272A"/>
    <w:rsid w:val="00A45B60"/>
    <w:rsid w:val="00A46540"/>
    <w:rsid w:val="00A47229"/>
    <w:rsid w:val="00A52506"/>
    <w:rsid w:val="00A53B68"/>
    <w:rsid w:val="00A54BD1"/>
    <w:rsid w:val="00A56C74"/>
    <w:rsid w:val="00A61C27"/>
    <w:rsid w:val="00A62F85"/>
    <w:rsid w:val="00A632C2"/>
    <w:rsid w:val="00A63964"/>
    <w:rsid w:val="00A7040A"/>
    <w:rsid w:val="00A71063"/>
    <w:rsid w:val="00A71C08"/>
    <w:rsid w:val="00A7596B"/>
    <w:rsid w:val="00A7690D"/>
    <w:rsid w:val="00A84324"/>
    <w:rsid w:val="00A84AFC"/>
    <w:rsid w:val="00A90F6A"/>
    <w:rsid w:val="00A92459"/>
    <w:rsid w:val="00A9276D"/>
    <w:rsid w:val="00A939E8"/>
    <w:rsid w:val="00A93BF6"/>
    <w:rsid w:val="00A95125"/>
    <w:rsid w:val="00AA161C"/>
    <w:rsid w:val="00AA19B1"/>
    <w:rsid w:val="00AA2414"/>
    <w:rsid w:val="00AA2ED5"/>
    <w:rsid w:val="00AA37CD"/>
    <w:rsid w:val="00AA3BFD"/>
    <w:rsid w:val="00AA5CB2"/>
    <w:rsid w:val="00AB2B1A"/>
    <w:rsid w:val="00AB2E83"/>
    <w:rsid w:val="00AB4C0B"/>
    <w:rsid w:val="00AB720B"/>
    <w:rsid w:val="00AC2BE4"/>
    <w:rsid w:val="00AC6333"/>
    <w:rsid w:val="00AC6572"/>
    <w:rsid w:val="00AD17CF"/>
    <w:rsid w:val="00AD4929"/>
    <w:rsid w:val="00AD5938"/>
    <w:rsid w:val="00AD6274"/>
    <w:rsid w:val="00AE00FB"/>
    <w:rsid w:val="00AE158D"/>
    <w:rsid w:val="00AE1A21"/>
    <w:rsid w:val="00AE22BA"/>
    <w:rsid w:val="00AE3747"/>
    <w:rsid w:val="00AE47AD"/>
    <w:rsid w:val="00AE4D55"/>
    <w:rsid w:val="00AE6808"/>
    <w:rsid w:val="00AF0C5C"/>
    <w:rsid w:val="00AF2C00"/>
    <w:rsid w:val="00AF5F7B"/>
    <w:rsid w:val="00AF7872"/>
    <w:rsid w:val="00B0144C"/>
    <w:rsid w:val="00B020D7"/>
    <w:rsid w:val="00B04D83"/>
    <w:rsid w:val="00B068D6"/>
    <w:rsid w:val="00B07607"/>
    <w:rsid w:val="00B105F7"/>
    <w:rsid w:val="00B12CC7"/>
    <w:rsid w:val="00B160F0"/>
    <w:rsid w:val="00B16E54"/>
    <w:rsid w:val="00B177A2"/>
    <w:rsid w:val="00B17FC5"/>
    <w:rsid w:val="00B230BA"/>
    <w:rsid w:val="00B23F4C"/>
    <w:rsid w:val="00B2420E"/>
    <w:rsid w:val="00B2555E"/>
    <w:rsid w:val="00B260D1"/>
    <w:rsid w:val="00B3313B"/>
    <w:rsid w:val="00B331C0"/>
    <w:rsid w:val="00B3407C"/>
    <w:rsid w:val="00B35851"/>
    <w:rsid w:val="00B36C49"/>
    <w:rsid w:val="00B36C7F"/>
    <w:rsid w:val="00B41274"/>
    <w:rsid w:val="00B41994"/>
    <w:rsid w:val="00B445DA"/>
    <w:rsid w:val="00B45671"/>
    <w:rsid w:val="00B50114"/>
    <w:rsid w:val="00B51166"/>
    <w:rsid w:val="00B51911"/>
    <w:rsid w:val="00B52A03"/>
    <w:rsid w:val="00B55E40"/>
    <w:rsid w:val="00B57F21"/>
    <w:rsid w:val="00B6170E"/>
    <w:rsid w:val="00B626A6"/>
    <w:rsid w:val="00B7006C"/>
    <w:rsid w:val="00B7025F"/>
    <w:rsid w:val="00B72C4F"/>
    <w:rsid w:val="00B74DF7"/>
    <w:rsid w:val="00B76A1B"/>
    <w:rsid w:val="00B76EB6"/>
    <w:rsid w:val="00B77E4F"/>
    <w:rsid w:val="00B77F47"/>
    <w:rsid w:val="00B80717"/>
    <w:rsid w:val="00B83072"/>
    <w:rsid w:val="00B83367"/>
    <w:rsid w:val="00B8483F"/>
    <w:rsid w:val="00B86F7C"/>
    <w:rsid w:val="00B91EAF"/>
    <w:rsid w:val="00B95A27"/>
    <w:rsid w:val="00B972AD"/>
    <w:rsid w:val="00B975E8"/>
    <w:rsid w:val="00BA0253"/>
    <w:rsid w:val="00BA03A6"/>
    <w:rsid w:val="00BA143B"/>
    <w:rsid w:val="00BA22FE"/>
    <w:rsid w:val="00BA445B"/>
    <w:rsid w:val="00BA4FDA"/>
    <w:rsid w:val="00BA707B"/>
    <w:rsid w:val="00BA7AFE"/>
    <w:rsid w:val="00BB0A13"/>
    <w:rsid w:val="00BB0C5E"/>
    <w:rsid w:val="00BB3AC1"/>
    <w:rsid w:val="00BB45D5"/>
    <w:rsid w:val="00BB7026"/>
    <w:rsid w:val="00BB78FE"/>
    <w:rsid w:val="00BC3524"/>
    <w:rsid w:val="00BC4F45"/>
    <w:rsid w:val="00BC641A"/>
    <w:rsid w:val="00BC7731"/>
    <w:rsid w:val="00BD1B90"/>
    <w:rsid w:val="00BD2407"/>
    <w:rsid w:val="00BD2B06"/>
    <w:rsid w:val="00BD60FE"/>
    <w:rsid w:val="00BD79B7"/>
    <w:rsid w:val="00BE0C23"/>
    <w:rsid w:val="00BE3245"/>
    <w:rsid w:val="00BE3AF0"/>
    <w:rsid w:val="00BE630D"/>
    <w:rsid w:val="00BE66C7"/>
    <w:rsid w:val="00BF1BF1"/>
    <w:rsid w:val="00BF23C0"/>
    <w:rsid w:val="00BF26BF"/>
    <w:rsid w:val="00BF2FC4"/>
    <w:rsid w:val="00BF42D8"/>
    <w:rsid w:val="00BF52BA"/>
    <w:rsid w:val="00BF7E48"/>
    <w:rsid w:val="00C0010B"/>
    <w:rsid w:val="00C005A4"/>
    <w:rsid w:val="00C00C9F"/>
    <w:rsid w:val="00C02A0B"/>
    <w:rsid w:val="00C03B66"/>
    <w:rsid w:val="00C03CF5"/>
    <w:rsid w:val="00C04640"/>
    <w:rsid w:val="00C04919"/>
    <w:rsid w:val="00C05C2D"/>
    <w:rsid w:val="00C07F4E"/>
    <w:rsid w:val="00C10448"/>
    <w:rsid w:val="00C10AA1"/>
    <w:rsid w:val="00C119D0"/>
    <w:rsid w:val="00C14A77"/>
    <w:rsid w:val="00C15E9A"/>
    <w:rsid w:val="00C169CF"/>
    <w:rsid w:val="00C232B8"/>
    <w:rsid w:val="00C2349F"/>
    <w:rsid w:val="00C24BE4"/>
    <w:rsid w:val="00C24C46"/>
    <w:rsid w:val="00C250C7"/>
    <w:rsid w:val="00C25E4B"/>
    <w:rsid w:val="00C26F36"/>
    <w:rsid w:val="00C27B51"/>
    <w:rsid w:val="00C27CD0"/>
    <w:rsid w:val="00C41F79"/>
    <w:rsid w:val="00C42069"/>
    <w:rsid w:val="00C43848"/>
    <w:rsid w:val="00C476AD"/>
    <w:rsid w:val="00C50CFB"/>
    <w:rsid w:val="00C52BB3"/>
    <w:rsid w:val="00C54066"/>
    <w:rsid w:val="00C54629"/>
    <w:rsid w:val="00C54A06"/>
    <w:rsid w:val="00C55421"/>
    <w:rsid w:val="00C62FB0"/>
    <w:rsid w:val="00C65322"/>
    <w:rsid w:val="00C66210"/>
    <w:rsid w:val="00C67C43"/>
    <w:rsid w:val="00C710C7"/>
    <w:rsid w:val="00C73C9D"/>
    <w:rsid w:val="00C7473B"/>
    <w:rsid w:val="00C76FCE"/>
    <w:rsid w:val="00C81458"/>
    <w:rsid w:val="00C857F8"/>
    <w:rsid w:val="00C92B5D"/>
    <w:rsid w:val="00C92F79"/>
    <w:rsid w:val="00C94EA8"/>
    <w:rsid w:val="00C951D7"/>
    <w:rsid w:val="00C974FC"/>
    <w:rsid w:val="00CA189C"/>
    <w:rsid w:val="00CA2217"/>
    <w:rsid w:val="00CA57A1"/>
    <w:rsid w:val="00CA662C"/>
    <w:rsid w:val="00CA6FC9"/>
    <w:rsid w:val="00CB2D18"/>
    <w:rsid w:val="00CB3E45"/>
    <w:rsid w:val="00CB4E16"/>
    <w:rsid w:val="00CB71A8"/>
    <w:rsid w:val="00CC0210"/>
    <w:rsid w:val="00CC0614"/>
    <w:rsid w:val="00CC2D86"/>
    <w:rsid w:val="00CC3A96"/>
    <w:rsid w:val="00CC7DEA"/>
    <w:rsid w:val="00CD02BF"/>
    <w:rsid w:val="00CD2E7A"/>
    <w:rsid w:val="00CD3E47"/>
    <w:rsid w:val="00CE1412"/>
    <w:rsid w:val="00CE1F49"/>
    <w:rsid w:val="00CE3DC3"/>
    <w:rsid w:val="00CE466A"/>
    <w:rsid w:val="00CE4908"/>
    <w:rsid w:val="00CE4AAE"/>
    <w:rsid w:val="00CE52D2"/>
    <w:rsid w:val="00CE7DD2"/>
    <w:rsid w:val="00CE7E75"/>
    <w:rsid w:val="00CF3B5D"/>
    <w:rsid w:val="00CF473D"/>
    <w:rsid w:val="00CF496F"/>
    <w:rsid w:val="00CF5583"/>
    <w:rsid w:val="00CF55D2"/>
    <w:rsid w:val="00CF77C4"/>
    <w:rsid w:val="00D01C4E"/>
    <w:rsid w:val="00D02659"/>
    <w:rsid w:val="00D0285F"/>
    <w:rsid w:val="00D03ADC"/>
    <w:rsid w:val="00D05811"/>
    <w:rsid w:val="00D06466"/>
    <w:rsid w:val="00D072CD"/>
    <w:rsid w:val="00D10057"/>
    <w:rsid w:val="00D1239D"/>
    <w:rsid w:val="00D1577F"/>
    <w:rsid w:val="00D15815"/>
    <w:rsid w:val="00D15DF6"/>
    <w:rsid w:val="00D16BA4"/>
    <w:rsid w:val="00D17DC8"/>
    <w:rsid w:val="00D200C6"/>
    <w:rsid w:val="00D20828"/>
    <w:rsid w:val="00D20CEC"/>
    <w:rsid w:val="00D21131"/>
    <w:rsid w:val="00D2219A"/>
    <w:rsid w:val="00D22770"/>
    <w:rsid w:val="00D239E3"/>
    <w:rsid w:val="00D27FAD"/>
    <w:rsid w:val="00D32EB7"/>
    <w:rsid w:val="00D33ACB"/>
    <w:rsid w:val="00D33BE0"/>
    <w:rsid w:val="00D33EC3"/>
    <w:rsid w:val="00D35CA8"/>
    <w:rsid w:val="00D3668B"/>
    <w:rsid w:val="00D371A7"/>
    <w:rsid w:val="00D41580"/>
    <w:rsid w:val="00D42DAB"/>
    <w:rsid w:val="00D4437D"/>
    <w:rsid w:val="00D45014"/>
    <w:rsid w:val="00D45050"/>
    <w:rsid w:val="00D465AF"/>
    <w:rsid w:val="00D466D1"/>
    <w:rsid w:val="00D505D6"/>
    <w:rsid w:val="00D50A1F"/>
    <w:rsid w:val="00D51402"/>
    <w:rsid w:val="00D52357"/>
    <w:rsid w:val="00D5357C"/>
    <w:rsid w:val="00D5500B"/>
    <w:rsid w:val="00D55B00"/>
    <w:rsid w:val="00D55D57"/>
    <w:rsid w:val="00D56ECD"/>
    <w:rsid w:val="00D57B48"/>
    <w:rsid w:val="00D604D3"/>
    <w:rsid w:val="00D625B1"/>
    <w:rsid w:val="00D63339"/>
    <w:rsid w:val="00D671C9"/>
    <w:rsid w:val="00D6722E"/>
    <w:rsid w:val="00D70920"/>
    <w:rsid w:val="00D71146"/>
    <w:rsid w:val="00D71335"/>
    <w:rsid w:val="00D73B6B"/>
    <w:rsid w:val="00D762AE"/>
    <w:rsid w:val="00D76B54"/>
    <w:rsid w:val="00D82AC3"/>
    <w:rsid w:val="00D835F1"/>
    <w:rsid w:val="00D844A0"/>
    <w:rsid w:val="00D854DF"/>
    <w:rsid w:val="00D85624"/>
    <w:rsid w:val="00D87391"/>
    <w:rsid w:val="00D904BD"/>
    <w:rsid w:val="00D91398"/>
    <w:rsid w:val="00D9391A"/>
    <w:rsid w:val="00D94E7D"/>
    <w:rsid w:val="00D95999"/>
    <w:rsid w:val="00DA04DC"/>
    <w:rsid w:val="00DA1D20"/>
    <w:rsid w:val="00DA2A7E"/>
    <w:rsid w:val="00DA428A"/>
    <w:rsid w:val="00DA525D"/>
    <w:rsid w:val="00DA6080"/>
    <w:rsid w:val="00DA7BC2"/>
    <w:rsid w:val="00DA7EED"/>
    <w:rsid w:val="00DB16B7"/>
    <w:rsid w:val="00DB4736"/>
    <w:rsid w:val="00DB47F8"/>
    <w:rsid w:val="00DC0186"/>
    <w:rsid w:val="00DC1D1B"/>
    <w:rsid w:val="00DC2073"/>
    <w:rsid w:val="00DC3342"/>
    <w:rsid w:val="00DC410C"/>
    <w:rsid w:val="00DC61EB"/>
    <w:rsid w:val="00DC7217"/>
    <w:rsid w:val="00DD351D"/>
    <w:rsid w:val="00DD36EA"/>
    <w:rsid w:val="00DD3916"/>
    <w:rsid w:val="00DD4103"/>
    <w:rsid w:val="00DD4EFA"/>
    <w:rsid w:val="00DE0389"/>
    <w:rsid w:val="00DE0804"/>
    <w:rsid w:val="00DE16EF"/>
    <w:rsid w:val="00DE30E5"/>
    <w:rsid w:val="00DE6648"/>
    <w:rsid w:val="00DE6A2E"/>
    <w:rsid w:val="00DE72AB"/>
    <w:rsid w:val="00DE72C5"/>
    <w:rsid w:val="00DF617F"/>
    <w:rsid w:val="00DF6D87"/>
    <w:rsid w:val="00DF7764"/>
    <w:rsid w:val="00E068CF"/>
    <w:rsid w:val="00E07958"/>
    <w:rsid w:val="00E104EA"/>
    <w:rsid w:val="00E10ED4"/>
    <w:rsid w:val="00E13896"/>
    <w:rsid w:val="00E1423C"/>
    <w:rsid w:val="00E20339"/>
    <w:rsid w:val="00E20C9C"/>
    <w:rsid w:val="00E21EC7"/>
    <w:rsid w:val="00E227B8"/>
    <w:rsid w:val="00E30099"/>
    <w:rsid w:val="00E3310B"/>
    <w:rsid w:val="00E33422"/>
    <w:rsid w:val="00E353D1"/>
    <w:rsid w:val="00E3595B"/>
    <w:rsid w:val="00E35975"/>
    <w:rsid w:val="00E3618F"/>
    <w:rsid w:val="00E412D5"/>
    <w:rsid w:val="00E44F25"/>
    <w:rsid w:val="00E46DCE"/>
    <w:rsid w:val="00E47DD0"/>
    <w:rsid w:val="00E5289E"/>
    <w:rsid w:val="00E54C68"/>
    <w:rsid w:val="00E56DDC"/>
    <w:rsid w:val="00E6557D"/>
    <w:rsid w:val="00E656F1"/>
    <w:rsid w:val="00E672F6"/>
    <w:rsid w:val="00E67FA1"/>
    <w:rsid w:val="00E7002C"/>
    <w:rsid w:val="00E72B0E"/>
    <w:rsid w:val="00E738C0"/>
    <w:rsid w:val="00E76EB6"/>
    <w:rsid w:val="00E7780E"/>
    <w:rsid w:val="00E8014D"/>
    <w:rsid w:val="00E81189"/>
    <w:rsid w:val="00E84389"/>
    <w:rsid w:val="00E84C7E"/>
    <w:rsid w:val="00E84DBC"/>
    <w:rsid w:val="00E86241"/>
    <w:rsid w:val="00E87647"/>
    <w:rsid w:val="00E91661"/>
    <w:rsid w:val="00E92364"/>
    <w:rsid w:val="00E92830"/>
    <w:rsid w:val="00E9579F"/>
    <w:rsid w:val="00E97E88"/>
    <w:rsid w:val="00EA141B"/>
    <w:rsid w:val="00EA3989"/>
    <w:rsid w:val="00EA47D9"/>
    <w:rsid w:val="00EA63D7"/>
    <w:rsid w:val="00EB439C"/>
    <w:rsid w:val="00EB7989"/>
    <w:rsid w:val="00EC1664"/>
    <w:rsid w:val="00EC1C1C"/>
    <w:rsid w:val="00EC6B35"/>
    <w:rsid w:val="00ED13CF"/>
    <w:rsid w:val="00ED15AD"/>
    <w:rsid w:val="00ED526A"/>
    <w:rsid w:val="00ED5A10"/>
    <w:rsid w:val="00ED6E9A"/>
    <w:rsid w:val="00EE0668"/>
    <w:rsid w:val="00EE22A3"/>
    <w:rsid w:val="00EE271B"/>
    <w:rsid w:val="00EE2D68"/>
    <w:rsid w:val="00EE3452"/>
    <w:rsid w:val="00EE4039"/>
    <w:rsid w:val="00EF0B75"/>
    <w:rsid w:val="00EF0EAD"/>
    <w:rsid w:val="00EF1E83"/>
    <w:rsid w:val="00EF2E96"/>
    <w:rsid w:val="00EF35B6"/>
    <w:rsid w:val="00EF3E36"/>
    <w:rsid w:val="00EF6729"/>
    <w:rsid w:val="00F004DB"/>
    <w:rsid w:val="00F013F9"/>
    <w:rsid w:val="00F05863"/>
    <w:rsid w:val="00F070D0"/>
    <w:rsid w:val="00F074B1"/>
    <w:rsid w:val="00F10898"/>
    <w:rsid w:val="00F1276E"/>
    <w:rsid w:val="00F13747"/>
    <w:rsid w:val="00F156B8"/>
    <w:rsid w:val="00F1632D"/>
    <w:rsid w:val="00F17933"/>
    <w:rsid w:val="00F2695B"/>
    <w:rsid w:val="00F31BB4"/>
    <w:rsid w:val="00F31BC7"/>
    <w:rsid w:val="00F330D4"/>
    <w:rsid w:val="00F34E02"/>
    <w:rsid w:val="00F358C0"/>
    <w:rsid w:val="00F41E02"/>
    <w:rsid w:val="00F43655"/>
    <w:rsid w:val="00F4437C"/>
    <w:rsid w:val="00F451FD"/>
    <w:rsid w:val="00F50C08"/>
    <w:rsid w:val="00F53675"/>
    <w:rsid w:val="00F538E7"/>
    <w:rsid w:val="00F54E59"/>
    <w:rsid w:val="00F5568E"/>
    <w:rsid w:val="00F5753A"/>
    <w:rsid w:val="00F57DCD"/>
    <w:rsid w:val="00F604CB"/>
    <w:rsid w:val="00F62474"/>
    <w:rsid w:val="00F636DC"/>
    <w:rsid w:val="00F65DC9"/>
    <w:rsid w:val="00F70DB2"/>
    <w:rsid w:val="00F71D41"/>
    <w:rsid w:val="00F72E9B"/>
    <w:rsid w:val="00F746AF"/>
    <w:rsid w:val="00F776FE"/>
    <w:rsid w:val="00F8147B"/>
    <w:rsid w:val="00F81E91"/>
    <w:rsid w:val="00F87C2B"/>
    <w:rsid w:val="00F87E6E"/>
    <w:rsid w:val="00F90075"/>
    <w:rsid w:val="00F932A7"/>
    <w:rsid w:val="00F937E3"/>
    <w:rsid w:val="00F94060"/>
    <w:rsid w:val="00F9417B"/>
    <w:rsid w:val="00F95291"/>
    <w:rsid w:val="00FA2588"/>
    <w:rsid w:val="00FA4047"/>
    <w:rsid w:val="00FA55C8"/>
    <w:rsid w:val="00FA753E"/>
    <w:rsid w:val="00FB1065"/>
    <w:rsid w:val="00FB4508"/>
    <w:rsid w:val="00FB5887"/>
    <w:rsid w:val="00FB7177"/>
    <w:rsid w:val="00FB73A8"/>
    <w:rsid w:val="00FC44AA"/>
    <w:rsid w:val="00FC57C2"/>
    <w:rsid w:val="00FC5DE9"/>
    <w:rsid w:val="00FD04D0"/>
    <w:rsid w:val="00FD08BA"/>
    <w:rsid w:val="00FD1FC1"/>
    <w:rsid w:val="00FD26E4"/>
    <w:rsid w:val="00FD38AD"/>
    <w:rsid w:val="00FD44F7"/>
    <w:rsid w:val="00FD497B"/>
    <w:rsid w:val="00FD72FC"/>
    <w:rsid w:val="00FD77AD"/>
    <w:rsid w:val="00FE1144"/>
    <w:rsid w:val="00FE260C"/>
    <w:rsid w:val="00FE26CF"/>
    <w:rsid w:val="00FE6EA8"/>
    <w:rsid w:val="00FE7414"/>
    <w:rsid w:val="00FE7AAB"/>
    <w:rsid w:val="00FF44A3"/>
    <w:rsid w:val="00FF5072"/>
    <w:rsid w:val="00FF752F"/>
    <w:rsid w:val="00FF7808"/>
    <w:rsid w:val="00FF793C"/>
    <w:rsid w:val="03970A41"/>
    <w:rsid w:val="09F150BA"/>
    <w:rsid w:val="131D07CA"/>
    <w:rsid w:val="135F500D"/>
    <w:rsid w:val="16766474"/>
    <w:rsid w:val="35014E3A"/>
    <w:rsid w:val="4DED180A"/>
    <w:rsid w:val="54F974BE"/>
    <w:rsid w:val="598A78EB"/>
    <w:rsid w:val="5A380F0B"/>
    <w:rsid w:val="650B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qFormat="1"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qFormat/>
    <w:uiPriority w:val="99"/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8"/>
    <w:semiHidden/>
    <w:unhideWhenUsed/>
    <w:qFormat/>
    <w:uiPriority w:val="0"/>
    <w:rPr>
      <w:b/>
      <w:bCs/>
    </w:rPr>
  </w:style>
  <w:style w:type="table" w:styleId="8">
    <w:name w:val="Table Grid"/>
    <w:basedOn w:val="7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line number"/>
    <w:basedOn w:val="9"/>
    <w:semiHidden/>
    <w:unhideWhenUsed/>
    <w:qFormat/>
    <w:uiPriority w:val="0"/>
  </w:style>
  <w:style w:type="character" w:styleId="11">
    <w:name w:val="Hyperlink"/>
    <w:basedOn w:val="9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qFormat/>
    <w:uiPriority w:val="0"/>
    <w:rPr>
      <w:sz w:val="21"/>
      <w:szCs w:val="21"/>
    </w:rPr>
  </w:style>
  <w:style w:type="character" w:customStyle="1" w:styleId="13">
    <w:name w:val="页眉 Char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4">
    <w:name w:val="页脚 Char"/>
    <w:link w:val="4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5">
    <w:name w:val="批注框文本 Char"/>
    <w:link w:val="3"/>
    <w:qFormat/>
    <w:uiPriority w:val="0"/>
    <w:rPr>
      <w:rFonts w:ascii="宋体" w:hAnsi="宋体" w:eastAsia="宋体" w:cs="宋体"/>
      <w:sz w:val="18"/>
      <w:szCs w:val="18"/>
    </w:rPr>
  </w:style>
  <w:style w:type="paragraph" w:customStyle="1" w:styleId="16">
    <w:name w:val="普通(网站)1"/>
    <w:basedOn w:val="1"/>
    <w:qFormat/>
    <w:uiPriority w:val="0"/>
    <w:pPr>
      <w:spacing w:before="100" w:beforeAutospacing="1" w:after="100" w:afterAutospacing="1"/>
    </w:pPr>
  </w:style>
  <w:style w:type="character" w:customStyle="1" w:styleId="17">
    <w:name w:val="批注文字 Char"/>
    <w:basedOn w:val="9"/>
    <w:link w:val="2"/>
    <w:qFormat/>
    <w:uiPriority w:val="99"/>
    <w:rPr>
      <w:rFonts w:ascii="宋体" w:hAnsi="宋体" w:cs="宋体"/>
      <w:sz w:val="24"/>
      <w:szCs w:val="24"/>
    </w:rPr>
  </w:style>
  <w:style w:type="character" w:customStyle="1" w:styleId="18">
    <w:name w:val="批注主题 Char"/>
    <w:basedOn w:val="17"/>
    <w:link w:val="6"/>
    <w:semiHidden/>
    <w:qFormat/>
    <w:uiPriority w:val="0"/>
    <w:rPr>
      <w:rFonts w:ascii="宋体" w:hAnsi="宋体" w:cs="宋体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修订1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1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2">
    <w:name w:val="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customStyle="1" w:styleId="23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24">
    <w:name w:val="正文 New New New New New New New New New New New"/>
    <w:qFormat/>
    <w:uiPriority w:val="0"/>
    <w:pPr>
      <w:autoSpaceDE w:val="0"/>
      <w:autoSpaceDN w:val="0"/>
      <w:adjustRightInd w:val="0"/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25">
    <w:name w:val="p0"/>
    <w:basedOn w:val="1"/>
    <w:qFormat/>
    <w:uiPriority w:val="99"/>
    <w:pPr>
      <w:spacing w:before="100" w:beforeAutospacing="1" w:after="100" w:afterAutospacing="1"/>
    </w:pPr>
  </w:style>
  <w:style w:type="paragraph" w:customStyle="1" w:styleId="26">
    <w:name w:val="正文文本缩进 New"/>
    <w:basedOn w:val="1"/>
    <w:qFormat/>
    <w:uiPriority w:val="0"/>
    <w:pPr>
      <w:widowControl/>
      <w:overflowPunct w:val="0"/>
      <w:autoSpaceDE w:val="0"/>
      <w:autoSpaceDN w:val="0"/>
      <w:adjustRightInd w:val="0"/>
      <w:spacing w:after="0" w:line="240" w:lineRule="auto"/>
      <w:ind w:left="1134"/>
      <w:jc w:val="left"/>
      <w:textAlignment w:val="baseline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XB\&#39033;&#30446;&#24211;\04.&#31995;&#32479;&#35774;&#35745;\&#35814;&#32454;&#35774;&#35745;\&#20135;&#21697;&#31649;&#29702;\&#20449;&#24687;&#25259;&#38706;\&#20449;&#24687;&#25259;&#38706;&#27169;&#26495;\&#27169;&#26495;&#25991;&#20214;\Normal_Wordconv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E6C1-DB14-4923-B63E-03B89B8BF1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citicbank</Company>
  <Pages>36</Pages>
  <Words>37649</Words>
  <Characters>39304</Characters>
  <Lines>259</Lines>
  <Paragraphs>73</Paragraphs>
  <TotalTime>0</TotalTime>
  <ScaleCrop>false</ScaleCrop>
  <LinksUpToDate>false</LinksUpToDate>
  <CharactersWithSpaces>39681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2022-08-03T02:06:00Z</dcterms:created>
  <dc:creator>王晓明</dc:creator>
  <cp:lastModifiedBy>CX-330</cp:lastModifiedBy>
  <cp:lastPrinted>2023-07-12T10:52:00Z</cp:lastPrinted>
  <dcterms:modified xsi:type="dcterms:W3CDTF">2023-11-27T12:07:52Z</dcterms:modified>
  <dc:title>产品说明书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E443DB7372304A1E96F74DB4B74C3E52_12</vt:lpwstr>
  </property>
</Properties>
</file>