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12" w:rsidRDefault="00EF54D3">
      <w:pPr>
        <w:adjustRightInd/>
        <w:snapToGrid/>
        <w:spacing w:after="0"/>
        <w:jc w:val="center"/>
        <w:rPr>
          <w:rFonts w:ascii="宋体" w:eastAsia="宋体" w:hAnsi="宋体" w:cs="宋体" w:hint="eastAsia"/>
          <w:b/>
          <w:bCs/>
          <w:sz w:val="36"/>
        </w:rPr>
      </w:pPr>
      <w:r>
        <w:rPr>
          <w:rFonts w:ascii="宋体" w:eastAsia="宋体" w:hAnsi="宋体" w:cs="宋体" w:hint="eastAsia"/>
          <w:b/>
          <w:bCs/>
          <w:sz w:val="36"/>
        </w:rPr>
        <w:t>关于代销</w:t>
      </w:r>
      <w:r w:rsidR="00055752" w:rsidRPr="00055752">
        <w:rPr>
          <w:rFonts w:ascii="宋体" w:eastAsia="宋体" w:hAnsi="宋体" w:cs="宋体" w:hint="eastAsia"/>
          <w:b/>
          <w:bCs/>
          <w:sz w:val="36"/>
        </w:rPr>
        <w:t>信银理财安盈象固收稳健十四天</w:t>
      </w:r>
    </w:p>
    <w:p w:rsidR="00607887" w:rsidRDefault="00055752">
      <w:pPr>
        <w:adjustRightInd/>
        <w:snapToGrid/>
        <w:spacing w:after="0"/>
        <w:jc w:val="center"/>
        <w:rPr>
          <w:rFonts w:ascii="宋体" w:eastAsia="宋体" w:hAnsi="宋体" w:cs="宋体"/>
          <w:sz w:val="24"/>
          <w:szCs w:val="24"/>
        </w:rPr>
      </w:pPr>
      <w:r w:rsidRPr="00055752">
        <w:rPr>
          <w:rFonts w:ascii="宋体" w:eastAsia="宋体" w:hAnsi="宋体" w:cs="宋体" w:hint="eastAsia"/>
          <w:b/>
          <w:bCs/>
          <w:sz w:val="36"/>
        </w:rPr>
        <w:t>持有期1号理财产品</w:t>
      </w:r>
      <w:r w:rsidR="00EF54D3">
        <w:rPr>
          <w:rFonts w:ascii="宋体" w:eastAsia="宋体" w:hAnsi="宋体" w:cs="宋体" w:hint="eastAsia"/>
          <w:b/>
          <w:bCs/>
          <w:sz w:val="36"/>
        </w:rPr>
        <w:t>的通知</w:t>
      </w:r>
    </w:p>
    <w:p w:rsidR="00607887" w:rsidRDefault="00607887">
      <w:pPr>
        <w:adjustRightInd/>
        <w:snapToGrid/>
        <w:spacing w:after="0" w:line="555" w:lineRule="atLeast"/>
        <w:rPr>
          <w:rFonts w:ascii="仿宋_GB2312" w:eastAsia="仿宋_GB2312" w:hAnsi="微软雅黑" w:cs="宋体"/>
          <w:color w:val="000000"/>
          <w:sz w:val="32"/>
          <w:szCs w:val="32"/>
        </w:rPr>
      </w:pPr>
    </w:p>
    <w:p w:rsidR="00607887" w:rsidRDefault="00EF54D3">
      <w:pPr>
        <w:adjustRightInd/>
        <w:snapToGrid/>
        <w:spacing w:after="0" w:line="555" w:lineRule="atLeast"/>
        <w:rPr>
          <w:rFonts w:ascii="微软雅黑" w:hAnsi="微软雅黑" w:cs="宋体"/>
          <w:color w:val="00000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各分(支)行、总行营业部：</w:t>
      </w:r>
    </w:p>
    <w:p w:rsidR="00607887" w:rsidRDefault="00007B0F">
      <w:pPr>
        <w:adjustRightInd/>
        <w:snapToGrid/>
        <w:spacing w:after="0"/>
        <w:ind w:firstLine="630"/>
        <w:rPr>
          <w:rFonts w:ascii="仿宋_GB2312" w:eastAsia="仿宋_GB2312" w:hAnsi="微软雅黑" w:cs="宋体"/>
          <w:color w:val="000000"/>
          <w:sz w:val="32"/>
          <w:szCs w:val="32"/>
        </w:rPr>
      </w:pPr>
      <w:r w:rsidRPr="00007B0F">
        <w:rPr>
          <w:rFonts w:ascii="仿宋_GB2312" w:eastAsia="仿宋_GB2312" w:hAnsi="微软雅黑" w:cs="宋体" w:hint="eastAsia"/>
          <w:color w:val="000000"/>
          <w:sz w:val="32"/>
          <w:szCs w:val="32"/>
        </w:rPr>
        <w:t>我行将于2023年12月18日起代销</w:t>
      </w:r>
      <w:r w:rsidRPr="00007B0F">
        <w:rPr>
          <w:rFonts w:ascii="仿宋_GB2312" w:eastAsia="仿宋_GB2312" w:hAnsi="微软雅黑" w:cs="宋体" w:hint="eastAsia"/>
          <w:color w:val="FF0000"/>
          <w:sz w:val="32"/>
          <w:szCs w:val="32"/>
        </w:rPr>
        <w:t>信银理财有限责任公司</w:t>
      </w:r>
      <w:r w:rsidRPr="00007B0F">
        <w:rPr>
          <w:rFonts w:ascii="仿宋_GB2312" w:eastAsia="仿宋_GB2312" w:hAnsi="微软雅黑" w:cs="宋体" w:hint="eastAsia"/>
          <w:color w:val="000000"/>
          <w:sz w:val="32"/>
          <w:szCs w:val="32"/>
        </w:rPr>
        <w:t>发行的</w:t>
      </w:r>
      <w:r w:rsidR="00055752" w:rsidRPr="00055752">
        <w:rPr>
          <w:rFonts w:ascii="仿宋_GB2312" w:eastAsia="仿宋_GB2312" w:hAnsi="微软雅黑" w:cs="宋体" w:hint="eastAsia"/>
          <w:color w:val="000000"/>
          <w:sz w:val="32"/>
          <w:szCs w:val="32"/>
        </w:rPr>
        <w:t>安盈象固收稳健十四天持有期1号理财产品</w:t>
      </w:r>
      <w:r w:rsidRPr="00007B0F">
        <w:rPr>
          <w:rFonts w:ascii="仿宋_GB2312" w:eastAsia="仿宋_GB2312" w:hAnsi="微软雅黑" w:cs="宋体" w:hint="eastAsia"/>
          <w:color w:val="000000"/>
          <w:sz w:val="32"/>
          <w:szCs w:val="32"/>
        </w:rPr>
        <w:t>，目前只在</w:t>
      </w:r>
      <w:r w:rsidRPr="00007B0F">
        <w:rPr>
          <w:rFonts w:ascii="仿宋_GB2312" w:eastAsia="仿宋_GB2312" w:hAnsi="微软雅黑" w:cs="宋体" w:hint="eastAsia"/>
          <w:b/>
          <w:color w:val="FF0000"/>
          <w:sz w:val="32"/>
          <w:szCs w:val="32"/>
        </w:rPr>
        <w:t>手机银行</w:t>
      </w:r>
      <w:r w:rsidRPr="00007B0F">
        <w:rPr>
          <w:rFonts w:ascii="仿宋_GB2312" w:eastAsia="仿宋_GB2312" w:hAnsi="微软雅黑" w:cs="宋体" w:hint="eastAsia"/>
          <w:color w:val="000000"/>
          <w:sz w:val="32"/>
          <w:szCs w:val="32"/>
        </w:rPr>
        <w:t>销售。该产品的最短持有期为</w:t>
      </w:r>
      <w:r w:rsidR="00055752">
        <w:rPr>
          <w:rFonts w:ascii="仿宋_GB2312" w:eastAsia="仿宋_GB2312" w:hAnsi="微软雅黑" w:cs="宋体" w:hint="eastAsia"/>
          <w:color w:val="000000"/>
          <w:sz w:val="32"/>
          <w:szCs w:val="32"/>
        </w:rPr>
        <w:t>14</w:t>
      </w:r>
      <w:r w:rsidRPr="00007B0F">
        <w:rPr>
          <w:rFonts w:ascii="仿宋_GB2312" w:eastAsia="仿宋_GB2312" w:hAnsi="微软雅黑" w:cs="宋体" w:hint="eastAsia"/>
          <w:color w:val="000000"/>
          <w:sz w:val="32"/>
          <w:szCs w:val="32"/>
        </w:rPr>
        <w:t>自然日，投资者成功购买后，自份额确认日（含）起连续持有超过</w:t>
      </w:r>
      <w:r w:rsidR="00055752">
        <w:rPr>
          <w:rFonts w:ascii="仿宋_GB2312" w:eastAsia="仿宋_GB2312" w:hAnsi="微软雅黑" w:cs="宋体" w:hint="eastAsia"/>
          <w:color w:val="000000"/>
          <w:sz w:val="32"/>
          <w:szCs w:val="32"/>
        </w:rPr>
        <w:t>14</w:t>
      </w:r>
      <w:r w:rsidRPr="00007B0F">
        <w:rPr>
          <w:rFonts w:ascii="仿宋_GB2312" w:eastAsia="仿宋_GB2312" w:hAnsi="微软雅黑" w:cs="宋体" w:hint="eastAsia"/>
          <w:color w:val="000000"/>
          <w:sz w:val="32"/>
          <w:szCs w:val="32"/>
        </w:rPr>
        <w:t>自然日，方可在开放日的交易时间发起相应份额的赎回申请。该产品的交易时间为每个开放日8:30-15:30，赎回资金最快将于赎回确认日的下一工作日到账。该产品</w:t>
      </w:r>
      <w:r w:rsidRPr="00007B0F">
        <w:rPr>
          <w:rFonts w:ascii="仿宋_GB2312" w:eastAsia="仿宋_GB2312" w:hAnsi="微软雅黑" w:cs="宋体" w:hint="eastAsia"/>
          <w:color w:val="FF0000"/>
          <w:sz w:val="32"/>
          <w:szCs w:val="32"/>
        </w:rPr>
        <w:t>销售服务费率0.30%/年</w:t>
      </w:r>
      <w:r w:rsidRPr="00007B0F">
        <w:rPr>
          <w:rFonts w:ascii="仿宋_GB2312" w:eastAsia="仿宋_GB2312" w:hAnsi="微软雅黑" w:cs="宋体" w:hint="eastAsia"/>
          <w:color w:val="000000"/>
          <w:sz w:val="32"/>
          <w:szCs w:val="32"/>
        </w:rPr>
        <w:t>。部分要素如下：</w:t>
      </w:r>
      <w:r w:rsidR="00055752">
        <w:rPr>
          <w:rFonts w:ascii="仿宋_GB2312" w:eastAsia="仿宋_GB2312" w:hAnsi="微软雅黑" w:cs="宋体"/>
          <w:color w:val="000000"/>
          <w:sz w:val="32"/>
          <w:szCs w:val="32"/>
        </w:rPr>
        <w:t xml:space="preserve"> </w:t>
      </w:r>
    </w:p>
    <w:p w:rsidR="00607887" w:rsidRDefault="00607887">
      <w:pPr>
        <w:pStyle w:val="NormalWeb76988347"/>
        <w:spacing w:line="200" w:lineRule="exact"/>
        <w:ind w:firstLine="0"/>
        <w:jc w:val="both"/>
        <w:rPr>
          <w:rFonts w:ascii="宋体" w:eastAsia="宋体" w:hAnsi="宋体" w:cs="宋体"/>
          <w:b/>
          <w:color w:val="3D3D3D"/>
          <w:sz w:val="18"/>
          <w:szCs w:val="15"/>
        </w:rPr>
      </w:pPr>
      <w:bookmarkStart w:id="0" w:name="_GoBack"/>
      <w:bookmarkEnd w:id="0"/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57" w:type="dxa"/>
          <w:bottom w:w="57" w:type="dxa"/>
        </w:tblCellMar>
        <w:tblLook w:val="04A0"/>
      </w:tblPr>
      <w:tblGrid>
        <w:gridCol w:w="2272"/>
        <w:gridCol w:w="5543"/>
      </w:tblGrid>
      <w:tr w:rsidR="00055752">
        <w:trPr>
          <w:trHeight w:val="340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产品名称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color w:val="000000" w:themeColor="text1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【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信银理财安盈象固收稳健十四天持有期1号理财产品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】</w:t>
            </w:r>
          </w:p>
        </w:tc>
      </w:tr>
      <w:tr w:rsidR="00055752">
        <w:trPr>
          <w:trHeight w:val="340"/>
          <w:jc w:val="center"/>
        </w:trPr>
        <w:tc>
          <w:tcPr>
            <w:tcW w:w="2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理财产品登记编码</w:t>
            </w:r>
          </w:p>
        </w:tc>
        <w:tc>
          <w:tcPr>
            <w:tcW w:w="5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hint="eastAsia"/>
                <w:color w:val="000000" w:themeColor="text1"/>
                <w:sz w:val="20"/>
                <w:szCs w:val="20"/>
              </w:rPr>
              <w:t>【</w:t>
            </w:r>
            <w:r>
              <w:rPr>
                <w:rFonts w:ascii="楷体_GB2312" w:eastAsia="楷体_GB2312"/>
                <w:sz w:val="20"/>
                <w:szCs w:val="20"/>
              </w:rPr>
              <w:t>Z7002622000153</w:t>
            </w:r>
            <w:r>
              <w:rPr>
                <w:rFonts w:ascii="楷体_GB2312" w:eastAsia="楷体_GB2312"/>
                <w:color w:val="000000" w:themeColor="text1"/>
                <w:sz w:val="20"/>
                <w:szCs w:val="20"/>
              </w:rPr>
              <w:t>】</w:t>
            </w:r>
          </w:p>
        </w:tc>
      </w:tr>
      <w:tr w:rsidR="00055752">
        <w:trPr>
          <w:trHeight w:val="340"/>
          <w:jc w:val="center"/>
        </w:trPr>
        <w:tc>
          <w:tcPr>
            <w:tcW w:w="2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产品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代码</w:t>
            </w:r>
          </w:p>
        </w:tc>
        <w:tc>
          <w:tcPr>
            <w:tcW w:w="5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【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AF223065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</w:p>
        </w:tc>
      </w:tr>
      <w:tr w:rsidR="00055752">
        <w:trPr>
          <w:trHeight w:val="340"/>
          <w:jc w:val="center"/>
        </w:trPr>
        <w:tc>
          <w:tcPr>
            <w:tcW w:w="22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产品类型</w:t>
            </w:r>
          </w:p>
        </w:tc>
        <w:tc>
          <w:tcPr>
            <w:tcW w:w="5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sz w:val="20"/>
                <w:szCs w:val="20"/>
              </w:rPr>
              <w:t>【公募】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、【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固定收益类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】、【开放式】</w:t>
            </w:r>
          </w:p>
        </w:tc>
      </w:tr>
      <w:tr w:rsidR="00055752">
        <w:trPr>
          <w:trHeight w:val="425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信银理财产品风险分级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/>
                <w:sz w:val="20"/>
                <w:szCs w:val="20"/>
              </w:rPr>
              <w:t>PR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【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】级（【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稳健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】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型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）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。本风险分级为信银理财自行评定，仅供参考。</w:t>
            </w:r>
          </w:p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产品通过代销机构销售的，代销机构将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对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理财产品进行风险评级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并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对投资者进行风险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承受能力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测评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，理财产品评级应当以代销机构最终披露的评级结果为准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。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代销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机构对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产品的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风险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评级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结果与信银理财不一致的，将采用对应较高风险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等级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的评级结果。</w:t>
            </w:r>
          </w:p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仿宋" w:eastAsia="仿宋" w:hAnsi="仿宋" w:cs="Tahoma" w:hint="eastAsia"/>
                <w:b/>
                <w:bCs/>
                <w:color w:val="FF0000"/>
                <w:spacing w:val="-1"/>
                <w:sz w:val="19"/>
                <w:szCs w:val="19"/>
                <w:shd w:val="clear" w:color="auto" w:fill="FFFFFF"/>
              </w:rPr>
              <w:t>紫金农商银行对本产品的风险评级为中风险。</w:t>
            </w:r>
          </w:p>
        </w:tc>
      </w:tr>
      <w:tr w:rsidR="00055752">
        <w:trPr>
          <w:trHeight w:val="340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发行对象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D87A8A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【个人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客户</w:t>
            </w:r>
          </w:p>
        </w:tc>
      </w:tr>
      <w:tr w:rsidR="00055752">
        <w:trPr>
          <w:trHeight w:val="340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理财本金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本理财产品不保证本金及理财收益，其理财收益随单位净值浮动。详细内容见以下“八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、</w:t>
            </w:r>
            <w:r>
              <w:rPr>
                <w:rFonts w:ascii="楷体_GB2312" w:eastAsia="楷体_GB2312" w:cs="楷体_GB2312" w:hint="eastAsia"/>
                <w:b/>
                <w:bCs/>
                <w:color w:val="000000" w:themeColor="text1"/>
                <w:sz w:val="20"/>
                <w:szCs w:val="20"/>
              </w:rPr>
              <w:t>理财资金分配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”。</w:t>
            </w:r>
          </w:p>
        </w:tc>
      </w:tr>
      <w:tr w:rsidR="00055752">
        <w:trPr>
          <w:trHeight w:val="340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产品份额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指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管理人依据理财产品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合同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向投资者发行的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理财产品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受益凭证。理财产品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份额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持有人基于其所持有的理财产品份额享有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lastRenderedPageBreak/>
              <w:t>理财产品利益、承担理财产品资产风险。</w:t>
            </w:r>
          </w:p>
        </w:tc>
      </w:tr>
      <w:tr w:rsidR="00055752">
        <w:trPr>
          <w:trHeight w:val="50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lastRenderedPageBreak/>
              <w:t>理财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产品份额面值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产品份额面值为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【人民币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1元。</w:t>
            </w:r>
          </w:p>
        </w:tc>
      </w:tr>
      <w:tr w:rsidR="00055752">
        <w:trPr>
          <w:trHeight w:val="50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产品份额类型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rightChars="15" w:right="33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ascii="楷体_GB2312" w:eastAsia="楷体_GB2312" w:cs="楷体_GB2312"/>
                <w:sz w:val="20"/>
                <w:szCs w:val="20"/>
              </w:rPr>
              <w:t>N类份额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份额代码【AF223065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N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】</w:t>
            </w:r>
          </w:p>
          <w:p w:rsidR="00055752" w:rsidRDefault="00055752" w:rsidP="00055752">
            <w:pPr>
              <w:spacing w:line="300" w:lineRule="exact"/>
              <w:ind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后续理财产品份额类型如有新增、减少和变更，信银理财将按照本说明书约定的方式告知投资者。</w:t>
            </w:r>
          </w:p>
        </w:tc>
      </w:tr>
      <w:tr w:rsidR="00055752">
        <w:trPr>
          <w:trHeight w:val="434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工作日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指除中国法定节假日和公休日外的其他日。</w:t>
            </w:r>
          </w:p>
        </w:tc>
      </w:tr>
      <w:tr w:rsidR="00055752">
        <w:trPr>
          <w:trHeight w:val="35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3A7C42">
            <w:pPr>
              <w:spacing w:line="300" w:lineRule="atLeast"/>
              <w:ind w:left="-2" w:right="31"/>
              <w:rPr>
                <w:rFonts w:ascii="Times New Roman" w:eastAsia="楷体_GB2312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hAnsi="Times New Roman" w:cs="Times New Roman" w:hint="eastAsia"/>
                <w:color w:val="000000" w:themeColor="text1"/>
                <w:sz w:val="20"/>
                <w:szCs w:val="20"/>
              </w:rPr>
              <w:t>运作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0"/>
                <w:szCs w:val="20"/>
              </w:rPr>
              <w:t>起始</w:t>
            </w:r>
            <w:r>
              <w:rPr>
                <w:rFonts w:ascii="Times New Roman" w:eastAsia="楷体_GB2312" w:hAnsi="Times New Roman" w:cs="Times New Roman" w:hint="eastAsia"/>
                <w:color w:val="000000" w:themeColor="text1"/>
                <w:sz w:val="20"/>
                <w:szCs w:val="20"/>
              </w:rPr>
              <w:t>日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3A7C42">
            <w:pPr>
              <w:spacing w:line="300" w:lineRule="atLeast"/>
              <w:ind w:left="-2" w:right="31"/>
              <w:rPr>
                <w:rFonts w:ascii="Times New Roman" w:eastAsia="楷体_GB2312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sz w:val="20"/>
                <w:szCs w:val="20"/>
              </w:rPr>
              <w:t>【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2022】年【2】月【24】日</w:t>
            </w:r>
            <w:r>
              <w:rPr>
                <w:rFonts w:ascii="Times New Roman" w:eastAsia="楷体_GB2312" w:hAnsi="Times New Roman" w:cs="Times New Roman" w:hint="eastAsia"/>
                <w:color w:val="000000" w:themeColor="text1"/>
                <w:sz w:val="20"/>
                <w:szCs w:val="20"/>
              </w:rPr>
              <w:t>（如信银理财调整募集期，则运作</w:t>
            </w:r>
            <w:r>
              <w:rPr>
                <w:rFonts w:ascii="Times New Roman" w:eastAsia="楷体_GB2312" w:hAnsi="Times New Roman" w:cs="Times New Roman"/>
                <w:color w:val="000000" w:themeColor="text1"/>
                <w:sz w:val="20"/>
                <w:szCs w:val="20"/>
              </w:rPr>
              <w:t>起始</w:t>
            </w:r>
            <w:r>
              <w:rPr>
                <w:rFonts w:ascii="Times New Roman" w:eastAsia="楷体_GB2312" w:hAnsi="Times New Roman" w:cs="Times New Roman" w:hint="eastAsia"/>
                <w:color w:val="000000" w:themeColor="text1"/>
                <w:sz w:val="20"/>
                <w:szCs w:val="20"/>
              </w:rPr>
              <w:t>日将相应调整。）</w:t>
            </w:r>
          </w:p>
        </w:tc>
      </w:tr>
      <w:tr w:rsidR="00055752">
        <w:trPr>
          <w:trHeight w:val="35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产品建仓期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sz w:val="20"/>
                <w:szCs w:val="20"/>
              </w:rPr>
              <w:t>【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2022】年【2】月【24】日至【2022】年【5】月【23】日</w:t>
            </w:r>
          </w:p>
        </w:tc>
      </w:tr>
      <w:tr w:rsidR="00055752">
        <w:trPr>
          <w:trHeight w:val="340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到期日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sz w:val="20"/>
                <w:szCs w:val="20"/>
              </w:rPr>
              <w:t>无固定期限</w:t>
            </w:r>
          </w:p>
        </w:tc>
      </w:tr>
      <w:tr w:rsidR="00055752">
        <w:trPr>
          <w:trHeight w:val="314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最短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持有期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40" w:right="88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本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产品的最短持有期为【14】自然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日，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即投资者成功购买本产品份额后，自该份额确认日（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含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）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起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连续持有超过【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4】自然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日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，方可在开放日的交易时间发起相应份额的赎回申请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。</w:t>
            </w:r>
          </w:p>
        </w:tc>
      </w:tr>
      <w:tr w:rsidR="00055752">
        <w:trPr>
          <w:trHeight w:val="35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开放日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40" w:right="88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本产品首个申购开放日为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【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2022】年【2】月【25】日，之后【每个工作日】开放申购（如遇非工作日则自动顺延至下一工作日）。</w:t>
            </w:r>
          </w:p>
          <w:p w:rsidR="00055752" w:rsidRDefault="00055752" w:rsidP="00055752">
            <w:pPr>
              <w:spacing w:line="300" w:lineRule="exact"/>
              <w:ind w:rightChars="40" w:right="88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ascii="楷体_GB2312" w:eastAsia="楷体_GB2312" w:cs="楷体_GB2312"/>
                <w:sz w:val="20"/>
                <w:szCs w:val="20"/>
              </w:rPr>
              <w:t>2.本产品【每个工作日】开放赎回，投资者可以针对超过最短持有期后的产品份额发起赎回申请（如遇非工作日则顺延至下一工作日）。</w:t>
            </w:r>
          </w:p>
          <w:p w:rsidR="00055752" w:rsidRDefault="00055752" w:rsidP="00055752">
            <w:pPr>
              <w:spacing w:line="300" w:lineRule="exact"/>
              <w:ind w:leftChars="-1" w:left="-2" w:rightChars="40" w:right="88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3.如因实际投资运作需要等因素，管理人有权增加或调整开放日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和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到期日，并最迟于增加或调整生效前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【2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】个工作日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以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本说明书约定的方式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向投资者发布相关信息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 xml:space="preserve">。 </w:t>
            </w:r>
          </w:p>
        </w:tc>
      </w:tr>
      <w:tr w:rsidR="00055752">
        <w:trPr>
          <w:trHeight w:val="525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清算期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到期日（或理财产品实际终止日）至投资者持有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的本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产品份额清零之日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为清算期。</w:t>
            </w:r>
          </w:p>
        </w:tc>
      </w:tr>
      <w:tr w:rsidR="00055752">
        <w:trPr>
          <w:trHeight w:val="35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业绩</w:t>
            </w: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比较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基准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jc w:val="both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N类份额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：【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2.40%-3.05%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】</w:t>
            </w:r>
          </w:p>
          <w:p w:rsidR="00055752" w:rsidRDefault="00055752" w:rsidP="00055752">
            <w:pPr>
              <w:spacing w:line="300" w:lineRule="exact"/>
              <w:ind w:leftChars="-1" w:left="-2" w:rightChars="15" w:right="33"/>
              <w:jc w:val="both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业绩基准测算依据：【本理财产品为固定收益类产品，主要投向为债权类资产。根据当前市场利率水平、组合目标久期、可投资债券的静态收益率、债券杠杆操作等因素作为测算依据，扣除相关税费成本之后，综合得出产品的业绩比较基准。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</w:p>
          <w:p w:rsidR="00055752" w:rsidRDefault="00055752" w:rsidP="00055752">
            <w:pPr>
              <w:spacing w:line="300" w:lineRule="exact"/>
              <w:ind w:leftChars="-1" w:left="-2" w:rightChars="15" w:right="33"/>
              <w:jc w:val="both"/>
              <w:rPr>
                <w:rFonts w:ascii="楷体_GB2312" w:eastAsia="楷体_GB2312" w:cs="楷体_GB2312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b/>
                <w:bCs/>
                <w:color w:val="000000" w:themeColor="text1"/>
                <w:sz w:val="20"/>
                <w:szCs w:val="20"/>
              </w:rPr>
              <w:lastRenderedPageBreak/>
              <w:t>业绩比较基准是基于产品性质、投资策略、过往经验等因素对产品设定的投资目标，不是预期收益率，不代表产品的未来表现和实际收益，不构成对产品收益的承诺，投资须谨慎。</w:t>
            </w:r>
          </w:p>
          <w:p w:rsidR="00055752" w:rsidRDefault="00055752" w:rsidP="00055752">
            <w:pPr>
              <w:spacing w:line="300" w:lineRule="exact"/>
              <w:ind w:leftChars="-1" w:left="-2" w:rightChars="15" w:right="33"/>
              <w:jc w:val="both"/>
              <w:rPr>
                <w:rFonts w:ascii="黑体" w:eastAsia="黑体" w:hAnsi="黑体" w:cs="楷体_GB2312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b/>
                <w:bCs/>
                <w:color w:val="000000" w:themeColor="text1"/>
                <w:sz w:val="20"/>
                <w:szCs w:val="20"/>
              </w:rPr>
              <w:t>本产品收取的销售服务费可能因销售</w:t>
            </w:r>
            <w:r>
              <w:rPr>
                <w:rFonts w:ascii="楷体_GB2312" w:eastAsia="楷体_GB2312" w:cs="楷体_GB2312"/>
                <w:b/>
                <w:bCs/>
                <w:color w:val="000000" w:themeColor="text1"/>
                <w:sz w:val="20"/>
                <w:szCs w:val="20"/>
              </w:rPr>
              <w:t>机构</w:t>
            </w:r>
            <w:r>
              <w:rPr>
                <w:rFonts w:ascii="楷体_GB2312" w:eastAsia="楷体_GB2312" w:cs="楷体_GB2312" w:hint="eastAsia"/>
                <w:b/>
                <w:bCs/>
                <w:color w:val="000000" w:themeColor="text1"/>
                <w:sz w:val="20"/>
                <w:szCs w:val="20"/>
              </w:rPr>
              <w:t>不同有所差异，从而导致测算的业绩比较基准有所差异，请投资者关注管理人及销售机构相关信息披露。</w:t>
            </w:r>
          </w:p>
          <w:p w:rsidR="00055752" w:rsidRDefault="00055752" w:rsidP="00055752">
            <w:pPr>
              <w:spacing w:line="300" w:lineRule="exact"/>
              <w:ind w:leftChars="-1" w:left="-2" w:rightChars="15" w:right="33"/>
              <w:jc w:val="both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若今后法律法规发生变化，或有其他代表性更强、更科学客观的业绩比较基准适用于本产品时，本产品可变更业绩比较基准并及时告知投资者。管理人有权根据法律法规要求、市场情况在每个开放日调整当期业绩比较基准，并在每个开放日前【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】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个工作日以符合监管规定要求的方式向投资者披露，投资者不接受的，可于最近一个开放日赎回理财产品。</w:t>
            </w:r>
          </w:p>
        </w:tc>
      </w:tr>
      <w:tr w:rsidR="00055752">
        <w:trPr>
          <w:trHeight w:val="29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lastRenderedPageBreak/>
              <w:t>交易时间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本产品认购交易时间为【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8：30-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】，申购和赎回交易时间为【8：30-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】（信银理财有权变更交易时间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。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如果投资者通过信银理财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直销渠道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购买的，则交易时间以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信银理财直销渠道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的营业时间和公布的交易时间为准，且必须在【8：30-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】内）；募集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期内，信银理财在认购交易时间内受理投资者的认购申请。投资者通过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代销机构购买理财产品的，还应按照代销机构对于交易时间以及交易申请的相关规定执行，但认购交易时间必须在【8：30-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】内，申购和赎回交易时间必须在【8：30-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】内。</w:t>
            </w:r>
          </w:p>
        </w:tc>
      </w:tr>
      <w:tr w:rsidR="00055752">
        <w:trPr>
          <w:trHeight w:val="32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币种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本产品投资与收益币种为【人民币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</w:p>
        </w:tc>
      </w:tr>
      <w:tr w:rsidR="00055752">
        <w:trPr>
          <w:trHeight w:val="32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认</w:t>
            </w: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申购起点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jc w:val="both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ascii="楷体_GB2312" w:eastAsia="楷体_GB2312" w:cs="楷体_GB2312"/>
                <w:sz w:val="20"/>
                <w:szCs w:val="20"/>
              </w:rPr>
              <w:t>N类份额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初始认购/首次申购金额不低于【人民币】【1】元，以【人民币】【0.01】元的整数倍增加。追加认购/申购金额不低于【人民币】【0.01】元，以【人民币】【0.01】元的整数倍增加。</w:t>
            </w:r>
          </w:p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代销机构对产品的认/申购起点及追加认/申购金额的要求与信银理财不一致的，以代销机构为准，但不得低于上述对应金额。</w:t>
            </w:r>
          </w:p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客户持有理财产品份额时进行申购，不视为首次申购，按追加申购处理。客户全额赎回不再持有理财产品份额后再次申购，视同首次申购处理。</w:t>
            </w:r>
          </w:p>
        </w:tc>
      </w:tr>
      <w:tr w:rsidR="00055752">
        <w:trPr>
          <w:trHeight w:val="614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单个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投资者持仓份额比例限制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本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产品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单一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投资者持有份额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不得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超过产品总份额的50%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。投资者提出认购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/申购申请时，如认/申购后投资者持有份额超过产品总份额的50%，信银理财将不接受超过单个投资者持仓份额比例限制的申请。</w:t>
            </w:r>
          </w:p>
        </w:tc>
      </w:tr>
      <w:tr w:rsidR="00055752">
        <w:trPr>
          <w:trHeight w:val="35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lastRenderedPageBreak/>
              <w:t>单个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投资者持仓</w:t>
            </w:r>
            <w:r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下限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ascii="楷体_GB2312" w:eastAsia="楷体_GB2312" w:cs="楷体_GB2312" w:hint="eastAsia"/>
                <w:sz w:val="20"/>
                <w:szCs w:val="20"/>
              </w:rPr>
              <w:t>1.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N类份额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单个投资者持仓份额下限为【0.01】份。投资者提出部分赎回时，如赎回后投资者持有份额不足【0.01】份，则管理人将对投资者剩余份额发起强制赎回。</w:t>
            </w:r>
          </w:p>
          <w:p w:rsidR="00055752" w:rsidRDefault="00055752" w:rsidP="00055752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信银理财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有权根据实际需要对此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份额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下限进行调</w:t>
            </w:r>
            <w:r>
              <w:rPr>
                <w:rFonts w:ascii="楷体_GB2312" w:eastAsia="楷体_GB2312" w:cs="楷体_GB2312" w:hint="eastAsia"/>
                <w:color w:val="000000" w:themeColor="text1"/>
                <w:sz w:val="20"/>
                <w:szCs w:val="20"/>
              </w:rPr>
              <w:t>整。</w:t>
            </w:r>
          </w:p>
        </w:tc>
      </w:tr>
      <w:tr w:rsidR="001477A5" w:rsidTr="001477A5">
        <w:trPr>
          <w:trHeight w:val="35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477A5" w:rsidRPr="001477A5" w:rsidRDefault="001477A5" w:rsidP="001477A5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 w:rsidRPr="001477A5"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份额单位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477A5" w:rsidRPr="001477A5" w:rsidRDefault="001477A5" w:rsidP="001477A5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sz w:val="20"/>
                <w:szCs w:val="20"/>
              </w:rPr>
            </w:pPr>
            <w:r w:rsidRPr="001477A5">
              <w:rPr>
                <w:rFonts w:ascii="楷体_GB2312" w:eastAsia="楷体_GB2312" w:cs="楷体_GB2312" w:hint="eastAsia"/>
                <w:sz w:val="20"/>
                <w:szCs w:val="20"/>
              </w:rPr>
              <w:t>份</w:t>
            </w:r>
          </w:p>
        </w:tc>
      </w:tr>
      <w:tr w:rsidR="001477A5" w:rsidTr="001477A5">
        <w:trPr>
          <w:trHeight w:val="359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477A5" w:rsidRPr="001477A5" w:rsidRDefault="001477A5" w:rsidP="001477A5">
            <w:pPr>
              <w:spacing w:line="300" w:lineRule="exact"/>
              <w:ind w:leftChars="-1" w:left="-2" w:rightChars="15" w:right="33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 w:rsidRPr="001477A5">
              <w:rPr>
                <w:rFonts w:ascii="Times New Roman" w:eastAsia="楷体_GB2312" w:cs="楷体_GB2312" w:hint="eastAsia"/>
                <w:color w:val="000000" w:themeColor="text1"/>
                <w:sz w:val="20"/>
                <w:szCs w:val="20"/>
              </w:rPr>
              <w:t>单位净值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477A5" w:rsidRDefault="001477A5" w:rsidP="001477A5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ascii="楷体_GB2312" w:eastAsia="楷体_GB2312" w:cs="楷体_GB2312"/>
                <w:sz w:val="20"/>
                <w:szCs w:val="20"/>
              </w:rPr>
              <w:t>1.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单位净值为单位产品份额的净值，该净值为扣除相关税费后的净值。相关税费包含固定管理费、销售服务费、托管费、本理财产品运营过程中产生的增值税及附加税费等。</w:t>
            </w:r>
          </w:p>
          <w:p w:rsidR="001477A5" w:rsidRDefault="001477A5" w:rsidP="001477A5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ascii="楷体_GB2312" w:eastAsia="楷体_GB2312" w:cs="楷体_GB2312"/>
                <w:sz w:val="20"/>
                <w:szCs w:val="20"/>
              </w:rPr>
              <w:t>2.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本产品按照单位净值进行申购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、赎回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。单位净值按照【四舍五入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】</w:t>
            </w:r>
            <w:r>
              <w:rPr>
                <w:rFonts w:ascii="楷体_GB2312" w:eastAsia="楷体_GB2312" w:cs="楷体_GB2312" w:hint="eastAsia"/>
                <w:sz w:val="20"/>
                <w:szCs w:val="20"/>
              </w:rPr>
              <w:t>保留至小数点后【4】位。</w:t>
            </w:r>
          </w:p>
          <w:p w:rsidR="001477A5" w:rsidRPr="001477A5" w:rsidRDefault="001477A5" w:rsidP="001477A5">
            <w:pPr>
              <w:spacing w:line="300" w:lineRule="exact"/>
              <w:ind w:leftChars="-1" w:left="-2" w:rightChars="15" w:right="33"/>
              <w:rPr>
                <w:rFonts w:ascii="楷体_GB2312" w:eastAsia="楷体_GB2312" w:cs="楷体_GB2312"/>
                <w:sz w:val="20"/>
                <w:szCs w:val="20"/>
              </w:rPr>
            </w:pPr>
            <w:r w:rsidRPr="001477A5">
              <w:rPr>
                <w:rFonts w:ascii="楷体_GB2312" w:eastAsia="楷体_GB2312" w:cs="楷体_GB2312"/>
                <w:sz w:val="20"/>
                <w:szCs w:val="20"/>
              </w:rPr>
              <w:t>3.</w:t>
            </w:r>
            <w:r w:rsidRPr="001477A5">
              <w:rPr>
                <w:rFonts w:ascii="楷体_GB2312" w:eastAsia="楷体_GB2312" w:cs="楷体_GB2312" w:hint="eastAsia"/>
                <w:sz w:val="20"/>
                <w:szCs w:val="20"/>
              </w:rPr>
              <w:t>本产品到期后，管理人将在到期日后【5】个工作日内披露份额最终单位净值。</w:t>
            </w:r>
          </w:p>
        </w:tc>
      </w:tr>
    </w:tbl>
    <w:p w:rsidR="00607887" w:rsidRDefault="00EF54D3">
      <w:pPr>
        <w:adjustRightInd/>
        <w:snapToGrid/>
        <w:spacing w:after="0"/>
        <w:ind w:firstLine="630"/>
        <w:jc w:val="center"/>
        <w:rPr>
          <w:rFonts w:ascii="仿宋_GB2312" w:eastAsia="仿宋_GB2312" w:hAnsi="微软雅黑" w:cs="宋体"/>
          <w:color w:val="FF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FF0000"/>
          <w:sz w:val="32"/>
          <w:szCs w:val="32"/>
        </w:rPr>
        <w:t>（更多具体要素请详阅产品说明书）</w:t>
      </w:r>
    </w:p>
    <w:p w:rsidR="00607887" w:rsidRDefault="00EF54D3">
      <w:pPr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注意事项：</w:t>
      </w:r>
    </w:p>
    <w:p w:rsidR="00607887" w:rsidRDefault="00EF54D3">
      <w:pPr>
        <w:ind w:firstLineChars="200" w:firstLine="640"/>
        <w:rPr>
          <w:rFonts w:ascii="微软雅黑" w:hAnsi="微软雅黑" w:cs="宋体"/>
          <w:color w:val="00000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1.该产品销售要求参照我行自营理财销售相关规定执行。</w:t>
      </w:r>
    </w:p>
    <w:p w:rsidR="00607887" w:rsidRDefault="00EF54D3">
      <w:pPr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2.相关产品销售文件见附件。</w:t>
      </w:r>
    </w:p>
    <w:p w:rsidR="00607887" w:rsidRDefault="00EF54D3">
      <w:pPr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3.</w:t>
      </w:r>
      <w:r w:rsidR="00800D3C">
        <w:rPr>
          <w:rFonts w:ascii="仿宋_GB2312" w:eastAsia="仿宋_GB2312" w:hAnsi="微软雅黑" w:cs="宋体" w:hint="eastAsia"/>
          <w:color w:val="FF0000"/>
          <w:sz w:val="32"/>
          <w:szCs w:val="32"/>
        </w:rPr>
        <w:t>紫金农商银行对本产品的风险评级为中</w:t>
      </w:r>
      <w:r>
        <w:rPr>
          <w:rFonts w:ascii="仿宋_GB2312" w:eastAsia="仿宋_GB2312" w:hAnsi="微软雅黑" w:cs="宋体" w:hint="eastAsia"/>
          <w:color w:val="FF0000"/>
          <w:sz w:val="32"/>
          <w:szCs w:val="32"/>
        </w:rPr>
        <w:t>风险</w:t>
      </w:r>
      <w:r>
        <w:rPr>
          <w:rFonts w:ascii="仿宋_GB2312" w:eastAsia="仿宋_GB2312" w:hAnsi="微软雅黑" w:cs="宋体"/>
          <w:color w:val="FF0000"/>
          <w:sz w:val="32"/>
          <w:szCs w:val="32"/>
        </w:rPr>
        <w:t>。</w:t>
      </w:r>
    </w:p>
    <w:p w:rsidR="00607887" w:rsidRDefault="00EF54D3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4.如有其他未尽事宜以私人银行部解释为准。</w:t>
      </w:r>
    </w:p>
    <w:p w:rsidR="00607887" w:rsidRDefault="00607887">
      <w:pPr>
        <w:adjustRightInd/>
        <w:snapToGrid/>
        <w:spacing w:after="0"/>
        <w:rPr>
          <w:rFonts w:ascii="微软雅黑" w:hAnsi="微软雅黑" w:cs="宋体"/>
          <w:color w:val="000000"/>
          <w:sz w:val="30"/>
          <w:szCs w:val="30"/>
        </w:rPr>
      </w:pPr>
    </w:p>
    <w:p w:rsidR="00607887" w:rsidRDefault="00EF54D3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附件：</w:t>
      </w:r>
    </w:p>
    <w:p w:rsidR="00607887" w:rsidRDefault="00EF54D3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1.</w:t>
      </w:r>
      <w:r w:rsidR="00800D3C" w:rsidRPr="00800D3C">
        <w:rPr>
          <w:rFonts w:hint="eastAsia"/>
        </w:rPr>
        <w:t xml:space="preserve"> </w:t>
      </w:r>
      <w:r w:rsidR="001477A5" w:rsidRPr="001477A5">
        <w:rPr>
          <w:rFonts w:ascii="仿宋_GB2312" w:eastAsia="仿宋_GB2312" w:hAnsi="微软雅黑" w:cs="宋体" w:hint="eastAsia"/>
          <w:color w:val="000000"/>
          <w:sz w:val="32"/>
          <w:szCs w:val="32"/>
        </w:rPr>
        <w:t>信银理财安盈象固收稳健十四天持有期1号理财产品</w:t>
      </w:r>
      <w:r w:rsidR="00800D3C" w:rsidRPr="00800D3C">
        <w:rPr>
          <w:rFonts w:ascii="仿宋_GB2312" w:eastAsia="仿宋_GB2312" w:hAnsi="微软雅黑" w:cs="宋体" w:hint="eastAsia"/>
          <w:color w:val="000000"/>
          <w:sz w:val="32"/>
          <w:szCs w:val="32"/>
        </w:rPr>
        <w:t>风险揭示书</w:t>
      </w:r>
    </w:p>
    <w:p w:rsidR="00607887" w:rsidRDefault="00EF54D3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2.</w:t>
      </w:r>
      <w:r w:rsidR="00800D3C" w:rsidRPr="00800D3C">
        <w:rPr>
          <w:rFonts w:hint="eastAsia"/>
        </w:rPr>
        <w:t xml:space="preserve"> </w:t>
      </w:r>
      <w:r w:rsidR="001477A5" w:rsidRPr="001477A5">
        <w:rPr>
          <w:rFonts w:ascii="仿宋_GB2312" w:eastAsia="仿宋_GB2312" w:hAnsi="微软雅黑" w:cs="宋体" w:hint="eastAsia"/>
          <w:color w:val="000000"/>
          <w:sz w:val="32"/>
          <w:szCs w:val="32"/>
        </w:rPr>
        <w:t>信银理财安盈象固收稳健十四天持有期1号理财产品</w:t>
      </w:r>
      <w:r w:rsidR="00800D3C" w:rsidRPr="00800D3C">
        <w:rPr>
          <w:rFonts w:ascii="仿宋_GB2312" w:eastAsia="仿宋_GB2312" w:hAnsi="微软雅黑" w:cs="宋体" w:hint="eastAsia"/>
          <w:color w:val="000000"/>
          <w:sz w:val="32"/>
          <w:szCs w:val="32"/>
        </w:rPr>
        <w:t>说明书</w:t>
      </w:r>
    </w:p>
    <w:p w:rsidR="00607887" w:rsidRDefault="00EF54D3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3.</w:t>
      </w:r>
      <w:r w:rsidR="00800D3C" w:rsidRPr="00800D3C">
        <w:rPr>
          <w:rFonts w:hint="eastAsia"/>
        </w:rPr>
        <w:t xml:space="preserve"> </w:t>
      </w:r>
      <w:r w:rsidR="00800D3C" w:rsidRPr="00800D3C">
        <w:rPr>
          <w:rFonts w:ascii="仿宋_GB2312" w:eastAsia="仿宋_GB2312" w:hAnsi="微软雅黑" w:cs="宋体" w:hint="eastAsia"/>
          <w:color w:val="000000"/>
          <w:sz w:val="32"/>
          <w:szCs w:val="32"/>
        </w:rPr>
        <w:t>信银理财理财产品销售协议（适用于个人客户）</w:t>
      </w:r>
    </w:p>
    <w:p w:rsidR="00607887" w:rsidRDefault="00EF54D3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4.</w:t>
      </w:r>
      <w:r w:rsidR="00800D3C" w:rsidRPr="00800D3C">
        <w:rPr>
          <w:rFonts w:hint="eastAsia"/>
        </w:rPr>
        <w:t xml:space="preserve"> </w:t>
      </w:r>
      <w:r w:rsidR="00800D3C" w:rsidRPr="00800D3C">
        <w:rPr>
          <w:rFonts w:ascii="仿宋_GB2312" w:eastAsia="仿宋_GB2312" w:hAnsi="微软雅黑" w:cs="宋体" w:hint="eastAsia"/>
          <w:color w:val="000000"/>
          <w:sz w:val="32"/>
          <w:szCs w:val="32"/>
        </w:rPr>
        <w:t>信银理财理财产品投资协议书</w:t>
      </w:r>
    </w:p>
    <w:p w:rsidR="00607887" w:rsidRDefault="00EF54D3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5.</w:t>
      </w:r>
      <w:r w:rsidR="00800D3C" w:rsidRPr="00800D3C">
        <w:rPr>
          <w:rFonts w:hint="eastAsia"/>
        </w:rPr>
        <w:t xml:space="preserve"> </w:t>
      </w:r>
      <w:r w:rsidR="00800D3C" w:rsidRPr="00800D3C">
        <w:rPr>
          <w:rFonts w:ascii="仿宋_GB2312" w:eastAsia="仿宋_GB2312" w:hAnsi="微软雅黑" w:cs="宋体" w:hint="eastAsia"/>
          <w:color w:val="000000"/>
          <w:sz w:val="32"/>
          <w:szCs w:val="32"/>
        </w:rPr>
        <w:t>信银理财客户权益须知</w:t>
      </w:r>
    </w:p>
    <w:p w:rsidR="00607887" w:rsidRDefault="00607887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</w:p>
    <w:p w:rsidR="00607887" w:rsidRDefault="00607887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</w:p>
    <w:p w:rsidR="00607887" w:rsidRDefault="00607887">
      <w:pPr>
        <w:adjustRightInd/>
        <w:snapToGrid/>
        <w:spacing w:after="0"/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</w:p>
    <w:p w:rsidR="00607887" w:rsidRDefault="00EF54D3">
      <w:pPr>
        <w:adjustRightInd/>
        <w:snapToGrid/>
        <w:spacing w:after="0"/>
        <w:ind w:firstLine="5760"/>
        <w:jc w:val="right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私人银行部</w:t>
      </w:r>
    </w:p>
    <w:p w:rsidR="00607887" w:rsidRDefault="00EF54D3">
      <w:pPr>
        <w:adjustRightInd/>
        <w:snapToGrid/>
        <w:spacing w:after="0"/>
        <w:jc w:val="right"/>
        <w:rPr>
          <w:rFonts w:ascii="仿宋_GB2312" w:eastAsia="仿宋_GB2312" w:hAnsi="微软雅黑" w:cs="宋体"/>
          <w:color w:val="00000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2023年12月1</w:t>
      </w:r>
      <w:r w:rsidR="001477A5">
        <w:rPr>
          <w:rFonts w:ascii="仿宋_GB2312" w:eastAsia="仿宋_GB2312" w:hAnsi="微软雅黑" w:cs="宋体" w:hint="eastAsia"/>
          <w:color w:val="000000"/>
          <w:sz w:val="32"/>
          <w:szCs w:val="32"/>
        </w:rPr>
        <w:t>4</w:t>
      </w:r>
      <w:r>
        <w:rPr>
          <w:rFonts w:ascii="仿宋_GB2312" w:eastAsia="仿宋_GB2312" w:hAnsi="微软雅黑" w:cs="宋体" w:hint="eastAsia"/>
          <w:color w:val="000000"/>
          <w:sz w:val="32"/>
          <w:szCs w:val="32"/>
        </w:rPr>
        <w:t>日</w:t>
      </w:r>
    </w:p>
    <w:sectPr w:rsidR="00607887" w:rsidSect="006078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BC2" w:rsidRDefault="00DF0BC2">
      <w:r>
        <w:separator/>
      </w:r>
    </w:p>
  </w:endnote>
  <w:endnote w:type="continuationSeparator" w:id="1">
    <w:p w:rsidR="00DF0BC2" w:rsidRDefault="00DF0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BC2" w:rsidRDefault="00DF0BC2">
      <w:pPr>
        <w:spacing w:after="0"/>
      </w:pPr>
      <w:r>
        <w:separator/>
      </w:r>
    </w:p>
  </w:footnote>
  <w:footnote w:type="continuationSeparator" w:id="1">
    <w:p w:rsidR="00DF0BC2" w:rsidRDefault="00DF0BC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7A45"/>
    <w:rsid w:val="00007B0F"/>
    <w:rsid w:val="000108F3"/>
    <w:rsid w:val="00010C68"/>
    <w:rsid w:val="00012652"/>
    <w:rsid w:val="00015217"/>
    <w:rsid w:val="00015DAC"/>
    <w:rsid w:val="0002233E"/>
    <w:rsid w:val="00023665"/>
    <w:rsid w:val="000263A0"/>
    <w:rsid w:val="00031FB1"/>
    <w:rsid w:val="000430CA"/>
    <w:rsid w:val="00050465"/>
    <w:rsid w:val="000547BB"/>
    <w:rsid w:val="00055752"/>
    <w:rsid w:val="000571BC"/>
    <w:rsid w:val="000609B0"/>
    <w:rsid w:val="0006322B"/>
    <w:rsid w:val="00067DDC"/>
    <w:rsid w:val="000729EB"/>
    <w:rsid w:val="00072D1A"/>
    <w:rsid w:val="000812F4"/>
    <w:rsid w:val="000819E6"/>
    <w:rsid w:val="000936F7"/>
    <w:rsid w:val="000957AC"/>
    <w:rsid w:val="00097209"/>
    <w:rsid w:val="000A5028"/>
    <w:rsid w:val="000D32F4"/>
    <w:rsid w:val="000E18A2"/>
    <w:rsid w:val="000E1B34"/>
    <w:rsid w:val="000E1FA9"/>
    <w:rsid w:val="000E7543"/>
    <w:rsid w:val="001005C6"/>
    <w:rsid w:val="0010440D"/>
    <w:rsid w:val="0012192B"/>
    <w:rsid w:val="001225F8"/>
    <w:rsid w:val="0013066D"/>
    <w:rsid w:val="00131A96"/>
    <w:rsid w:val="0013501E"/>
    <w:rsid w:val="00143D3D"/>
    <w:rsid w:val="00144E0E"/>
    <w:rsid w:val="001477A5"/>
    <w:rsid w:val="00152FB9"/>
    <w:rsid w:val="00157799"/>
    <w:rsid w:val="001642B1"/>
    <w:rsid w:val="00171A3A"/>
    <w:rsid w:val="00174CF3"/>
    <w:rsid w:val="00174FC8"/>
    <w:rsid w:val="001763AA"/>
    <w:rsid w:val="001A556D"/>
    <w:rsid w:val="001A6DC6"/>
    <w:rsid w:val="001B2273"/>
    <w:rsid w:val="001B7E33"/>
    <w:rsid w:val="001F72B5"/>
    <w:rsid w:val="00201E20"/>
    <w:rsid w:val="00206F8F"/>
    <w:rsid w:val="00216E71"/>
    <w:rsid w:val="002235BC"/>
    <w:rsid w:val="002317E9"/>
    <w:rsid w:val="00232543"/>
    <w:rsid w:val="00233CED"/>
    <w:rsid w:val="00236FDA"/>
    <w:rsid w:val="002422B4"/>
    <w:rsid w:val="002513BD"/>
    <w:rsid w:val="00251BF3"/>
    <w:rsid w:val="00277323"/>
    <w:rsid w:val="002777A1"/>
    <w:rsid w:val="00283408"/>
    <w:rsid w:val="002866F6"/>
    <w:rsid w:val="0029028F"/>
    <w:rsid w:val="002B1948"/>
    <w:rsid w:val="002C248B"/>
    <w:rsid w:val="002D396F"/>
    <w:rsid w:val="002D757D"/>
    <w:rsid w:val="002E3ECB"/>
    <w:rsid w:val="002F1002"/>
    <w:rsid w:val="003059D5"/>
    <w:rsid w:val="00306FE6"/>
    <w:rsid w:val="00307430"/>
    <w:rsid w:val="00322857"/>
    <w:rsid w:val="00322F4C"/>
    <w:rsid w:val="00323B43"/>
    <w:rsid w:val="003247F8"/>
    <w:rsid w:val="00340741"/>
    <w:rsid w:val="00347193"/>
    <w:rsid w:val="00353BA9"/>
    <w:rsid w:val="003720A3"/>
    <w:rsid w:val="00376FEA"/>
    <w:rsid w:val="003813E5"/>
    <w:rsid w:val="003874C3"/>
    <w:rsid w:val="003A1933"/>
    <w:rsid w:val="003C0D6B"/>
    <w:rsid w:val="003C1D41"/>
    <w:rsid w:val="003D2F9A"/>
    <w:rsid w:val="003D37D8"/>
    <w:rsid w:val="003D4715"/>
    <w:rsid w:val="00422AD1"/>
    <w:rsid w:val="00426133"/>
    <w:rsid w:val="00426162"/>
    <w:rsid w:val="004358AB"/>
    <w:rsid w:val="00443E90"/>
    <w:rsid w:val="00450005"/>
    <w:rsid w:val="00450334"/>
    <w:rsid w:val="0045680A"/>
    <w:rsid w:val="00462F3D"/>
    <w:rsid w:val="004633B0"/>
    <w:rsid w:val="00464293"/>
    <w:rsid w:val="004662D4"/>
    <w:rsid w:val="00476C3B"/>
    <w:rsid w:val="00484A94"/>
    <w:rsid w:val="00485549"/>
    <w:rsid w:val="0049140E"/>
    <w:rsid w:val="004A72FB"/>
    <w:rsid w:val="004B5451"/>
    <w:rsid w:val="004B5827"/>
    <w:rsid w:val="004C175A"/>
    <w:rsid w:val="004C7210"/>
    <w:rsid w:val="004D2CAE"/>
    <w:rsid w:val="005100BA"/>
    <w:rsid w:val="005168C5"/>
    <w:rsid w:val="005218F6"/>
    <w:rsid w:val="00522DB4"/>
    <w:rsid w:val="00523BDD"/>
    <w:rsid w:val="00536DF2"/>
    <w:rsid w:val="00543782"/>
    <w:rsid w:val="00556398"/>
    <w:rsid w:val="00596AF2"/>
    <w:rsid w:val="005B45CF"/>
    <w:rsid w:val="005B4703"/>
    <w:rsid w:val="005B4D07"/>
    <w:rsid w:val="005B62F6"/>
    <w:rsid w:val="005B7796"/>
    <w:rsid w:val="005C31E9"/>
    <w:rsid w:val="005C3BAB"/>
    <w:rsid w:val="005C59D9"/>
    <w:rsid w:val="005D072F"/>
    <w:rsid w:val="005D1CEE"/>
    <w:rsid w:val="005D3ACB"/>
    <w:rsid w:val="005F28C4"/>
    <w:rsid w:val="005F2B78"/>
    <w:rsid w:val="00604AF8"/>
    <w:rsid w:val="00606205"/>
    <w:rsid w:val="00607887"/>
    <w:rsid w:val="00607EC0"/>
    <w:rsid w:val="00610019"/>
    <w:rsid w:val="006110FC"/>
    <w:rsid w:val="00611544"/>
    <w:rsid w:val="006148C9"/>
    <w:rsid w:val="0061606F"/>
    <w:rsid w:val="006214F4"/>
    <w:rsid w:val="0062215C"/>
    <w:rsid w:val="00633DBB"/>
    <w:rsid w:val="00656C6E"/>
    <w:rsid w:val="00664732"/>
    <w:rsid w:val="00665EFD"/>
    <w:rsid w:val="00671CB5"/>
    <w:rsid w:val="00672E93"/>
    <w:rsid w:val="00692B80"/>
    <w:rsid w:val="006A2B25"/>
    <w:rsid w:val="006A3869"/>
    <w:rsid w:val="006B534A"/>
    <w:rsid w:val="006C44CC"/>
    <w:rsid w:val="006D4378"/>
    <w:rsid w:val="006D643B"/>
    <w:rsid w:val="006F7634"/>
    <w:rsid w:val="006F7825"/>
    <w:rsid w:val="00701C74"/>
    <w:rsid w:val="0070239F"/>
    <w:rsid w:val="00707DF8"/>
    <w:rsid w:val="0071497F"/>
    <w:rsid w:val="007248B8"/>
    <w:rsid w:val="0073205A"/>
    <w:rsid w:val="007353CA"/>
    <w:rsid w:val="0073541E"/>
    <w:rsid w:val="00740E8C"/>
    <w:rsid w:val="00741563"/>
    <w:rsid w:val="007675CD"/>
    <w:rsid w:val="00774A8F"/>
    <w:rsid w:val="00776CED"/>
    <w:rsid w:val="00783419"/>
    <w:rsid w:val="00793A91"/>
    <w:rsid w:val="00795DC6"/>
    <w:rsid w:val="007B320A"/>
    <w:rsid w:val="007C4E2D"/>
    <w:rsid w:val="007D35F2"/>
    <w:rsid w:val="007D71A4"/>
    <w:rsid w:val="00800D3C"/>
    <w:rsid w:val="00812FBA"/>
    <w:rsid w:val="00816194"/>
    <w:rsid w:val="00822531"/>
    <w:rsid w:val="008301EB"/>
    <w:rsid w:val="008316FD"/>
    <w:rsid w:val="008370FB"/>
    <w:rsid w:val="008450A8"/>
    <w:rsid w:val="008507C0"/>
    <w:rsid w:val="00854BCB"/>
    <w:rsid w:val="00867E9B"/>
    <w:rsid w:val="00884835"/>
    <w:rsid w:val="00887C39"/>
    <w:rsid w:val="00893277"/>
    <w:rsid w:val="00896D1C"/>
    <w:rsid w:val="008A6AC1"/>
    <w:rsid w:val="008B008A"/>
    <w:rsid w:val="008B272C"/>
    <w:rsid w:val="008B2745"/>
    <w:rsid w:val="008B4334"/>
    <w:rsid w:val="008B6523"/>
    <w:rsid w:val="008B6A98"/>
    <w:rsid w:val="008B7726"/>
    <w:rsid w:val="008C5458"/>
    <w:rsid w:val="008D6E85"/>
    <w:rsid w:val="008F2B7A"/>
    <w:rsid w:val="008F7CA5"/>
    <w:rsid w:val="00903E35"/>
    <w:rsid w:val="00907309"/>
    <w:rsid w:val="00911DE1"/>
    <w:rsid w:val="0092193A"/>
    <w:rsid w:val="00921DC2"/>
    <w:rsid w:val="00932126"/>
    <w:rsid w:val="009511C5"/>
    <w:rsid w:val="00951BFC"/>
    <w:rsid w:val="00953E58"/>
    <w:rsid w:val="0096633A"/>
    <w:rsid w:val="0096677C"/>
    <w:rsid w:val="00985236"/>
    <w:rsid w:val="00986A17"/>
    <w:rsid w:val="00986BCF"/>
    <w:rsid w:val="00996AC4"/>
    <w:rsid w:val="009A6871"/>
    <w:rsid w:val="009B1BA8"/>
    <w:rsid w:val="009B2786"/>
    <w:rsid w:val="009B3A06"/>
    <w:rsid w:val="009D5354"/>
    <w:rsid w:val="009E16F2"/>
    <w:rsid w:val="009F3DF4"/>
    <w:rsid w:val="00A04EFB"/>
    <w:rsid w:val="00A12119"/>
    <w:rsid w:val="00A212F3"/>
    <w:rsid w:val="00A215C9"/>
    <w:rsid w:val="00A30CF8"/>
    <w:rsid w:val="00A320D8"/>
    <w:rsid w:val="00A33F3D"/>
    <w:rsid w:val="00A372BB"/>
    <w:rsid w:val="00A40C60"/>
    <w:rsid w:val="00A46439"/>
    <w:rsid w:val="00A6466C"/>
    <w:rsid w:val="00A656CD"/>
    <w:rsid w:val="00A6775F"/>
    <w:rsid w:val="00A726ED"/>
    <w:rsid w:val="00A838DC"/>
    <w:rsid w:val="00A84AE0"/>
    <w:rsid w:val="00A9135E"/>
    <w:rsid w:val="00AA23FA"/>
    <w:rsid w:val="00AA4E34"/>
    <w:rsid w:val="00AB6BA4"/>
    <w:rsid w:val="00AC6774"/>
    <w:rsid w:val="00AD4C9C"/>
    <w:rsid w:val="00AE6487"/>
    <w:rsid w:val="00AE6C64"/>
    <w:rsid w:val="00B01B88"/>
    <w:rsid w:val="00B100EF"/>
    <w:rsid w:val="00B11389"/>
    <w:rsid w:val="00B12517"/>
    <w:rsid w:val="00B126A7"/>
    <w:rsid w:val="00B22801"/>
    <w:rsid w:val="00B24A4C"/>
    <w:rsid w:val="00B27E33"/>
    <w:rsid w:val="00B4326E"/>
    <w:rsid w:val="00B562D4"/>
    <w:rsid w:val="00B60D12"/>
    <w:rsid w:val="00B6677A"/>
    <w:rsid w:val="00B73A10"/>
    <w:rsid w:val="00B73AC3"/>
    <w:rsid w:val="00B74200"/>
    <w:rsid w:val="00B74951"/>
    <w:rsid w:val="00B82938"/>
    <w:rsid w:val="00B93CFE"/>
    <w:rsid w:val="00BB13C2"/>
    <w:rsid w:val="00BB5D59"/>
    <w:rsid w:val="00C00041"/>
    <w:rsid w:val="00C031DA"/>
    <w:rsid w:val="00C15704"/>
    <w:rsid w:val="00C23A87"/>
    <w:rsid w:val="00C468C3"/>
    <w:rsid w:val="00C66A8C"/>
    <w:rsid w:val="00C71423"/>
    <w:rsid w:val="00C764BE"/>
    <w:rsid w:val="00C857A9"/>
    <w:rsid w:val="00CA308C"/>
    <w:rsid w:val="00CB16FF"/>
    <w:rsid w:val="00CB29BA"/>
    <w:rsid w:val="00CC2EB3"/>
    <w:rsid w:val="00CD328F"/>
    <w:rsid w:val="00CD74BD"/>
    <w:rsid w:val="00CE384A"/>
    <w:rsid w:val="00CF46C2"/>
    <w:rsid w:val="00CF63E7"/>
    <w:rsid w:val="00D01BC1"/>
    <w:rsid w:val="00D10241"/>
    <w:rsid w:val="00D31D50"/>
    <w:rsid w:val="00D42DFD"/>
    <w:rsid w:val="00D476F9"/>
    <w:rsid w:val="00D5491D"/>
    <w:rsid w:val="00D56293"/>
    <w:rsid w:val="00D67754"/>
    <w:rsid w:val="00D763B7"/>
    <w:rsid w:val="00D85401"/>
    <w:rsid w:val="00D87A8A"/>
    <w:rsid w:val="00D97534"/>
    <w:rsid w:val="00DA293F"/>
    <w:rsid w:val="00DA473D"/>
    <w:rsid w:val="00DB267C"/>
    <w:rsid w:val="00DC02CD"/>
    <w:rsid w:val="00DC08E6"/>
    <w:rsid w:val="00DD01FE"/>
    <w:rsid w:val="00DE0EDD"/>
    <w:rsid w:val="00DE145A"/>
    <w:rsid w:val="00DF0BC2"/>
    <w:rsid w:val="00DF4A6E"/>
    <w:rsid w:val="00E05633"/>
    <w:rsid w:val="00E13180"/>
    <w:rsid w:val="00E148A2"/>
    <w:rsid w:val="00E14B44"/>
    <w:rsid w:val="00E161F9"/>
    <w:rsid w:val="00E210A0"/>
    <w:rsid w:val="00E342C9"/>
    <w:rsid w:val="00E35A97"/>
    <w:rsid w:val="00E4304A"/>
    <w:rsid w:val="00E4505D"/>
    <w:rsid w:val="00E45BB8"/>
    <w:rsid w:val="00E51943"/>
    <w:rsid w:val="00E63BFD"/>
    <w:rsid w:val="00E65FB9"/>
    <w:rsid w:val="00E66C57"/>
    <w:rsid w:val="00E679DB"/>
    <w:rsid w:val="00E774C6"/>
    <w:rsid w:val="00E807D3"/>
    <w:rsid w:val="00E83642"/>
    <w:rsid w:val="00EA1489"/>
    <w:rsid w:val="00EB4102"/>
    <w:rsid w:val="00EB4E98"/>
    <w:rsid w:val="00EB7C16"/>
    <w:rsid w:val="00EC780B"/>
    <w:rsid w:val="00EC7A9C"/>
    <w:rsid w:val="00EE2BF0"/>
    <w:rsid w:val="00EE50F7"/>
    <w:rsid w:val="00EF45B7"/>
    <w:rsid w:val="00EF54D3"/>
    <w:rsid w:val="00EF5899"/>
    <w:rsid w:val="00F01F77"/>
    <w:rsid w:val="00F02F9C"/>
    <w:rsid w:val="00F04234"/>
    <w:rsid w:val="00F15448"/>
    <w:rsid w:val="00F21AAA"/>
    <w:rsid w:val="00F340F3"/>
    <w:rsid w:val="00F535DE"/>
    <w:rsid w:val="00F56107"/>
    <w:rsid w:val="00F634A7"/>
    <w:rsid w:val="00F805F0"/>
    <w:rsid w:val="00F864A1"/>
    <w:rsid w:val="00F957A8"/>
    <w:rsid w:val="00F97C18"/>
    <w:rsid w:val="00FA233C"/>
    <w:rsid w:val="00FC73A4"/>
    <w:rsid w:val="00FD35EB"/>
    <w:rsid w:val="00FE0475"/>
    <w:rsid w:val="00FE272F"/>
    <w:rsid w:val="00FF20E5"/>
    <w:rsid w:val="00FF3EEA"/>
    <w:rsid w:val="074A2176"/>
    <w:rsid w:val="07527F15"/>
    <w:rsid w:val="0AB33FF3"/>
    <w:rsid w:val="0B432900"/>
    <w:rsid w:val="0C0635E6"/>
    <w:rsid w:val="2D804DBE"/>
    <w:rsid w:val="325B3793"/>
    <w:rsid w:val="3B550E9F"/>
    <w:rsid w:val="3E3871C6"/>
    <w:rsid w:val="4B702A6C"/>
    <w:rsid w:val="55630990"/>
    <w:rsid w:val="5A3469C0"/>
    <w:rsid w:val="5AEC1BD4"/>
    <w:rsid w:val="61070171"/>
    <w:rsid w:val="63F34D6C"/>
    <w:rsid w:val="66D83D00"/>
    <w:rsid w:val="6BDB2263"/>
    <w:rsid w:val="6CB05102"/>
    <w:rsid w:val="7786347A"/>
    <w:rsid w:val="77C13657"/>
    <w:rsid w:val="77C46917"/>
    <w:rsid w:val="79E85921"/>
    <w:rsid w:val="7C606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7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87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60788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607887"/>
    <w:pPr>
      <w:spacing w:after="0"/>
    </w:pPr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607887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60788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60788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Strong"/>
    <w:basedOn w:val="a0"/>
    <w:uiPriority w:val="22"/>
    <w:qFormat/>
    <w:rsid w:val="00607887"/>
    <w:rPr>
      <w:b/>
      <w:bCs/>
    </w:rPr>
  </w:style>
  <w:style w:type="character" w:styleId="a9">
    <w:name w:val="Hyperlink"/>
    <w:basedOn w:val="a0"/>
    <w:uiPriority w:val="99"/>
    <w:semiHidden/>
    <w:unhideWhenUsed/>
    <w:qFormat/>
    <w:rsid w:val="00607887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607887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607887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qFormat/>
    <w:rsid w:val="00607887"/>
  </w:style>
  <w:style w:type="character" w:customStyle="1" w:styleId="Char0">
    <w:name w:val="批注框文本 Char"/>
    <w:basedOn w:val="a0"/>
    <w:link w:val="a4"/>
    <w:uiPriority w:val="99"/>
    <w:semiHidden/>
    <w:qFormat/>
    <w:rsid w:val="00607887"/>
    <w:rPr>
      <w:rFonts w:ascii="Tahoma" w:hAnsi="Tahoma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607887"/>
    <w:rPr>
      <w:rFonts w:ascii="Tahoma" w:hAnsi="Tahoma"/>
    </w:rPr>
  </w:style>
  <w:style w:type="table" w:customStyle="1" w:styleId="TableNormal">
    <w:name w:val="Table Normal"/>
    <w:semiHidden/>
    <w:unhideWhenUsed/>
    <w:qFormat/>
    <w:rsid w:val="00607887"/>
    <w:rPr>
      <w:rFonts w:ascii="Arial" w:eastAsiaTheme="minorEastAsia" w:hAnsi="Arial" w:cs="Arial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76988347">
    <w:name w:val="Normal (Web)76988347"/>
    <w:next w:val="a6"/>
    <w:qFormat/>
    <w:rsid w:val="00607887"/>
    <w:pPr>
      <w:spacing w:before="102" w:after="102" w:line="1099" w:lineRule="atLeast"/>
      <w:ind w:firstLine="419"/>
      <w:textAlignment w:val="baseline"/>
    </w:pPr>
    <w:rPr>
      <w:rFonts w:ascii="方正黑体_GBK" w:eastAsia="方正黑体_GBK" w:hAnsi="方正黑体_GBK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16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6DFE6C-F2A4-4F5F-BB65-0E9F1B7B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424</Words>
  <Characters>2420</Characters>
  <Application>Microsoft Office Word</Application>
  <DocSecurity>0</DocSecurity>
  <Lines>20</Lines>
  <Paragraphs>5</Paragraphs>
  <ScaleCrop>false</ScaleCrop>
  <Company>Microsoft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11</cp:revision>
  <cp:lastPrinted>2022-09-15T07:23:00Z</cp:lastPrinted>
  <dcterms:created xsi:type="dcterms:W3CDTF">2023-05-23T01:55:00Z</dcterms:created>
  <dcterms:modified xsi:type="dcterms:W3CDTF">2023-12-14T07:26:00Z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55B1A358E2294A458B9C1BD86FEB5CE3</vt:lpwstr>
  </property>
</Properties>
</file>