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snapToGrid w:val="0"/>
        <w:spacing w:line="400" w:lineRule="exact"/>
        <w:ind w:firstLine="0"/>
        <w:jc w:val="center"/>
        <w:rPr>
          <w:rFonts w:hint="eastAsia" w:eastAsia="黑体"/>
          <w:bCs/>
          <w:kern w:val="2"/>
          <w:sz w:val="36"/>
          <w:szCs w:val="36"/>
        </w:rPr>
      </w:pPr>
      <w:r>
        <w:rPr>
          <w:rFonts w:hint="eastAsia" w:eastAsia="黑体"/>
          <w:bCs/>
          <w:kern w:val="2"/>
          <w:sz w:val="36"/>
          <w:szCs w:val="36"/>
        </w:rPr>
        <w:t>华夏理财固定收益纯债型一年定开理财产品</w:t>
      </w:r>
      <w:r>
        <w:rPr>
          <w:rFonts w:hint="eastAsia" w:eastAsia="黑体"/>
          <w:bCs/>
          <w:kern w:val="2"/>
          <w:sz w:val="36"/>
          <w:szCs w:val="36"/>
          <w:lang w:val="en-US" w:eastAsia="zh-CN"/>
        </w:rPr>
        <w:t>9</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3"/>
        <w:tblpPr w:leftFromText="180" w:rightFromText="180" w:vertAnchor="page" w:horzAnchor="page" w:tblpX="1867" w:tblpY="2343"/>
        <w:tblW w:w="859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华夏理财固定收益纯债型一年定开理财产品</w:t>
            </w:r>
            <w:r>
              <w:rPr>
                <w:rFonts w:hint="eastAsia" w:ascii="仿宋" w:hAnsi="仿宋" w:eastAsia="仿宋"/>
                <w:b/>
                <w:bCs/>
                <w:szCs w:val="21"/>
                <w:lang w:val="en-US" w:eastAsia="zh-CN"/>
              </w:rPr>
              <w:t>9</w:t>
            </w:r>
            <w:r>
              <w:rPr>
                <w:rFonts w:hint="eastAsia" w:ascii="仿宋" w:hAnsi="仿宋" w:eastAsia="仿宋"/>
                <w:b/>
                <w:bCs/>
                <w:szCs w:val="21"/>
              </w:rPr>
              <w:t>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A份额简称：“华夏理财固收纯债一年定开</w:t>
            </w:r>
            <w:r>
              <w:rPr>
                <w:rFonts w:hint="eastAsia" w:ascii="仿宋" w:hAnsi="仿宋" w:eastAsia="仿宋"/>
                <w:b/>
                <w:bCs/>
                <w:szCs w:val="21"/>
                <w:lang w:val="en-US" w:eastAsia="zh-CN"/>
              </w:rPr>
              <w:t>9</w:t>
            </w:r>
            <w:r>
              <w:rPr>
                <w:rFonts w:hint="eastAsia" w:ascii="仿宋" w:hAnsi="仿宋" w:eastAsia="仿宋"/>
                <w:b/>
                <w:bCs/>
                <w:szCs w:val="21"/>
              </w:rPr>
              <w:t>号A”</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rPr>
              <w:t>B份额简称：“华夏理财固收纯债一年定开</w:t>
            </w:r>
            <w:r>
              <w:rPr>
                <w:rFonts w:hint="eastAsia" w:ascii="仿宋" w:hAnsi="仿宋" w:eastAsia="仿宋"/>
                <w:b/>
                <w:bCs/>
                <w:szCs w:val="21"/>
                <w:lang w:val="en-US" w:eastAsia="zh-CN"/>
              </w:rPr>
              <w:t>9</w:t>
            </w:r>
            <w:r>
              <w:rPr>
                <w:rFonts w:hint="eastAsia" w:ascii="仿宋" w:hAnsi="仿宋" w:eastAsia="仿宋"/>
                <w:b/>
                <w:bCs/>
                <w:szCs w:val="21"/>
              </w:rPr>
              <w:t>号B”</w:t>
            </w:r>
          </w:p>
          <w:p>
            <w:pPr>
              <w:adjustRightInd w:val="0"/>
              <w:snapToGrid w:val="0"/>
              <w:spacing w:line="240" w:lineRule="atLeast"/>
              <w:jc w:val="center"/>
              <w:rPr>
                <w:rFonts w:ascii="仿宋" w:hAnsi="仿宋" w:eastAsia="仿宋"/>
                <w:b/>
                <w:bCs/>
                <w:szCs w:val="21"/>
              </w:rPr>
            </w:pPr>
            <w:r>
              <w:rPr>
                <w:rFonts w:ascii="仿宋" w:hAnsi="仿宋" w:eastAsia="仿宋"/>
                <w:b/>
                <w:bCs/>
                <w:szCs w:val="21"/>
              </w:rPr>
              <w:t>C</w:t>
            </w:r>
            <w:r>
              <w:rPr>
                <w:rFonts w:hint="eastAsia" w:ascii="仿宋" w:hAnsi="仿宋" w:eastAsia="仿宋"/>
                <w:b/>
                <w:bCs/>
                <w:szCs w:val="21"/>
              </w:rPr>
              <w:t>份额简称：“华夏理财固收纯债一年定开9号</w:t>
            </w:r>
            <w:r>
              <w:rPr>
                <w:rFonts w:ascii="仿宋" w:hAnsi="仿宋" w:eastAsia="仿宋"/>
                <w:b/>
                <w:bCs/>
                <w:szCs w:val="21"/>
              </w:rPr>
              <w:t>C</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w:t>
            </w:r>
            <w:r>
              <w:rPr>
                <w:rFonts w:hint="eastAsia" w:ascii="仿宋" w:hAnsi="仿宋" w:eastAsia="仿宋"/>
                <w:bCs/>
                <w:szCs w:val="21"/>
                <w:lang w:val="en-US" w:eastAsia="zh-CN"/>
              </w:rPr>
              <w:t>2</w:t>
            </w:r>
            <w:r>
              <w:rPr>
                <w:rFonts w:ascii="仿宋" w:hAnsi="仿宋" w:eastAsia="仿宋"/>
                <w:bCs/>
                <w:szCs w:val="21"/>
              </w:rPr>
              <w:t>113</w:t>
            </w:r>
            <w:r>
              <w:rPr>
                <w:rFonts w:hint="eastAsia" w:ascii="仿宋" w:hAnsi="仿宋" w:eastAsia="仿宋"/>
                <w:bCs/>
                <w:szCs w:val="21"/>
                <w:lang w:val="en-US" w:eastAsia="zh-CN"/>
              </w:rPr>
              <w:t>0</w:t>
            </w:r>
            <w:r>
              <w:rPr>
                <w:rFonts w:ascii="仿宋" w:hAnsi="仿宋" w:eastAsia="仿宋"/>
                <w:bCs/>
                <w:szCs w:val="21"/>
              </w:rPr>
              <w:t>0</w:t>
            </w:r>
            <w:r>
              <w:rPr>
                <w:rFonts w:hint="eastAsia" w:ascii="仿宋" w:hAnsi="仿宋" w:eastAsia="仿宋"/>
                <w:bCs/>
                <w:szCs w:val="21"/>
                <w:lang w:val="en-US" w:eastAsia="zh-CN"/>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22113009</w:t>
            </w:r>
            <w:r>
              <w:rPr>
                <w:rFonts w:hint="eastAsia" w:ascii="仿宋" w:hAnsi="仿宋" w:eastAsia="仿宋"/>
                <w:bCs/>
                <w:szCs w:val="21"/>
              </w:rPr>
              <w:t>A</w:t>
            </w:r>
          </w:p>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22113009</w:t>
            </w:r>
            <w:r>
              <w:rPr>
                <w:rFonts w:hint="eastAsia" w:ascii="仿宋" w:hAnsi="仿宋" w:eastAsia="仿宋"/>
                <w:bCs/>
                <w:szCs w:val="21"/>
              </w:rPr>
              <w:t>B（招商银行销售代码：HX02020</w:t>
            </w:r>
            <w:r>
              <w:rPr>
                <w:rFonts w:hint="eastAsia" w:ascii="仿宋" w:hAnsi="仿宋" w:eastAsia="仿宋"/>
                <w:bCs/>
                <w:szCs w:val="21"/>
                <w:lang w:val="en-US" w:eastAsia="zh-CN"/>
              </w:rPr>
              <w:t>9</w:t>
            </w:r>
            <w:r>
              <w:rPr>
                <w:rFonts w:hint="eastAsia" w:ascii="仿宋" w:hAnsi="仿宋" w:eastAsia="仿宋"/>
                <w:bCs/>
                <w:szCs w:val="21"/>
              </w:rPr>
              <w:t>）</w:t>
            </w:r>
          </w:p>
          <w:p>
            <w:pPr>
              <w:adjustRightInd w:val="0"/>
              <w:snapToGrid w:val="0"/>
              <w:spacing w:line="240" w:lineRule="atLeast"/>
              <w:jc w:val="center"/>
              <w:rPr>
                <w:rFonts w:hint="eastAsia" w:ascii="仿宋" w:hAnsi="仿宋" w:eastAsia="仿宋"/>
                <w:bCs/>
                <w:szCs w:val="21"/>
              </w:rPr>
            </w:pPr>
            <w:r>
              <w:rPr>
                <w:rFonts w:ascii="仿宋" w:hAnsi="仿宋" w:eastAsia="仿宋"/>
                <w:bCs/>
                <w:szCs w:val="21"/>
              </w:rPr>
              <w:t>C</w:t>
            </w:r>
            <w:r>
              <w:rPr>
                <w:rFonts w:hint="eastAsia" w:ascii="仿宋" w:hAnsi="仿宋" w:eastAsia="仿宋"/>
                <w:bCs/>
                <w:szCs w:val="21"/>
              </w:rPr>
              <w:t>份额代码：</w:t>
            </w:r>
            <w:r>
              <w:rPr>
                <w:rFonts w:ascii="仿宋" w:hAnsi="仿宋" w:eastAsia="仿宋"/>
                <w:bCs/>
                <w:szCs w:val="21"/>
              </w:rPr>
              <w:t>22113009C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w:t>
            </w:r>
            <w:r>
              <w:rPr>
                <w:rFonts w:hint="eastAsia" w:ascii="仿宋" w:hAnsi="仿宋" w:eastAsia="仿宋"/>
                <w:bCs/>
                <w:szCs w:val="21"/>
                <w:lang w:val="en-US" w:eastAsia="zh-CN"/>
              </w:rPr>
              <w:t>2</w:t>
            </w:r>
            <w:r>
              <w:rPr>
                <w:rFonts w:ascii="仿宋" w:hAnsi="仿宋" w:eastAsia="仿宋"/>
                <w:bCs/>
                <w:szCs w:val="21"/>
              </w:rPr>
              <w:t>000</w:t>
            </w:r>
            <w:r>
              <w:rPr>
                <w:rFonts w:hint="eastAsia" w:ascii="仿宋" w:hAnsi="仿宋" w:eastAsia="仿宋"/>
                <w:bCs/>
                <w:szCs w:val="21"/>
                <w:lang w:val="en-US" w:eastAsia="zh-CN"/>
              </w:rPr>
              <w:t>082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3.05%-</w:t>
            </w:r>
            <w:r>
              <w:rPr>
                <w:rFonts w:ascii="仿宋" w:hAnsi="仿宋" w:eastAsia="仿宋" w:cs="Cambria"/>
                <w:bCs/>
                <w:szCs w:val="21"/>
              </w:rPr>
              <w:t>3.70%</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3.15%-</w:t>
            </w:r>
            <w:r>
              <w:rPr>
                <w:rFonts w:ascii="仿宋" w:hAnsi="仿宋" w:eastAsia="仿宋" w:cs="Cambria"/>
                <w:bCs/>
                <w:szCs w:val="21"/>
              </w:rPr>
              <w:t>3.80%</w:t>
            </w:r>
            <w:r>
              <w:rPr>
                <w:rFonts w:hint="eastAsia" w:ascii="仿宋" w:hAnsi="仿宋" w:eastAsia="仿宋" w:cs="Cambria"/>
                <w:bCs/>
                <w:szCs w:val="21"/>
              </w:rPr>
              <w:t>（年化）；</w:t>
            </w:r>
            <w:r>
              <w:rPr>
                <w:rFonts w:hint="eastAsia" w:ascii="仿宋" w:hAnsi="仿宋" w:eastAsia="仿宋" w:cs="Cambria"/>
                <w:bCs/>
                <w:szCs w:val="21"/>
                <w:lang w:val="en-US" w:eastAsia="zh-CN"/>
              </w:rPr>
              <w:t>C</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3.15%-</w:t>
            </w:r>
            <w:r>
              <w:rPr>
                <w:rFonts w:ascii="仿宋" w:hAnsi="仿宋" w:eastAsia="仿宋" w:cs="Cambria"/>
                <w:bCs/>
                <w:szCs w:val="21"/>
              </w:rPr>
              <w:t>3.80%</w:t>
            </w:r>
            <w:r>
              <w:rPr>
                <w:rFonts w:hint="eastAsia" w:ascii="仿宋" w:hAnsi="仿宋" w:eastAsia="仿宋" w:cs="Cambria"/>
                <w:bCs/>
                <w:szCs w:val="21"/>
              </w:rPr>
              <w:t>（年化）。以产品投资利率债仓位0-10%，信用债仓位90%-130%，组合杠杆率100%-1</w:t>
            </w:r>
            <w:r>
              <w:rPr>
                <w:rFonts w:hint="eastAsia" w:ascii="仿宋" w:hAnsi="仿宋" w:eastAsia="仿宋" w:cs="Cambria"/>
                <w:bCs/>
                <w:szCs w:val="21"/>
                <w:lang w:val="en-US" w:eastAsia="zh-CN"/>
              </w:rPr>
              <w:t>4</w:t>
            </w:r>
            <w:r>
              <w:rPr>
                <w:rFonts w:hint="eastAsia" w:ascii="仿宋" w:hAnsi="仿宋" w:eastAsia="仿宋" w:cs="Cambria"/>
                <w:bCs/>
                <w:szCs w:val="21"/>
              </w:rPr>
              <w:t>0%为例，参考符合久期要求的目标债券到期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7</w:t>
            </w:r>
            <w:r>
              <w:rPr>
                <w:rFonts w:hint="eastAsia" w:ascii="仿宋" w:hAnsi="仿宋" w:eastAsia="仿宋"/>
                <w:bCs/>
                <w:szCs w:val="21"/>
              </w:rPr>
              <w:t>月</w:t>
            </w:r>
            <w:r>
              <w:rPr>
                <w:rFonts w:ascii="仿宋" w:hAnsi="仿宋" w:eastAsia="仿宋"/>
                <w:bCs/>
                <w:szCs w:val="21"/>
              </w:rPr>
              <w:t>1</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7</w:t>
            </w:r>
            <w:r>
              <w:rPr>
                <w:rFonts w:hint="eastAsia" w:ascii="仿宋" w:hAnsi="仿宋" w:eastAsia="仿宋"/>
                <w:bCs/>
                <w:szCs w:val="21"/>
              </w:rPr>
              <w:t>月</w:t>
            </w:r>
            <w:r>
              <w:rPr>
                <w:rFonts w:ascii="仿宋" w:hAnsi="仿宋" w:eastAsia="仿宋"/>
                <w:bCs/>
                <w:szCs w:val="21"/>
              </w:rPr>
              <w:t>2</w:t>
            </w:r>
            <w:r>
              <w:rPr>
                <w:rFonts w:hint="eastAsia" w:ascii="仿宋" w:hAnsi="仿宋" w:eastAsia="仿宋"/>
                <w:bCs/>
                <w:szCs w:val="21"/>
                <w:lang w:val="en-US" w:eastAsia="zh-CN"/>
              </w:rPr>
              <w:t>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C份额：</w:t>
            </w:r>
            <w:r>
              <w:rPr>
                <w:rFonts w:ascii="仿宋" w:hAnsi="仿宋" w:eastAsia="仿宋"/>
                <w:bCs/>
                <w:szCs w:val="21"/>
              </w:rPr>
              <w:t>起点金额</w:t>
            </w:r>
            <w:r>
              <w:rPr>
                <w:rFonts w:hint="eastAsia" w:ascii="仿宋" w:hAnsi="仿宋" w:eastAsia="仿宋"/>
                <w:bCs/>
                <w:szCs w:val="21"/>
              </w:rPr>
              <w:t>1,000元，以1元的整数倍递增。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日（含）起连续3个工作日开放，开放期/开放日如遇非工作日则顺延至下一个工作日。</w:t>
            </w:r>
          </w:p>
          <w:tbl>
            <w:tblPr>
              <w:tblStyle w:val="13"/>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A份额：</w:t>
            </w:r>
            <w:r>
              <w:rPr>
                <w:rFonts w:hint="eastAsia" w:ascii="仿宋" w:hAnsi="仿宋" w:eastAsia="仿宋" w:cs="Cambria"/>
                <w:b/>
                <w:bCs/>
                <w:szCs w:val="21"/>
              </w:rPr>
              <w:t>销售手续费率</w:t>
            </w:r>
            <w:r>
              <w:rPr>
                <w:rFonts w:ascii="仿宋" w:hAnsi="仿宋" w:eastAsia="仿宋"/>
                <w:b/>
                <w:bCs/>
                <w:szCs w:val="21"/>
              </w:rPr>
              <w:t>0.30%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b/>
                <w:bCs/>
                <w:szCs w:val="21"/>
              </w:rPr>
              <w:t>B</w:t>
            </w:r>
            <w:r>
              <w:rPr>
                <w:rFonts w:hint="eastAsia" w:ascii="仿宋" w:hAnsi="仿宋" w:eastAsia="仿宋"/>
                <w:b/>
                <w:bCs/>
                <w:szCs w:val="21"/>
              </w:rPr>
              <w:t>份额：</w:t>
            </w:r>
            <w:r>
              <w:rPr>
                <w:rFonts w:hint="eastAsia" w:ascii="仿宋" w:hAnsi="仿宋" w:eastAsia="仿宋" w:cs="Cambria"/>
                <w:b/>
                <w:bCs/>
                <w:szCs w:val="21"/>
              </w:rPr>
              <w:t>销售手续费率</w:t>
            </w:r>
            <w:r>
              <w:rPr>
                <w:rFonts w:ascii="仿宋" w:hAnsi="仿宋" w:eastAsia="仿宋"/>
                <w:b/>
                <w:bCs/>
                <w:szCs w:val="21"/>
              </w:rPr>
              <w:t>0.20%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w:t>
            </w:r>
            <w:r>
              <w:rPr>
                <w:rFonts w:hint="eastAsia" w:ascii="仿宋" w:hAnsi="仿宋" w:eastAsia="仿宋" w:cs="Cambria"/>
                <w:b/>
                <w:bCs/>
                <w:szCs w:val="21"/>
              </w:rPr>
              <w:t>销售手续费率</w:t>
            </w:r>
            <w:r>
              <w:rPr>
                <w:rFonts w:ascii="仿宋" w:hAnsi="仿宋" w:eastAsia="仿宋"/>
                <w:b/>
                <w:bCs/>
                <w:szCs w:val="21"/>
              </w:rPr>
              <w:t>0.20%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固定管理费率0.20%/年，以前一日资产净值为基数，每日计提。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szCs w:val="21"/>
                <w:highlight w:val="none"/>
              </w:rPr>
            </w:pPr>
            <w:r>
              <w:rPr>
                <w:rFonts w:hint="eastAsia" w:ascii="仿宋" w:hAnsi="仿宋" w:eastAsia="仿宋"/>
                <w:b/>
                <w:bCs/>
                <w:szCs w:val="21"/>
                <w:highlight w:val="none"/>
              </w:rPr>
              <w:t>A份额超额管理费计提基准为</w:t>
            </w:r>
            <w:r>
              <w:rPr>
                <w:rFonts w:ascii="仿宋" w:hAnsi="仿宋" w:eastAsia="仿宋"/>
                <w:b/>
                <w:bCs/>
                <w:szCs w:val="21"/>
                <w:highlight w:val="none"/>
              </w:rPr>
              <w:t>3.70%</w:t>
            </w:r>
            <w:r>
              <w:rPr>
                <w:rFonts w:hint="eastAsia" w:ascii="仿宋" w:hAnsi="仿宋" w:eastAsia="仿宋"/>
                <w:b/>
                <w:bCs/>
                <w:szCs w:val="21"/>
                <w:highlight w:val="none"/>
              </w:rPr>
              <w:t>（年化）；</w:t>
            </w:r>
            <w:r>
              <w:rPr>
                <w:rFonts w:ascii="仿宋" w:hAnsi="仿宋" w:eastAsia="仿宋"/>
                <w:b/>
                <w:bCs/>
                <w:szCs w:val="21"/>
                <w:highlight w:val="none"/>
              </w:rPr>
              <w:t>B</w:t>
            </w:r>
            <w:r>
              <w:rPr>
                <w:rFonts w:hint="eastAsia" w:ascii="仿宋" w:hAnsi="仿宋" w:eastAsia="仿宋"/>
                <w:b/>
                <w:bCs/>
                <w:szCs w:val="21"/>
                <w:highlight w:val="none"/>
              </w:rPr>
              <w:t>份额超额管理费计提基准为</w:t>
            </w:r>
            <w:r>
              <w:rPr>
                <w:rFonts w:ascii="仿宋" w:hAnsi="仿宋" w:eastAsia="仿宋"/>
                <w:b/>
                <w:bCs/>
                <w:szCs w:val="21"/>
                <w:highlight w:val="none"/>
              </w:rPr>
              <w:t>3.80%</w:t>
            </w:r>
            <w:r>
              <w:rPr>
                <w:rFonts w:hint="eastAsia" w:ascii="仿宋" w:hAnsi="仿宋" w:eastAsia="仿宋"/>
                <w:b/>
                <w:bCs/>
                <w:szCs w:val="21"/>
                <w:highlight w:val="none"/>
              </w:rPr>
              <w:t>（年化）；</w:t>
            </w:r>
            <w:r>
              <w:rPr>
                <w:rFonts w:hint="eastAsia" w:ascii="仿宋" w:hAnsi="仿宋" w:eastAsia="仿宋"/>
                <w:b/>
                <w:bCs/>
                <w:szCs w:val="21"/>
                <w:highlight w:val="none"/>
                <w:lang w:val="en-US" w:eastAsia="zh-CN"/>
              </w:rPr>
              <w:t>C</w:t>
            </w:r>
            <w:r>
              <w:rPr>
                <w:rFonts w:hint="eastAsia" w:ascii="仿宋" w:hAnsi="仿宋" w:eastAsia="仿宋"/>
                <w:b/>
                <w:bCs/>
                <w:szCs w:val="21"/>
                <w:highlight w:val="none"/>
              </w:rPr>
              <w:t>份额超额管理费计提基准为</w:t>
            </w:r>
            <w:r>
              <w:rPr>
                <w:rFonts w:ascii="仿宋" w:hAnsi="仿宋" w:eastAsia="仿宋"/>
                <w:b/>
                <w:bCs/>
                <w:szCs w:val="21"/>
                <w:highlight w:val="none"/>
              </w:rPr>
              <w:t>3.80%</w:t>
            </w:r>
            <w:r>
              <w:rPr>
                <w:rFonts w:hint="eastAsia" w:ascii="仿宋" w:hAnsi="仿宋" w:eastAsia="仿宋"/>
                <w:b/>
                <w:bCs/>
                <w:szCs w:val="21"/>
                <w:highlight w:val="none"/>
              </w:rPr>
              <w:t>（年化）。</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产品成立每满半年后，管理人可根据投资情况决定是否分红。</w:t>
            </w:r>
            <w:r>
              <w:rPr>
                <w:rFonts w:hint="eastAsia" w:ascii="仿宋" w:hAnsi="仿宋" w:eastAsia="仿宋" w:cs="宋体"/>
                <w:kern w:val="0"/>
                <w:szCs w:val="21"/>
              </w:rPr>
              <w:t>如管理人</w:t>
            </w:r>
            <w:r>
              <w:rPr>
                <w:rFonts w:ascii="仿宋" w:hAnsi="仿宋" w:eastAsia="仿宋" w:cs="宋体"/>
                <w:kern w:val="0"/>
                <w:szCs w:val="21"/>
              </w:rPr>
              <w:t>决定分红，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本产品说明书约定的信息披露渠道公布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标准化</w:t>
      </w:r>
      <w:r>
        <w:rPr>
          <w:rFonts w:hint="eastAsia" w:ascii="仿宋" w:hAnsi="仿宋" w:eastAsia="仿宋" w:cs="宋体"/>
          <w:color w:val="000000"/>
          <w:kern w:val="0"/>
          <w:sz w:val="24"/>
        </w:rPr>
        <w:t>债</w:t>
      </w:r>
      <w:r>
        <w:rPr>
          <w:rFonts w:hint="eastAsia" w:ascii="仿宋" w:hAnsi="仿宋" w:eastAsia="仿宋" w:cs="宋体"/>
          <w:color w:val="000000"/>
          <w:kern w:val="0"/>
          <w:sz w:val="24"/>
          <w:lang w:val="en-US" w:eastAsia="zh-CN"/>
        </w:rPr>
        <w:t>权</w:t>
      </w:r>
      <w:r>
        <w:rPr>
          <w:rFonts w:hint="eastAsia" w:ascii="仿宋" w:hAnsi="仿宋" w:eastAsia="仿宋" w:cs="宋体"/>
          <w:color w:val="000000"/>
          <w:kern w:val="0"/>
          <w:sz w:val="24"/>
        </w:rPr>
        <w:t>类等，及其他符合监管要求的固定收益类金融工具。</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货币市场基金以及中国人民银行、中国银保监会认可的其他具有良好流动性的金融工具；</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lang w:val="en-US" w:eastAsia="zh-CN"/>
        </w:rPr>
        <w:t>标准化</w:t>
      </w:r>
      <w:r>
        <w:rPr>
          <w:rFonts w:hint="eastAsia" w:ascii="仿宋" w:hAnsi="仿宋" w:eastAsia="仿宋" w:cs="宋体"/>
          <w:color w:val="000000"/>
          <w:kern w:val="0"/>
          <w:sz w:val="24"/>
        </w:rPr>
        <w:t>债</w:t>
      </w:r>
      <w:r>
        <w:rPr>
          <w:rFonts w:hint="eastAsia" w:ascii="仿宋" w:hAnsi="仿宋" w:eastAsia="仿宋" w:cs="宋体"/>
          <w:color w:val="000000"/>
          <w:kern w:val="0"/>
          <w:sz w:val="24"/>
          <w:lang w:val="en-US" w:eastAsia="zh-CN"/>
        </w:rPr>
        <w:t>权</w:t>
      </w:r>
      <w:r>
        <w:rPr>
          <w:rFonts w:hint="eastAsia" w:ascii="仿宋" w:hAnsi="仿宋" w:eastAsia="仿宋" w:cs="宋体"/>
          <w:color w:val="000000"/>
          <w:kern w:val="0"/>
          <w:sz w:val="24"/>
        </w:rPr>
        <w:t>类包括但不限于国债、中央银行票据、地方政府债券、政府支持机构债券、金融债券、非金融企业债务融资工具、公司债券、企业债券、国际机构债券、同业存单、信贷资产支持证券、资产支持票据、证券交易所挂牌交易的资产支持证券、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w:t>
      </w:r>
      <w:bookmarkStart w:id="4" w:name="_GoBack"/>
      <w:bookmarkEnd w:id="4"/>
      <w:r>
        <w:rPr>
          <w:rFonts w:hint="eastAsia" w:ascii="仿宋" w:hAnsi="仿宋" w:eastAsia="仿宋" w:cs="宋体"/>
          <w:color w:val="000000"/>
          <w:kern w:val="0"/>
          <w:sz w:val="24"/>
        </w:rPr>
        <w:t>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3"/>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3984" w:type="dxa"/>
            <w:tcBorders>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tcBorders>
              <w:left w:val="outset" w:color="auto" w:sz="6" w:space="0"/>
              <w:bottom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3984" w:type="dxa"/>
            <w:tcBorders>
              <w:top w:val="outset" w:color="auto" w:sz="6" w:space="0"/>
              <w:bottom w:val="outset" w:color="auto" w:sz="6" w:space="0"/>
              <w:right w:val="outset" w:color="auto" w:sz="6" w:space="0"/>
            </w:tcBorders>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w:t>
            </w:r>
            <w:r>
              <w:rPr>
                <w:rFonts w:hint="eastAsia" w:ascii="仿宋" w:hAnsi="仿宋" w:eastAsia="仿宋" w:cs="宋体"/>
                <w:color w:val="000000"/>
                <w:kern w:val="0"/>
                <w:sz w:val="24"/>
                <w:lang w:val="en-US" w:eastAsia="zh-CN"/>
              </w:rPr>
              <w:t>工具</w:t>
            </w:r>
          </w:p>
        </w:tc>
        <w:tc>
          <w:tcPr>
            <w:tcW w:w="4079" w:type="dxa"/>
            <w:tcBorders>
              <w:top w:val="outset" w:color="auto" w:sz="6" w:space="0"/>
              <w:left w:val="outset" w:color="auto" w:sz="6" w:space="0"/>
              <w:bottom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1" w:hRule="atLeast"/>
          <w:tblCellSpacing w:w="0" w:type="dxa"/>
          <w:jc w:val="center"/>
        </w:trPr>
        <w:tc>
          <w:tcPr>
            <w:tcW w:w="3984" w:type="dxa"/>
            <w:tcBorders>
              <w:top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lang w:val="en-US" w:eastAsia="zh-CN"/>
              </w:rPr>
              <w:t>标准化</w:t>
            </w:r>
            <w:r>
              <w:rPr>
                <w:rFonts w:hint="eastAsia" w:ascii="仿宋" w:hAnsi="仿宋" w:eastAsia="仿宋" w:cs="宋体"/>
                <w:color w:val="000000"/>
                <w:kern w:val="0"/>
                <w:sz w:val="24"/>
              </w:rPr>
              <w:t>债</w:t>
            </w:r>
            <w:r>
              <w:rPr>
                <w:rFonts w:hint="eastAsia" w:ascii="仿宋" w:hAnsi="仿宋" w:eastAsia="仿宋" w:cs="宋体"/>
                <w:color w:val="000000"/>
                <w:kern w:val="0"/>
                <w:sz w:val="24"/>
                <w:lang w:val="en-US" w:eastAsia="zh-CN"/>
              </w:rPr>
              <w:t>权</w:t>
            </w:r>
            <w:r>
              <w:rPr>
                <w:rFonts w:hint="eastAsia" w:ascii="仿宋" w:hAnsi="仿宋" w:eastAsia="仿宋" w:cs="宋体"/>
                <w:color w:val="000000"/>
                <w:kern w:val="0"/>
                <w:sz w:val="24"/>
              </w:rPr>
              <w:t>类</w:t>
            </w:r>
          </w:p>
        </w:tc>
        <w:tc>
          <w:tcPr>
            <w:tcW w:w="4079" w:type="dxa"/>
            <w:tcBorders>
              <w:top w:val="outset" w:color="auto" w:sz="6" w:space="0"/>
              <w:lef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管理人应当自理财产品成立日起</w:t>
      </w:r>
      <w:r>
        <w:rPr>
          <w:rFonts w:ascii="仿宋" w:hAnsi="仿宋" w:eastAsia="仿宋" w:cs="宋体"/>
          <w:b/>
          <w:bCs/>
          <w:kern w:val="0"/>
          <w:sz w:val="24"/>
        </w:rPr>
        <w:t>1</w:t>
      </w:r>
      <w:r>
        <w:rPr>
          <w:rFonts w:hint="eastAsia" w:ascii="仿宋" w:hAnsi="仿宋" w:eastAsia="仿宋" w:cs="宋体"/>
          <w:b/>
          <w:bCs/>
          <w:kern w:val="0"/>
          <w:sz w:val="24"/>
        </w:rPr>
        <w:t>个月内使理财产品的投资比例符合上述约定。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本理财产品所投资的银行存款、货币市场工具、债券等标准化债权类资产以及资产管理产品等资产。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s="宋体"/>
          <w:color w:val="000000"/>
          <w:kern w:val="0"/>
          <w:sz w:val="24"/>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rPr>
        <w:t>（十五）其他风险：由于自然灾害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Bdr>
        <w:bottom w:val="none" w:color="auto" w:sz="0" w:space="1"/>
      </w:pBdr>
      <w:spacing w:line="360" w:lineRule="auto"/>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D4D61"/>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1432"/>
    <w:rsid w:val="00902123"/>
    <w:rsid w:val="00916782"/>
    <w:rsid w:val="0092528D"/>
    <w:rsid w:val="009267C7"/>
    <w:rsid w:val="009502B1"/>
    <w:rsid w:val="00953E36"/>
    <w:rsid w:val="00962622"/>
    <w:rsid w:val="00965372"/>
    <w:rsid w:val="00971A91"/>
    <w:rsid w:val="00972105"/>
    <w:rsid w:val="00975626"/>
    <w:rsid w:val="00991FA8"/>
    <w:rsid w:val="00994117"/>
    <w:rsid w:val="009941FD"/>
    <w:rsid w:val="009A21D5"/>
    <w:rsid w:val="009A3572"/>
    <w:rsid w:val="009A3901"/>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B76"/>
    <w:rsid w:val="00B91ACC"/>
    <w:rsid w:val="00B96EF2"/>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35729"/>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5A0F"/>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1677"/>
    <w:rsid w:val="00FD2903"/>
    <w:rsid w:val="00FD42E6"/>
    <w:rsid w:val="00FE1291"/>
    <w:rsid w:val="00FE2A8B"/>
    <w:rsid w:val="00FE482B"/>
    <w:rsid w:val="00FF56AD"/>
    <w:rsid w:val="018D5F51"/>
    <w:rsid w:val="01EB6FEC"/>
    <w:rsid w:val="01FE5EB7"/>
    <w:rsid w:val="02377743"/>
    <w:rsid w:val="03204429"/>
    <w:rsid w:val="03DB06FE"/>
    <w:rsid w:val="04B16B62"/>
    <w:rsid w:val="05215177"/>
    <w:rsid w:val="054A5192"/>
    <w:rsid w:val="05BB571F"/>
    <w:rsid w:val="062067C9"/>
    <w:rsid w:val="07DC0DAD"/>
    <w:rsid w:val="07F63129"/>
    <w:rsid w:val="08497BE8"/>
    <w:rsid w:val="087A37FC"/>
    <w:rsid w:val="08961A5A"/>
    <w:rsid w:val="08A96CC2"/>
    <w:rsid w:val="08CC1E87"/>
    <w:rsid w:val="08F619C1"/>
    <w:rsid w:val="095345F4"/>
    <w:rsid w:val="0A0F44CD"/>
    <w:rsid w:val="0A2F0E4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5F5F31"/>
    <w:rsid w:val="117C0D4E"/>
    <w:rsid w:val="11B162FD"/>
    <w:rsid w:val="11BB3DB9"/>
    <w:rsid w:val="11CB222C"/>
    <w:rsid w:val="11D21B30"/>
    <w:rsid w:val="121940A5"/>
    <w:rsid w:val="123B658C"/>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0F053D7"/>
    <w:rsid w:val="22086EAE"/>
    <w:rsid w:val="220D5EC8"/>
    <w:rsid w:val="223431B1"/>
    <w:rsid w:val="22C149FC"/>
    <w:rsid w:val="22F1518B"/>
    <w:rsid w:val="238C25BD"/>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2573C9"/>
    <w:rsid w:val="338406B7"/>
    <w:rsid w:val="34477241"/>
    <w:rsid w:val="34854AB1"/>
    <w:rsid w:val="34A63F82"/>
    <w:rsid w:val="350A7012"/>
    <w:rsid w:val="358773EF"/>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9B67F64"/>
    <w:rsid w:val="3A166DB1"/>
    <w:rsid w:val="3A242CB1"/>
    <w:rsid w:val="3A3D41CD"/>
    <w:rsid w:val="3A637C30"/>
    <w:rsid w:val="3A6464DA"/>
    <w:rsid w:val="3A8D0AE7"/>
    <w:rsid w:val="3AB67D23"/>
    <w:rsid w:val="3B025489"/>
    <w:rsid w:val="3B35691C"/>
    <w:rsid w:val="3B507595"/>
    <w:rsid w:val="3B586E2D"/>
    <w:rsid w:val="3C691FB2"/>
    <w:rsid w:val="3D202111"/>
    <w:rsid w:val="3D2A5959"/>
    <w:rsid w:val="3D3B3330"/>
    <w:rsid w:val="3F857305"/>
    <w:rsid w:val="3F9148EF"/>
    <w:rsid w:val="3F996600"/>
    <w:rsid w:val="3F9A5097"/>
    <w:rsid w:val="4071483C"/>
    <w:rsid w:val="40897331"/>
    <w:rsid w:val="40A300AE"/>
    <w:rsid w:val="40DD3147"/>
    <w:rsid w:val="41450ED1"/>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6306E56"/>
    <w:rsid w:val="56444969"/>
    <w:rsid w:val="56EF513F"/>
    <w:rsid w:val="57C82F28"/>
    <w:rsid w:val="57F70DED"/>
    <w:rsid w:val="58083A83"/>
    <w:rsid w:val="581B10FA"/>
    <w:rsid w:val="582156EE"/>
    <w:rsid w:val="58342685"/>
    <w:rsid w:val="58427747"/>
    <w:rsid w:val="584369EC"/>
    <w:rsid w:val="58BB4CDB"/>
    <w:rsid w:val="58F96B51"/>
    <w:rsid w:val="59185B61"/>
    <w:rsid w:val="596A4423"/>
    <w:rsid w:val="59AD702D"/>
    <w:rsid w:val="59D14CC4"/>
    <w:rsid w:val="59E7688C"/>
    <w:rsid w:val="59FF73A2"/>
    <w:rsid w:val="5A945937"/>
    <w:rsid w:val="5AA340C2"/>
    <w:rsid w:val="5AB6501F"/>
    <w:rsid w:val="5B9E1D5B"/>
    <w:rsid w:val="5BA64252"/>
    <w:rsid w:val="5BCB323C"/>
    <w:rsid w:val="5C7344DB"/>
    <w:rsid w:val="5D7F7D07"/>
    <w:rsid w:val="5DC63A4E"/>
    <w:rsid w:val="5DED53D1"/>
    <w:rsid w:val="5E063E78"/>
    <w:rsid w:val="5E1B7959"/>
    <w:rsid w:val="5EAD142E"/>
    <w:rsid w:val="5F3F3BFD"/>
    <w:rsid w:val="5F7071A8"/>
    <w:rsid w:val="5FF330F1"/>
    <w:rsid w:val="603F4875"/>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832B04"/>
    <w:rsid w:val="6BD916EE"/>
    <w:rsid w:val="6C194573"/>
    <w:rsid w:val="6CCA1A7F"/>
    <w:rsid w:val="6DD805CD"/>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FE58EB"/>
    <w:rsid w:val="7F116F65"/>
    <w:rsid w:val="7F516160"/>
    <w:rsid w:val="7FD45F92"/>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1">
    <w:name w:val="Default Paragraph Font"/>
    <w:unhideWhenUsed/>
    <w:uiPriority w:val="1"/>
  </w:style>
  <w:style w:type="table" w:default="1" w:styleId="13">
    <w:name w:val="Normal Table"/>
    <w:unhideWhenUsed/>
    <w:uiPriority w:val="99"/>
    <w:tblPr>
      <w:tblStyle w:val="13"/>
      <w:tblLayout w:type="fixed"/>
      <w:tblCellMar>
        <w:top w:w="0" w:type="dxa"/>
        <w:left w:w="108" w:type="dxa"/>
        <w:bottom w:w="0" w:type="dxa"/>
        <w:right w:w="108" w:type="dxa"/>
      </w:tblCellMar>
    </w:tblPr>
    <w:tcPr>
      <w:textDirection w:val="lrTb"/>
    </w:tcPr>
  </w:style>
  <w:style w:type="paragraph" w:styleId="5">
    <w:name w:val="annotation text"/>
    <w:basedOn w:val="1"/>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uiPriority w:val="0"/>
    <w:rPr>
      <w:sz w:val="18"/>
      <w:szCs w:val="18"/>
    </w:rPr>
  </w:style>
  <w:style w:type="paragraph" w:styleId="9">
    <w:name w:val="footer"/>
    <w:basedOn w:val="1"/>
    <w:unhideWhenUsed/>
    <w:uiPriority w:val="0"/>
    <w:pPr>
      <w:tabs>
        <w:tab w:val="center" w:pos="4153"/>
        <w:tab w:val="right" w:pos="8306"/>
      </w:tabs>
      <w:snapToGrid w:val="0"/>
      <w:jc w:val="left"/>
    </w:pPr>
    <w:rPr>
      <w:sz w:val="18"/>
      <w:szCs w:val="20"/>
    </w:rPr>
  </w:style>
  <w:style w:type="paragraph" w:styleId="10">
    <w:name w:val="header"/>
    <w:basedOn w:val="1"/>
    <w:unhideWhenUsed/>
    <w:uiPriority w:val="0"/>
    <w:pPr>
      <w:pBdr>
        <w:bottom w:val="single" w:color="auto" w:sz="6" w:space="1"/>
      </w:pBdr>
      <w:tabs>
        <w:tab w:val="center" w:pos="4153"/>
        <w:tab w:val="right" w:pos="8306"/>
      </w:tabs>
      <w:snapToGrid w:val="0"/>
      <w:jc w:val="center"/>
    </w:pPr>
    <w:rPr>
      <w:sz w:val="18"/>
      <w:szCs w:val="20"/>
    </w:rPr>
  </w:style>
  <w:style w:type="character" w:styleId="12">
    <w:name w:val="annotation reference"/>
    <w:uiPriority w:val="0"/>
    <w:rPr>
      <w:sz w:val="21"/>
      <w:szCs w:val="21"/>
    </w:rPr>
  </w:style>
  <w:style w:type="table" w:styleId="14">
    <w:name w:val="Table Grid"/>
    <w:basedOn w:val="13"/>
    <w:unhideWhenUsed/>
    <w:qFormat/>
    <w:uiPriority w:val="0"/>
    <w:pPr>
      <w:widowControl w:val="0"/>
      <w:jc w:val="both"/>
    </w:pPr>
    <w:rPr>
      <w:rFonts w:eastAsia="Times New Roman"/>
    </w:rPr>
    <w:tblPr>
      <w:tblStyle w:val="1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5">
    <w:name w:val="_Style 14"/>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2945</Words>
  <Characters>16793</Characters>
  <Lines>139</Lines>
  <Paragraphs>39</Paragraphs>
  <TotalTime>0</TotalTime>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2023-02-16T11:02:00Z</dcterms:created>
  <dc:creator>ylh</dc:creator>
  <cp:keywords>新版</cp:keywords>
  <cp:lastModifiedBy>RORO</cp:lastModifiedBy>
  <dcterms:modified xsi:type="dcterms:W3CDTF">2023-07-11T02:14:51Z</dcterms:modified>
  <dc:title>华夏理财固定收益纯债型</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F665AB604087427AB68C2D237E20ECB1</vt:lpwstr>
  </property>
</Properties>
</file>